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1B92B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eastAsia="等线"/>
          <w:b/>
          <w:bCs/>
          <w:sz w:val="32"/>
          <w:szCs w:val="32"/>
          <w:lang w:val="en-US" w:eastAsia="zh-CN"/>
        </w:rPr>
      </w:pPr>
      <w:r>
        <w:rPr>
          <w:rFonts w:ascii="Arial" w:hAnsi="Arial" w:eastAsia="宋体" w:cs="Times New Roman"/>
          <w:b/>
          <w:bCs/>
          <w:kern w:val="0"/>
          <w:sz w:val="32"/>
          <w:szCs w:val="32"/>
          <w:lang w:val="en-US" w:eastAsia="zh-CN" w:bidi="ar"/>
        </w:rPr>
        <w:t>Supplement Tables</w:t>
      </w:r>
    </w:p>
    <w:p w14:paraId="72E586D5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eastAsia="等线"/>
          <w:lang w:val="en-US" w:eastAsia="zh-CN"/>
        </w:rPr>
      </w:pPr>
      <w:r>
        <w:rPr>
          <w:rFonts w:ascii="Arial" w:hAnsi="Arial" w:eastAsia="等线" w:cs="Times New Roman"/>
          <w:b/>
          <w:bCs/>
          <w:kern w:val="0"/>
          <w:sz w:val="20"/>
          <w:szCs w:val="24"/>
          <w:lang w:val="en-US" w:eastAsia="zh-CN" w:bidi="ar"/>
        </w:rPr>
        <w:t xml:space="preserve">Supplement Table 1: </w:t>
      </w:r>
      <w:r>
        <w:rPr>
          <w:rFonts w:ascii="Arial" w:hAnsi="Arial" w:eastAsia="等线" w:cs="Times New Roman"/>
          <w:kern w:val="0"/>
          <w:sz w:val="20"/>
          <w:szCs w:val="24"/>
          <w:lang w:val="en-US" w:eastAsia="zh-CN" w:bidi="ar"/>
        </w:rPr>
        <w:t>Comparison of LAA-950%, MMP-9, and MMP-12 Levels Between COPD and Control Groups After Propensity Score Matching</w:t>
      </w:r>
    </w:p>
    <w:tbl>
      <w:tblPr>
        <w:tblStyle w:val="3"/>
        <w:tblW w:w="12404" w:type="dxa"/>
        <w:tblInd w:w="108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376"/>
        <w:gridCol w:w="2304"/>
        <w:gridCol w:w="912"/>
        <w:gridCol w:w="2448"/>
        <w:gridCol w:w="2460"/>
        <w:gridCol w:w="864"/>
      </w:tblGrid>
      <w:tr w14:paraId="0356EE53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778647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12254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Before Matching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50A08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52D8A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11809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After Matching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A7AD8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69FBE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</w:p>
        </w:tc>
      </w:tr>
      <w:tr w14:paraId="38A07D4B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04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614B4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46201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Control(N=303)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692FC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COPD(N=497)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46D03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i/>
                <w:iCs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i/>
                <w:iCs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P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4B08F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Control(N=182)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7A4DD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COPD(N=182)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vAlign w:val="top"/>
          </w:tcPr>
          <w:p w14:paraId="33951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i/>
                <w:iCs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i/>
                <w:iCs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P</w:t>
            </w:r>
          </w:p>
        </w:tc>
      </w:tr>
      <w:tr w14:paraId="5AEC56E8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4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6F0ED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MMP-9</w:t>
            </w:r>
          </w:p>
        </w:tc>
        <w:tc>
          <w:tcPr>
            <w:tcW w:w="237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5C5D9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324.29(164.10,629.88)</w:t>
            </w:r>
          </w:p>
        </w:tc>
        <w:tc>
          <w:tcPr>
            <w:tcW w:w="230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74877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457.65(255.15,999.40)</w:t>
            </w:r>
          </w:p>
        </w:tc>
        <w:tc>
          <w:tcPr>
            <w:tcW w:w="91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56328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28E8D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308.64</w:t>
            </w:r>
            <w:r>
              <w:rPr>
                <w:rFonts w:hint="eastAsia" w:ascii="Arial" w:hAnsi="Arial" w:eastAsia="等线" w:cs="等线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151.25</w:t>
            </w:r>
            <w:r>
              <w:rPr>
                <w:rFonts w:hint="eastAsia" w:ascii="Arial" w:hAnsi="Arial" w:eastAsia="等线" w:cs="等线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627.47</w:t>
            </w:r>
            <w:r>
              <w:rPr>
                <w:rFonts w:hint="eastAsia" w:ascii="Arial" w:hAnsi="Arial" w:eastAsia="等线" w:cs="等线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24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72B76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436.78</w:t>
            </w:r>
            <w:r>
              <w:rPr>
                <w:rFonts w:hint="eastAsia" w:ascii="Arial" w:hAnsi="Arial" w:eastAsia="等线" w:cs="等线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237.95</w:t>
            </w:r>
            <w:r>
              <w:rPr>
                <w:rFonts w:hint="eastAsia" w:ascii="Arial" w:hAnsi="Arial" w:eastAsia="等线" w:cs="等线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969.25</w:t>
            </w:r>
            <w:r>
              <w:rPr>
                <w:rFonts w:hint="eastAsia" w:ascii="Arial" w:hAnsi="Arial" w:eastAsia="等线" w:cs="等线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86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vAlign w:val="top"/>
          </w:tcPr>
          <w:p w14:paraId="069AE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21A0B367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1E72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MMP-12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B483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0.54(0.31,0.84)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8C2E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0.65(0.33,1.27)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E4C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88F7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0.55(0.31,0.96)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22B7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0.72(0.45,1.36)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6022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eastAsia="等线"/>
                <w:bdr w:val="none" w:color="auto" w:sz="0" w:space="0"/>
                <w:lang w:val="en-US" w:eastAsia="zh-CN"/>
              </w:rPr>
            </w:pPr>
            <w:r>
              <w:rPr>
                <w:rFonts w:ascii="Arial" w:hAnsi="Arial" w:eastAsia="等线" w:cs="Times New Roman"/>
                <w:kern w:val="0"/>
                <w:sz w:val="20"/>
                <w:szCs w:val="24"/>
                <w:bdr w:val="none" w:color="auto" w:sz="0" w:space="0"/>
                <w:lang w:val="en-US" w:eastAsia="zh-CN" w:bidi="ar"/>
              </w:rPr>
              <w:t>&lt;0.001</w:t>
            </w:r>
          </w:p>
        </w:tc>
      </w:tr>
    </w:tbl>
    <w:p w14:paraId="0219453E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eastAsia="等线"/>
          <w:lang w:val="en-US" w:eastAsia="zh-CN"/>
        </w:rPr>
      </w:pPr>
      <w:r>
        <w:rPr>
          <w:rFonts w:ascii="Arial" w:hAnsi="Arial" w:eastAsia="等线" w:cs="Times New Roman"/>
          <w:kern w:val="0"/>
          <w:sz w:val="20"/>
          <w:szCs w:val="24"/>
          <w:lang w:val="en-US" w:eastAsia="zh-CN" w:bidi="ar"/>
        </w:rPr>
        <w:t>Abbreviations:</w:t>
      </w:r>
      <w:r>
        <w:rPr>
          <w:rFonts w:ascii="Arial" w:hAnsi="Arial" w:eastAsia="宋体" w:cs="Times New Roman"/>
          <w:kern w:val="0"/>
          <w:sz w:val="20"/>
          <w:szCs w:val="24"/>
          <w:lang w:val="en-US" w:eastAsia="zh-CN" w:bidi="ar"/>
        </w:rPr>
        <w:t xml:space="preserve"> </w:t>
      </w:r>
      <w:r>
        <w:rPr>
          <w:rFonts w:ascii="Arial" w:hAnsi="Arial" w:eastAsia="等线" w:cs="Times New Roman"/>
          <w:kern w:val="0"/>
          <w:sz w:val="20"/>
          <w:szCs w:val="24"/>
          <w:lang w:val="en-US" w:eastAsia="zh-CN" w:bidi="ar"/>
        </w:rPr>
        <w:t>MMP, matrix metalloproteinase.</w:t>
      </w:r>
    </w:p>
    <w:p w14:paraId="57E36876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eastAsia="等线"/>
          <w:lang w:val="en-US" w:eastAsia="zh-CN"/>
        </w:rPr>
      </w:pPr>
      <w:r>
        <w:rPr>
          <w:rFonts w:hint="default" w:ascii="Arial" w:hAnsi="Arial" w:eastAsia="等线" w:cs="Times New Roman"/>
          <w:sz w:val="20"/>
          <w:szCs w:val="24"/>
          <w:lang w:val="en-US" w:eastAsia="zh-CN" w:bidi="ar"/>
        </w:rPr>
        <w:br w:type="page"/>
      </w:r>
    </w:p>
    <w:p w14:paraId="44F518C7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eastAsia="等线"/>
          <w:lang w:val="en-US" w:eastAsia="zh-CN"/>
        </w:rPr>
      </w:pPr>
      <w:r>
        <w:rPr>
          <w:rFonts w:ascii="Arial" w:hAnsi="Arial" w:eastAsia="等线" w:cs="Times New Roman"/>
          <w:b/>
          <w:bCs/>
          <w:kern w:val="0"/>
          <w:sz w:val="20"/>
          <w:szCs w:val="24"/>
          <w:lang w:val="en-US" w:eastAsia="zh-CN" w:bidi="ar"/>
        </w:rPr>
        <w:t>Supplement Table 2:</w:t>
      </w:r>
      <w:r>
        <w:rPr>
          <w:rFonts w:ascii="Arial" w:hAnsi="Arial" w:eastAsia="等线" w:cs="Times New Roman"/>
          <w:kern w:val="0"/>
          <w:sz w:val="20"/>
          <w:szCs w:val="24"/>
          <w:lang w:val="en-US" w:eastAsia="zh-CN" w:bidi="ar"/>
        </w:rPr>
        <w:t xml:space="preserve"> Stratified analysis of rs2869947 G&gt;A with COPD susceptibility</w:t>
      </w: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092"/>
        <w:gridCol w:w="948"/>
        <w:gridCol w:w="972"/>
        <w:gridCol w:w="1116"/>
        <w:gridCol w:w="1152"/>
        <w:gridCol w:w="1006"/>
        <w:gridCol w:w="2546"/>
        <w:gridCol w:w="1532"/>
      </w:tblGrid>
      <w:tr w14:paraId="2A6A9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00CE59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3012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3F1A50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COPD Group (N=497)</w:t>
            </w:r>
          </w:p>
        </w:tc>
        <w:tc>
          <w:tcPr>
            <w:tcW w:w="327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6FF23C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Control Group (N=303)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4EB63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AA vs</w:t>
            </w:r>
            <w:r>
              <w:rPr>
                <w:rFonts w:hint="default" w:ascii="Arial" w:hAnsi="Arial" w:eastAsia="宋体" w:cs="Arial"/>
                <w:i/>
                <w:iCs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.</w:t>
            </w: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GG+GA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623549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i/>
                <w:iCs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i/>
                <w:iCs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P</w:t>
            </w:r>
          </w:p>
        </w:tc>
      </w:tr>
      <w:tr w14:paraId="0AB4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ED53B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9A402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GG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B06F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GA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A90CC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AA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BDE3C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GG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8C442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GA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5F253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AA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F990E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i/>
                <w:iCs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i/>
                <w:iCs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OR </w:t>
            </w: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Arial" w:hAnsi="Arial" w:eastAsia="宋体" w:cs="Arial"/>
                <w:i/>
                <w:iCs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95% CI</w:t>
            </w: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1E960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</w:tr>
      <w:tr w14:paraId="408D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5555D0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4A6C46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989D0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69E1F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54F958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7A3CD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597105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6B42B9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1A9DE3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</w:tr>
      <w:tr w14:paraId="732BE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5BA98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≤60</w:t>
            </w:r>
          </w:p>
        </w:tc>
        <w:tc>
          <w:tcPr>
            <w:tcW w:w="1092" w:type="dxa"/>
            <w:shd w:val="clear"/>
            <w:vAlign w:val="top"/>
          </w:tcPr>
          <w:p w14:paraId="30E708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48" w:type="dxa"/>
            <w:shd w:val="clear"/>
            <w:vAlign w:val="top"/>
          </w:tcPr>
          <w:p w14:paraId="6A08B9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72" w:type="dxa"/>
            <w:shd w:val="clear"/>
            <w:vAlign w:val="top"/>
          </w:tcPr>
          <w:p w14:paraId="46ABC3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16" w:type="dxa"/>
            <w:shd w:val="clear"/>
            <w:vAlign w:val="top"/>
          </w:tcPr>
          <w:p w14:paraId="796769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152" w:type="dxa"/>
            <w:shd w:val="clear"/>
            <w:vAlign w:val="top"/>
          </w:tcPr>
          <w:p w14:paraId="4477B3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06" w:type="dxa"/>
            <w:shd w:val="clear"/>
            <w:vAlign w:val="top"/>
          </w:tcPr>
          <w:p w14:paraId="0ABD8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46" w:type="dxa"/>
            <w:shd w:val="clear"/>
            <w:vAlign w:val="top"/>
          </w:tcPr>
          <w:p w14:paraId="34F218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2.469 (0.986, 6.178)</w:t>
            </w:r>
          </w:p>
        </w:tc>
        <w:tc>
          <w:tcPr>
            <w:tcW w:w="1532" w:type="dxa"/>
            <w:shd w:val="clear"/>
            <w:vAlign w:val="top"/>
          </w:tcPr>
          <w:p w14:paraId="074E8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0.054</w:t>
            </w:r>
          </w:p>
        </w:tc>
      </w:tr>
      <w:tr w14:paraId="04FF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723372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&gt;60</w:t>
            </w:r>
          </w:p>
        </w:tc>
        <w:tc>
          <w:tcPr>
            <w:tcW w:w="1092" w:type="dxa"/>
            <w:shd w:val="clear"/>
            <w:vAlign w:val="top"/>
          </w:tcPr>
          <w:p w14:paraId="291379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948" w:type="dxa"/>
            <w:shd w:val="clear"/>
            <w:vAlign w:val="top"/>
          </w:tcPr>
          <w:p w14:paraId="6EEF45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972" w:type="dxa"/>
            <w:shd w:val="clear"/>
            <w:vAlign w:val="top"/>
          </w:tcPr>
          <w:p w14:paraId="60980E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116" w:type="dxa"/>
            <w:shd w:val="clear"/>
            <w:vAlign w:val="top"/>
          </w:tcPr>
          <w:p w14:paraId="61FB5D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152" w:type="dxa"/>
            <w:shd w:val="clear"/>
            <w:vAlign w:val="top"/>
          </w:tcPr>
          <w:p w14:paraId="72B6E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06" w:type="dxa"/>
            <w:shd w:val="clear"/>
            <w:vAlign w:val="top"/>
          </w:tcPr>
          <w:p w14:paraId="62EA34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546" w:type="dxa"/>
            <w:shd w:val="clear"/>
            <w:vAlign w:val="top"/>
          </w:tcPr>
          <w:p w14:paraId="4201A6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1.634 (0.765, 3.488)</w:t>
            </w:r>
          </w:p>
        </w:tc>
        <w:tc>
          <w:tcPr>
            <w:tcW w:w="1532" w:type="dxa"/>
            <w:shd w:val="clear"/>
            <w:vAlign w:val="top"/>
          </w:tcPr>
          <w:p w14:paraId="4EC12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0.205</w:t>
            </w:r>
          </w:p>
        </w:tc>
      </w:tr>
      <w:tr w14:paraId="3D6C0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110B41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Gender</w:t>
            </w:r>
          </w:p>
        </w:tc>
        <w:tc>
          <w:tcPr>
            <w:tcW w:w="1092" w:type="dxa"/>
            <w:shd w:val="clear"/>
            <w:vAlign w:val="top"/>
          </w:tcPr>
          <w:p w14:paraId="6904C3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48" w:type="dxa"/>
            <w:shd w:val="clear"/>
            <w:vAlign w:val="top"/>
          </w:tcPr>
          <w:p w14:paraId="1581DE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72" w:type="dxa"/>
            <w:shd w:val="clear"/>
            <w:vAlign w:val="top"/>
          </w:tcPr>
          <w:p w14:paraId="5AA7B9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16" w:type="dxa"/>
            <w:shd w:val="clear"/>
            <w:vAlign w:val="top"/>
          </w:tcPr>
          <w:p w14:paraId="5062D3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52" w:type="dxa"/>
            <w:shd w:val="clear"/>
            <w:vAlign w:val="top"/>
          </w:tcPr>
          <w:p w14:paraId="169436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006" w:type="dxa"/>
            <w:shd w:val="clear"/>
            <w:vAlign w:val="top"/>
          </w:tcPr>
          <w:p w14:paraId="59DE73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2546" w:type="dxa"/>
            <w:shd w:val="clear"/>
            <w:vAlign w:val="top"/>
          </w:tcPr>
          <w:p w14:paraId="32BE91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532" w:type="dxa"/>
            <w:shd w:val="clear"/>
            <w:vAlign w:val="top"/>
          </w:tcPr>
          <w:p w14:paraId="591A53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</w:tr>
      <w:tr w14:paraId="3BBCF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62A482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092" w:type="dxa"/>
            <w:shd w:val="clear"/>
            <w:vAlign w:val="top"/>
          </w:tcPr>
          <w:p w14:paraId="546DEC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948" w:type="dxa"/>
            <w:shd w:val="clear"/>
            <w:vAlign w:val="top"/>
          </w:tcPr>
          <w:p w14:paraId="040F7D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972" w:type="dxa"/>
            <w:shd w:val="clear"/>
            <w:vAlign w:val="top"/>
          </w:tcPr>
          <w:p w14:paraId="2747CD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116" w:type="dxa"/>
            <w:shd w:val="clear"/>
            <w:vAlign w:val="top"/>
          </w:tcPr>
          <w:p w14:paraId="2E5DE4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152" w:type="dxa"/>
            <w:shd w:val="clear"/>
            <w:vAlign w:val="top"/>
          </w:tcPr>
          <w:p w14:paraId="19C65B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06" w:type="dxa"/>
            <w:shd w:val="clear"/>
            <w:vAlign w:val="top"/>
          </w:tcPr>
          <w:p w14:paraId="66C415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46" w:type="dxa"/>
            <w:shd w:val="clear"/>
            <w:vAlign w:val="top"/>
          </w:tcPr>
          <w:p w14:paraId="74D614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2.494 (1.042, 5.972)</w:t>
            </w:r>
          </w:p>
        </w:tc>
        <w:tc>
          <w:tcPr>
            <w:tcW w:w="1532" w:type="dxa"/>
            <w:shd w:val="clear"/>
            <w:vAlign w:val="top"/>
          </w:tcPr>
          <w:p w14:paraId="4F4D91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0.040</w:t>
            </w:r>
          </w:p>
        </w:tc>
      </w:tr>
      <w:tr w14:paraId="71B64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1BEC1D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092" w:type="dxa"/>
            <w:shd w:val="clear"/>
            <w:vAlign w:val="top"/>
          </w:tcPr>
          <w:p w14:paraId="0BE569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948" w:type="dxa"/>
            <w:shd w:val="clear"/>
            <w:vAlign w:val="top"/>
          </w:tcPr>
          <w:p w14:paraId="0B4A03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72" w:type="dxa"/>
            <w:shd w:val="clear"/>
            <w:vAlign w:val="top"/>
          </w:tcPr>
          <w:p w14:paraId="52454E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16" w:type="dxa"/>
            <w:shd w:val="clear"/>
            <w:vAlign w:val="top"/>
          </w:tcPr>
          <w:p w14:paraId="649C1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152" w:type="dxa"/>
            <w:shd w:val="clear"/>
            <w:vAlign w:val="top"/>
          </w:tcPr>
          <w:p w14:paraId="5FC80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06" w:type="dxa"/>
            <w:shd w:val="clear"/>
            <w:vAlign w:val="top"/>
          </w:tcPr>
          <w:p w14:paraId="206923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46" w:type="dxa"/>
            <w:shd w:val="clear"/>
            <w:vAlign w:val="top"/>
          </w:tcPr>
          <w:p w14:paraId="4CB4F5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1.335 (0.544, 3.276)</w:t>
            </w:r>
          </w:p>
        </w:tc>
        <w:tc>
          <w:tcPr>
            <w:tcW w:w="1532" w:type="dxa"/>
            <w:shd w:val="clear"/>
            <w:vAlign w:val="top"/>
          </w:tcPr>
          <w:p w14:paraId="17CEBA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0.528</w:t>
            </w:r>
          </w:p>
        </w:tc>
      </w:tr>
      <w:tr w14:paraId="11F7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4C9580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1092" w:type="dxa"/>
            <w:shd w:val="clear"/>
            <w:vAlign w:val="top"/>
          </w:tcPr>
          <w:p w14:paraId="2F7D55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48" w:type="dxa"/>
            <w:shd w:val="clear"/>
            <w:vAlign w:val="top"/>
          </w:tcPr>
          <w:p w14:paraId="0D176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72" w:type="dxa"/>
            <w:shd w:val="clear"/>
            <w:vAlign w:val="top"/>
          </w:tcPr>
          <w:p w14:paraId="0067CC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16" w:type="dxa"/>
            <w:shd w:val="clear"/>
            <w:vAlign w:val="top"/>
          </w:tcPr>
          <w:p w14:paraId="221EB2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52" w:type="dxa"/>
            <w:shd w:val="clear"/>
            <w:vAlign w:val="top"/>
          </w:tcPr>
          <w:p w14:paraId="732847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006" w:type="dxa"/>
            <w:shd w:val="clear"/>
            <w:vAlign w:val="top"/>
          </w:tcPr>
          <w:p w14:paraId="1987C0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2546" w:type="dxa"/>
            <w:shd w:val="clear"/>
            <w:vAlign w:val="top"/>
          </w:tcPr>
          <w:p w14:paraId="6CE519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532" w:type="dxa"/>
            <w:shd w:val="clear"/>
            <w:vAlign w:val="top"/>
          </w:tcPr>
          <w:p w14:paraId="2C99D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</w:tr>
      <w:tr w14:paraId="79653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4EF03B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&lt;24</w:t>
            </w:r>
          </w:p>
        </w:tc>
        <w:tc>
          <w:tcPr>
            <w:tcW w:w="1092" w:type="dxa"/>
            <w:shd w:val="clear"/>
            <w:vAlign w:val="top"/>
          </w:tcPr>
          <w:p w14:paraId="529F55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948" w:type="dxa"/>
            <w:shd w:val="clear"/>
            <w:vAlign w:val="top"/>
          </w:tcPr>
          <w:p w14:paraId="7E870D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72" w:type="dxa"/>
            <w:shd w:val="clear"/>
            <w:vAlign w:val="top"/>
          </w:tcPr>
          <w:p w14:paraId="539203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116" w:type="dxa"/>
            <w:shd w:val="clear"/>
            <w:vAlign w:val="top"/>
          </w:tcPr>
          <w:p w14:paraId="510670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152" w:type="dxa"/>
            <w:shd w:val="clear"/>
            <w:vAlign w:val="top"/>
          </w:tcPr>
          <w:p w14:paraId="3574EE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06" w:type="dxa"/>
            <w:shd w:val="clear"/>
            <w:vAlign w:val="top"/>
          </w:tcPr>
          <w:p w14:paraId="755BB3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546" w:type="dxa"/>
            <w:shd w:val="clear"/>
            <w:vAlign w:val="top"/>
          </w:tcPr>
          <w:p w14:paraId="3BB81B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1.046 (1.019, 1.074)</w:t>
            </w:r>
          </w:p>
        </w:tc>
        <w:tc>
          <w:tcPr>
            <w:tcW w:w="1532" w:type="dxa"/>
            <w:shd w:val="clear"/>
            <w:vAlign w:val="top"/>
          </w:tcPr>
          <w:p w14:paraId="4A2EB0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0.958</w:t>
            </w:r>
          </w:p>
        </w:tc>
      </w:tr>
      <w:tr w14:paraId="3E4F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0C5C4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≥24</w:t>
            </w:r>
          </w:p>
        </w:tc>
        <w:tc>
          <w:tcPr>
            <w:tcW w:w="1092" w:type="dxa"/>
            <w:shd w:val="clear"/>
            <w:vAlign w:val="top"/>
          </w:tcPr>
          <w:p w14:paraId="33DFFC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948" w:type="dxa"/>
            <w:shd w:val="clear"/>
            <w:vAlign w:val="top"/>
          </w:tcPr>
          <w:p w14:paraId="283F58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972" w:type="dxa"/>
            <w:shd w:val="clear"/>
            <w:vAlign w:val="top"/>
          </w:tcPr>
          <w:p w14:paraId="44628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116" w:type="dxa"/>
            <w:shd w:val="clear"/>
            <w:vAlign w:val="top"/>
          </w:tcPr>
          <w:p w14:paraId="3B60E2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152" w:type="dxa"/>
            <w:shd w:val="clear"/>
            <w:vAlign w:val="top"/>
          </w:tcPr>
          <w:p w14:paraId="6CB904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06" w:type="dxa"/>
            <w:shd w:val="clear"/>
            <w:vAlign w:val="top"/>
          </w:tcPr>
          <w:p w14:paraId="02AAC2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546" w:type="dxa"/>
            <w:shd w:val="clear"/>
            <w:vAlign w:val="top"/>
          </w:tcPr>
          <w:p w14:paraId="769F8F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3.199 (1.300, 7.872)</w:t>
            </w:r>
          </w:p>
        </w:tc>
        <w:tc>
          <w:tcPr>
            <w:tcW w:w="1532" w:type="dxa"/>
            <w:shd w:val="clear"/>
            <w:vAlign w:val="top"/>
          </w:tcPr>
          <w:p w14:paraId="5B8DF9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0.011</w:t>
            </w:r>
          </w:p>
        </w:tc>
      </w:tr>
      <w:tr w14:paraId="1B02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1FA196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1092" w:type="dxa"/>
            <w:shd w:val="clear"/>
            <w:vAlign w:val="top"/>
          </w:tcPr>
          <w:p w14:paraId="02562C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48" w:type="dxa"/>
            <w:shd w:val="clear"/>
            <w:vAlign w:val="top"/>
          </w:tcPr>
          <w:p w14:paraId="62D783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972" w:type="dxa"/>
            <w:shd w:val="clear"/>
            <w:vAlign w:val="top"/>
          </w:tcPr>
          <w:p w14:paraId="464E9B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16" w:type="dxa"/>
            <w:shd w:val="clear"/>
            <w:vAlign w:val="top"/>
          </w:tcPr>
          <w:p w14:paraId="2C199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152" w:type="dxa"/>
            <w:shd w:val="clear"/>
            <w:vAlign w:val="top"/>
          </w:tcPr>
          <w:p w14:paraId="0DF06D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006" w:type="dxa"/>
            <w:shd w:val="clear"/>
            <w:vAlign w:val="top"/>
          </w:tcPr>
          <w:p w14:paraId="1011C8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2546" w:type="dxa"/>
            <w:shd w:val="clear"/>
            <w:vAlign w:val="top"/>
          </w:tcPr>
          <w:p w14:paraId="491931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  <w:tc>
          <w:tcPr>
            <w:tcW w:w="1532" w:type="dxa"/>
            <w:shd w:val="clear"/>
            <w:vAlign w:val="top"/>
          </w:tcPr>
          <w:p w14:paraId="316442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</w:p>
        </w:tc>
      </w:tr>
      <w:tr w14:paraId="32B9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shd w:val="clear"/>
            <w:vAlign w:val="top"/>
          </w:tcPr>
          <w:p w14:paraId="7D66E1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Non-smoker</w:t>
            </w:r>
          </w:p>
        </w:tc>
        <w:tc>
          <w:tcPr>
            <w:tcW w:w="1092" w:type="dxa"/>
            <w:shd w:val="clear"/>
            <w:vAlign w:val="top"/>
          </w:tcPr>
          <w:p w14:paraId="4E756C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948" w:type="dxa"/>
            <w:shd w:val="clear"/>
            <w:vAlign w:val="top"/>
          </w:tcPr>
          <w:p w14:paraId="4D02FB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972" w:type="dxa"/>
            <w:shd w:val="clear"/>
            <w:vAlign w:val="top"/>
          </w:tcPr>
          <w:p w14:paraId="1F9486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116" w:type="dxa"/>
            <w:shd w:val="clear"/>
            <w:vAlign w:val="top"/>
          </w:tcPr>
          <w:p w14:paraId="02248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152" w:type="dxa"/>
            <w:shd w:val="clear"/>
            <w:vAlign w:val="top"/>
          </w:tcPr>
          <w:p w14:paraId="118380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06" w:type="dxa"/>
            <w:shd w:val="clear"/>
            <w:vAlign w:val="top"/>
          </w:tcPr>
          <w:p w14:paraId="63D0CE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546" w:type="dxa"/>
            <w:shd w:val="clear"/>
            <w:vAlign w:val="top"/>
          </w:tcPr>
          <w:p w14:paraId="2DA4CF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1.619 (0.834, 3.146)</w:t>
            </w:r>
          </w:p>
        </w:tc>
        <w:tc>
          <w:tcPr>
            <w:tcW w:w="1532" w:type="dxa"/>
            <w:shd w:val="clear"/>
            <w:vAlign w:val="top"/>
          </w:tcPr>
          <w:p w14:paraId="05047A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0.155</w:t>
            </w:r>
          </w:p>
        </w:tc>
      </w:tr>
      <w:tr w14:paraId="7586E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22823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 w:firstLine="200" w:firstLineChars="10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Current </w:t>
            </w: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Smoker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FF189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34271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8E04F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D9DAF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10C86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ED05B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6B195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4.221 (0.764, 23.330)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96E0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bdr w:val="none" w:color="auto" w:sz="0" w:space="0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0.099</w:t>
            </w:r>
          </w:p>
        </w:tc>
      </w:tr>
    </w:tbl>
    <w:p w14:paraId="6854FB9F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</w:pPr>
      <w:r>
        <w:rPr>
          <w:rFonts w:ascii="Arial" w:hAnsi="Arial" w:eastAsia="等线" w:cs="Times New Roman"/>
          <w:b/>
          <w:bCs/>
          <w:kern w:val="0"/>
          <w:sz w:val="20"/>
          <w:szCs w:val="24"/>
          <w:lang w:val="en-US" w:eastAsia="zh-CN" w:bidi="ar"/>
        </w:rPr>
        <w:t>Notes:</w:t>
      </w:r>
      <w:r>
        <w:rPr>
          <w:rFonts w:ascii="Arial" w:hAnsi="Arial" w:eastAsia="等线" w:cs="Times New Roman"/>
          <w:kern w:val="0"/>
          <w:sz w:val="20"/>
          <w:szCs w:val="24"/>
          <w:lang w:val="en-US" w:eastAsia="zh-CN" w:bidi="ar"/>
        </w:rPr>
        <w:t xml:space="preserve"> Adjusted by age, sex, BMI, and pack-years.</w:t>
      </w:r>
      <w:r>
        <w:rPr>
          <w:rFonts w:hint="eastAsia" w:ascii="等线" w:hAnsi="等线" w:eastAsia="等线" w:cs="等线"/>
          <w:kern w:val="0"/>
          <w:sz w:val="21"/>
          <w:szCs w:val="22"/>
          <w:lang w:val="en-US" w:eastAsia="zh-CN" w:bidi="ar"/>
        </w:rPr>
        <w:t xml:space="preserve"> </w:t>
      </w:r>
      <w:r>
        <w:rPr>
          <w:rFonts w:ascii="Arial" w:hAnsi="Arial" w:eastAsia="等线" w:cs="Times New Roman"/>
          <w:kern w:val="0"/>
          <w:sz w:val="20"/>
          <w:szCs w:val="24"/>
          <w:lang w:val="en-US" w:eastAsia="zh-CN" w:bidi="ar"/>
        </w:rPr>
        <w:t>In each case, the model was not adjusted for the stratification variable. Abbreviations: COPD, chronic obstructive pulmonary disease; BMI, body mass index; OR, odds ratio; CI, confidence interval.</w:t>
      </w:r>
      <w:bookmarkStart w:id="0" w:name="_GoBack"/>
      <w:bookmarkEnd w:id="0"/>
    </w:p>
    <w:sectPr>
      <w:pgSz w:w="15840" w:h="12240" w:orient="landscape"/>
      <w:pgMar w:top="1702" w:right="1702" w:bottom="1702" w:left="1702" w:header="720" w:footer="720" w:gutter="0"/>
      <w:paperSrc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altName w:val="Segoe Print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E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uiPriority w:val="0"/>
    <w:rPr>
      <w:rFonts w:hint="default" w:ascii="Arial" w:hAnsi="Arial" w:cs="Arial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2025-08-09T11:37:48Z</dcterms:created>
  <dc:creator>zhao'di</dc:creator>
  <cp:lastModifiedBy>赵笛</cp:lastModifiedBy>
  <dcterms:modified xsi:type="dcterms:W3CDTF">2025-08-09T11:48:16Z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eyJoZGlkIjoiODViY2JkMjU3NGYzZTEwMzZmMGFkZWViYmNkYWU3NDIiLCJ1c2VySWQiOiI1OTc2MjQyNDgifQ==</vt:lpwstr>
  </property>
  <property fmtid="{D5CDD505-2E9C-101B-9397-08002B2CF9AE}" pid="4" name="ICV">
    <vt:lpwstr>D49366F4786246678E30A4E6A3BCCDC7_12</vt:lpwstr>
  </property>
</Properties>
</file>