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bidi w:val="0"/>
        <w:spacing w:beforeAutospacing="0" w:before="0" w:afterAutospacing="0" w:after="40"/>
        <w:jc w:val="both"/>
        <w:rPr>
          <w:rFonts w:ascii="Times New Roman" w:hAnsi="Times New Roman"/>
          <w:b/>
          <w:bCs/>
          <w:color w:themeColor="text1" w:val="000000"/>
          <w:sz w:val="30"/>
          <w:szCs w:val="30"/>
        </w:rPr>
      </w:pPr>
      <w:r>
        <w:rPr>
          <w:rFonts w:ascii="Times New Roman" w:hAnsi="Times New Roman"/>
          <w:b/>
          <w:bCs/>
          <w:color w:themeColor="text1" w:val="000000"/>
          <w:sz w:val="30"/>
          <w:szCs w:val="30"/>
        </w:rPr>
        <w:t>Supplementary Materials</w:t>
      </w:r>
    </w:p>
    <w:p>
      <w:pPr>
        <w:pStyle w:val="Normal"/>
        <w:bidi w:val="0"/>
        <w:spacing w:before="0" w:after="40"/>
        <w:jc w:val="left"/>
        <w:rPr>
          <w:rFonts w:ascii="Times New Roman" w:hAnsi="Times New Roman" w:cs="Times New Roman"/>
          <w:b/>
          <w:color w:themeColor="text1" w:val="000000"/>
          <w:lang w:bidi="ar-SA"/>
        </w:rPr>
      </w:pPr>
      <w:r>
        <w:rPr>
          <w:rFonts w:cs="Times New Roman" w:ascii="Times New Roman" w:hAnsi="Times New Roman"/>
          <w:b/>
          <w:color w:themeColor="text1" w:val="000000"/>
          <w:lang w:bidi="ar-SA"/>
        </w:rPr>
        <w:t xml:space="preserve">Table S1 Baseline characteristics of participants with complete follow-up (n=72) and </w:t>
      </w:r>
      <w:r>
        <w:rPr>
          <w:rFonts w:cs="Times New Roman" w:ascii="Times New Roman" w:hAnsi="Times New Roman"/>
          <w:b/>
          <w:bCs/>
          <w:color w:themeColor="text1" w:val="000000"/>
        </w:rPr>
        <w:t>incomplete follow-up data (n=6)</w:t>
      </w:r>
    </w:p>
    <w:tbl>
      <w:tblPr>
        <w:tblW w:w="8306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firstRow="1" w:noVBand="1" w:lastRow="0" w:firstColumn="1" w:lastColumn="0" w:noHBand="0" w:val="04a0"/>
      </w:tblPr>
      <w:tblGrid>
        <w:gridCol w:w="2976"/>
        <w:gridCol w:w="1701"/>
        <w:gridCol w:w="1986"/>
        <w:gridCol w:w="1642"/>
      </w:tblGrid>
      <w:tr>
        <w:trPr>
          <w:tblHeader w:val="true"/>
        </w:trPr>
        <w:tc>
          <w:tcPr>
            <w:tcW w:w="2976" w:type="dxa"/>
            <w:vMerge w:val="restart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19"/>
                <w:szCs w:val="19"/>
              </w:rPr>
              <w:t>Baseline characteristics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</w:rPr>
              <w:t>Patients with complete follow-up</w:t>
            </w:r>
          </w:p>
        </w:tc>
        <w:tc>
          <w:tcPr>
            <w:tcW w:w="1986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themeColor="text1" w:val="000000"/>
                <w:sz w:val="18"/>
                <w:szCs w:val="18"/>
              </w:rPr>
              <w:t>Patients with incomplete follow-up data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themeColor="text1" w:val="000000"/>
                <w:sz w:val="18"/>
                <w:szCs w:val="18"/>
                <w:lang w:bidi="ar-SA"/>
              </w:rPr>
              <w:t>P-</w:t>
            </w:r>
            <w:r>
              <w:rPr>
                <w:rFonts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  <w:t>value</w:t>
            </w:r>
          </w:p>
        </w:tc>
      </w:tr>
      <w:tr>
        <w:trPr>
          <w:tblHeader w:val="true"/>
        </w:trPr>
        <w:tc>
          <w:tcPr>
            <w:tcW w:w="2976" w:type="dxa"/>
            <w:vMerge w:val="continue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</w:rPr>
              <w:t>(n=72)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themeColor="text1" w:val="000000"/>
                <w:sz w:val="18"/>
                <w:szCs w:val="18"/>
              </w:rPr>
              <w:t>(n=6)</w:t>
            </w:r>
          </w:p>
        </w:tc>
        <w:tc>
          <w:tcPr>
            <w:tcW w:w="1642" w:type="dxa"/>
            <w:vMerge w:val="continue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themeColor="text1" w:val="000000"/>
                <w:sz w:val="18"/>
                <w:szCs w:val="18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</w:rPr>
              <w:t>Male, n</w:t>
            </w:r>
            <w:r>
              <w:rPr>
                <w:rFonts w:cs="Times New Roman" w:ascii="Times New Roman" w:hAnsi="Times New Roman"/>
                <w:bCs/>
                <w:color w:val="000000"/>
                <w:sz w:val="18"/>
                <w:szCs w:val="18"/>
                <w:lang w:bidi="ar-SA"/>
              </w:rPr>
              <w:t>(%)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  <w:t>14 (19.4%)</w:t>
            </w:r>
          </w:p>
        </w:tc>
        <w:tc>
          <w:tcPr>
            <w:tcW w:w="1986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 (33.3%)</w:t>
            </w:r>
          </w:p>
        </w:tc>
        <w:tc>
          <w:tcPr>
            <w:tcW w:w="1642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0.597</w:t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lang w:bidi="ar-SA"/>
              </w:rPr>
              <w:t>Age, years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50.6</w:t>
            </w:r>
            <w:r>
              <w:rPr>
                <w:rFonts w:cs="Times New Roman" w:ascii="Times New Roman" w:hAnsi="Times New Roman"/>
                <w:bCs/>
                <w:color w:themeColor="text1" w:val="000000"/>
                <w:sz w:val="18"/>
                <w:szCs w:val="18"/>
                <w:lang w:bidi="ar-SA"/>
              </w:rPr>
              <w:t>±12.0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color w:themeColor="text1" w:val="000000"/>
              </w:rPr>
            </w:pPr>
            <w:r>
              <w:rPr>
                <w:rFonts w:cs="Times New Roman" w:ascii="Times New Roman" w:hAnsi="Times New Roman"/>
                <w:bCs/>
                <w:color w:themeColor="text1" w:val="000000"/>
                <w:sz w:val="18"/>
                <w:szCs w:val="18"/>
                <w:lang w:bidi="ar-SA"/>
              </w:rPr>
              <w:t>47.0±12.6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bCs/>
                <w:color w:themeColor="text1" w:val="000000"/>
                <w:sz w:val="18"/>
                <w:szCs w:val="18"/>
                <w:lang w:bidi="ar-SA"/>
              </w:rPr>
              <w:t>0.476</w:t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</w:rPr>
              <w:t>BMI, kg/m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24.1</w:t>
            </w:r>
            <w:r>
              <w:rPr>
                <w:rFonts w:cs="Times New Roman" w:ascii="Times New Roman" w:hAnsi="Times New Roman"/>
                <w:bCs/>
                <w:color w:themeColor="text1" w:val="000000"/>
                <w:sz w:val="18"/>
                <w:szCs w:val="18"/>
                <w:lang w:bidi="ar-SA"/>
              </w:rPr>
              <w:t>±3.5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bCs/>
                <w:color w:themeColor="text1" w:val="000000"/>
                <w:sz w:val="18"/>
                <w:szCs w:val="18"/>
                <w:lang w:bidi="ar-SA"/>
              </w:rPr>
              <w:t>24.7±3.6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bCs/>
                <w:color w:themeColor="text1" w:val="000000"/>
                <w:sz w:val="18"/>
                <w:szCs w:val="18"/>
                <w:lang w:bidi="ar-SA"/>
              </w:rPr>
              <w:t>0.707</w:t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</w:rPr>
              <w:t>Current smoker, n</w:t>
            </w:r>
            <w:r>
              <w:rPr>
                <w:rFonts w:cs="Times New Roman" w:ascii="Times New Roman" w:hAnsi="Times New Roman"/>
                <w:bCs/>
                <w:color w:val="000000"/>
                <w:sz w:val="18"/>
                <w:szCs w:val="18"/>
                <w:lang w:bidi="ar-SA"/>
              </w:rPr>
              <w:t>(%)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  <w:t>8 (11.1%)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 (0.0%)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1.000</w:t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</w:rPr>
              <w:t>ASA physical status, n</w:t>
            </w:r>
            <w:r>
              <w:rPr>
                <w:rFonts w:cs="Times New Roman" w:ascii="Times New Roman" w:hAnsi="Times New Roman"/>
                <w:bCs/>
                <w:color w:val="000000"/>
                <w:sz w:val="18"/>
                <w:szCs w:val="18"/>
                <w:lang w:bidi="ar-SA"/>
              </w:rPr>
              <w:t>(%)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1.000</w:t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1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sz w:val="18"/>
                <w:b/>
                <w:szCs w:val="18"/>
                <w:bCs/>
                <w:rFonts w:cs="Times New Roman" w:ascii="Times New Roman" w:hAnsi="Times New Roman"/>
                <w:color w:val="000000"/>
              </w:rPr>
              <w:instrText xml:space="preserve"> = 1 \* ROMAN</w:instrText>
            </w:r>
            <w:r>
              <w:rPr>
                <w:sz w:val="18"/>
                <w:b/>
                <w:szCs w:val="18"/>
                <w:bCs/>
                <w:rFonts w:cs="Times New Roman" w:ascii="Times New Roman" w:hAnsi="Times New Roman"/>
                <w:color w:val="000000"/>
              </w:rPr>
              <w:fldChar w:fldCharType="separate"/>
            </w:r>
            <w:r>
              <w:rPr>
                <w:sz w:val="18"/>
                <w:b/>
                <w:szCs w:val="18"/>
                <w:bCs/>
                <w:rFonts w:cs="Times New Roman" w:ascii="Times New Roman" w:hAnsi="Times New Roman"/>
                <w:color w:val="000000"/>
              </w:rPr>
              <w:t>** Expression is faulty **</w:t>
            </w:r>
            <w:r>
              <w:rPr>
                <w:sz w:val="18"/>
                <w:b/>
                <w:szCs w:val="18"/>
                <w:bCs/>
                <w:rFonts w:cs="Times New Roman" w:ascii="Times New Roman" w:hAnsi="Times New Roman"/>
                <w:color w:val="000000"/>
              </w:rPr>
              <w:fldChar w:fldCharType="end"/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  <w:t>30 (41.7%)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 (33.3%)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1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sz w:val="18"/>
                <w:b/>
                <w:szCs w:val="18"/>
                <w:bCs/>
                <w:rFonts w:cs="Times New Roman" w:ascii="Times New Roman" w:hAnsi="Times New Roman"/>
                <w:color w:val="000000"/>
              </w:rPr>
              <w:instrText xml:space="preserve"> = 2 \* ROMAN</w:instrText>
            </w:r>
            <w:r>
              <w:rPr>
                <w:sz w:val="18"/>
                <w:b/>
                <w:szCs w:val="18"/>
                <w:bCs/>
                <w:rFonts w:cs="Times New Roman" w:ascii="Times New Roman" w:hAnsi="Times New Roman"/>
                <w:color w:val="000000"/>
              </w:rPr>
              <w:fldChar w:fldCharType="separate"/>
            </w:r>
            <w:r>
              <w:rPr>
                <w:sz w:val="18"/>
                <w:b/>
                <w:szCs w:val="18"/>
                <w:bCs/>
                <w:rFonts w:cs="Times New Roman" w:ascii="Times New Roman" w:hAnsi="Times New Roman"/>
                <w:color w:val="000000"/>
              </w:rPr>
              <w:t>** Expression is faulty **</w:t>
            </w:r>
            <w:r>
              <w:rPr>
                <w:sz w:val="18"/>
                <w:b/>
                <w:szCs w:val="18"/>
                <w:bCs/>
                <w:rFonts w:cs="Times New Roman" w:ascii="Times New Roman" w:hAnsi="Times New Roman"/>
                <w:color w:val="000000"/>
              </w:rPr>
              <w:fldChar w:fldCharType="end"/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  <w:t>42 (58.3%)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4 (66.7%)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</w:rPr>
              <w:t>Educational level, n</w:t>
            </w:r>
            <w:r>
              <w:rPr>
                <w:rFonts w:cs="Times New Roman" w:ascii="Times New Roman" w:hAnsi="Times New Roman"/>
                <w:bCs/>
                <w:color w:val="000000"/>
                <w:sz w:val="18"/>
                <w:szCs w:val="18"/>
                <w:lang w:bidi="ar-SA"/>
              </w:rPr>
              <w:t>(%)</w:t>
            </w:r>
          </w:p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High school or college diploma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  <w:t>24 (33.3%)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 (33.3%)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0.949</w:t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Bachelor's degree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  <w:t>28 (38.9%)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 (33.3%)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Graduate degree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  <w:t>20 (27.8%)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 (33.3%)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</w:rPr>
              <w:t>Employment status, n</w:t>
            </w:r>
            <w:r>
              <w:rPr>
                <w:rFonts w:cs="Times New Roman" w:ascii="Times New Roman" w:hAnsi="Times New Roman"/>
                <w:bCs/>
                <w:color w:val="000000"/>
                <w:sz w:val="18"/>
                <w:szCs w:val="18"/>
                <w:lang w:bidi="ar-SA"/>
              </w:rPr>
              <w:t>(%)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0.836</w:t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Employed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  <w:t>44 (61.1%)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4 (66.7%)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Retired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  <w:t>26 (36.1%)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 (33.3%)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Student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  <w:t>2 (2.8%)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 (0.0%)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</w:rPr>
              <w:t>Comorbidity, n</w:t>
            </w:r>
            <w:r>
              <w:rPr>
                <w:rFonts w:cs="Times New Roman" w:ascii="Times New Roman" w:hAnsi="Times New Roman"/>
                <w:bCs/>
                <w:color w:val="000000"/>
                <w:sz w:val="18"/>
                <w:szCs w:val="18"/>
                <w:lang w:bidi="ar-SA"/>
              </w:rPr>
              <w:t>(%)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0.705</w:t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18"/>
                <w:szCs w:val="18"/>
              </w:rPr>
              <w:t>Depression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  <w:t>4 (5.6%)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1 (16.7%)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  <w:t>10 (13.9%)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 (0.0%)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Asthma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  <w:t>2 (2.8%)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 (0.0%)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History of thyroid cancer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  <w:t>4 (5.6%)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 (0.0%)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History of endometrial cancer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  <w:t>2 (2.8%)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 (0.0%)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Coronary heart disease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  <w:t>2 (2.8%)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 (0.0%)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</w:rPr>
              <w:t>Preoperative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18"/>
                <w:szCs w:val="18"/>
              </w:rPr>
              <w:t>FEV1 %pre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  <w:t>102.8</w:t>
            </w:r>
            <w:r>
              <w:rPr>
                <w:rFonts w:cs="Times New Roman" w:ascii="Times New Roman" w:hAnsi="Times New Roman"/>
                <w:bCs/>
                <w:color w:val="000000"/>
                <w:sz w:val="18"/>
                <w:szCs w:val="18"/>
                <w:lang w:bidi="ar-SA"/>
              </w:rPr>
              <w:t>±13.3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106.1</w:t>
            </w:r>
            <w:r>
              <w:rPr>
                <w:rFonts w:cs="Times New Roman" w:ascii="Times New Roman" w:hAnsi="Times New Roman"/>
                <w:bCs/>
                <w:color w:themeColor="text1" w:val="000000"/>
                <w:sz w:val="18"/>
                <w:szCs w:val="18"/>
                <w:lang w:bidi="ar-SA"/>
              </w:rPr>
              <w:t>±4.9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0.050</w:t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18"/>
                <w:szCs w:val="18"/>
              </w:rPr>
              <w:t>FVC %pre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  <w:t>109.4</w:t>
            </w:r>
            <w:r>
              <w:rPr>
                <w:rFonts w:cs="Times New Roman" w:ascii="Times New Roman" w:hAnsi="Times New Roman"/>
                <w:bCs/>
                <w:color w:val="000000"/>
                <w:sz w:val="18"/>
                <w:szCs w:val="18"/>
                <w:lang w:bidi="ar-SA"/>
              </w:rPr>
              <w:t>±15.1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111.3</w:t>
            </w:r>
            <w:r>
              <w:rPr>
                <w:rFonts w:cs="Times New Roman" w:ascii="Times New Roman" w:hAnsi="Times New Roman"/>
                <w:bCs/>
                <w:color w:themeColor="text1" w:val="000000"/>
                <w:sz w:val="18"/>
                <w:szCs w:val="18"/>
                <w:lang w:bidi="ar-SA"/>
              </w:rPr>
              <w:t>±6.0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0.057</w:t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Location of tumor, n (%)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1.000</w:t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18"/>
                <w:szCs w:val="18"/>
              </w:rPr>
              <w:t>Left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  <w:t>28 (38.9%)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 (33.3%)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bCs/>
                <w:color w:val="000000"/>
                <w:sz w:val="18"/>
                <w:szCs w:val="18"/>
              </w:rPr>
              <w:t>Right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  <w:t>44 (61.1%)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4 (66.7%)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Stage I A(T1N0M0), n (%)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1.000</w:t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color w:themeColor="text1" w:val="000000"/>
                <w:sz w:val="18"/>
                <w:szCs w:val="18"/>
              </w:rPr>
              <w:t xml:space="preserve">     </w:t>
            </w:r>
            <w:r>
              <w:rPr>
                <w:rFonts w:cs="Times New Roman" w:ascii="Times New Roman" w:hAnsi="Times New Roman"/>
                <w:b/>
                <w:color w:themeColor="text1" w:val="000000"/>
                <w:sz w:val="18"/>
                <w:szCs w:val="18"/>
              </w:rPr>
              <w:t>I A1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64 (88.9%)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6 (100%)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color w:themeColor="text1" w:val="000000"/>
                <w:sz w:val="18"/>
                <w:szCs w:val="18"/>
              </w:rPr>
              <w:t xml:space="preserve">     </w:t>
            </w:r>
            <w:r>
              <w:rPr>
                <w:rFonts w:cs="Times New Roman" w:ascii="Times New Roman" w:hAnsi="Times New Roman"/>
                <w:b/>
                <w:color w:themeColor="text1" w:val="000000"/>
                <w:sz w:val="18"/>
                <w:szCs w:val="18"/>
              </w:rPr>
              <w:t>I A2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8 (11.1%)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 (0.0%)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color w:themeColor="text1" w:val="000000"/>
                <w:sz w:val="18"/>
                <w:szCs w:val="18"/>
              </w:rPr>
              <w:t xml:space="preserve">     </w:t>
            </w:r>
            <w:r>
              <w:rPr>
                <w:rFonts w:cs="Times New Roman" w:ascii="Times New Roman" w:hAnsi="Times New Roman"/>
                <w:b/>
                <w:color w:themeColor="text1" w:val="000000"/>
                <w:sz w:val="18"/>
                <w:szCs w:val="18"/>
              </w:rPr>
              <w:t>I A3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 (0.0%)</w:t>
            </w:r>
          </w:p>
        </w:tc>
        <w:tc>
          <w:tcPr>
            <w:tcW w:w="1986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 (0.0%)</w:t>
            </w:r>
          </w:p>
        </w:tc>
        <w:tc>
          <w:tcPr>
            <w:tcW w:w="1642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</w:tbl>
    <w:p>
      <w:pPr>
        <w:pStyle w:val="Normal"/>
        <w:bidi w:val="0"/>
        <w:spacing w:before="0" w:after="40"/>
        <w:jc w:val="both"/>
        <w:rPr>
          <w:rFonts w:ascii="Times New Roman" w:hAnsi="Times New Roman" w:eastAsia="Times New Roman" w:cs="Times New Roman"/>
          <w:i/>
          <w:i/>
          <w:iCs/>
          <w:color w:val="595959"/>
          <w:sz w:val="18"/>
          <w:szCs w:val="18"/>
        </w:rPr>
      </w:pPr>
      <w:r>
        <w:rPr>
          <w:rFonts w:eastAsia="Times New Roman" w:cs="Times New Roman" w:ascii="Times New Roman" w:hAnsi="Times New Roman"/>
          <w:i/>
          <w:iCs/>
          <w:color w:val="595959"/>
          <w:sz w:val="18"/>
          <w:szCs w:val="18"/>
        </w:rPr>
        <w:t>Values are presented as Mean</w:t>
      </w:r>
      <w:r>
        <w:rPr>
          <w:rFonts w:ascii="Times New Roman" w:hAnsi="Times New Roman"/>
          <w:color w:val="000000"/>
          <w:sz w:val="18"/>
          <w:szCs w:val="18"/>
          <w:lang w:bidi="ar-SA"/>
        </w:rPr>
        <w:t>±</w:t>
      </w:r>
      <w:r>
        <w:rPr>
          <w:rFonts w:eastAsia="Times New Roman" w:cs="Times New Roman" w:ascii="Times New Roman" w:hAnsi="Times New Roman"/>
          <w:i/>
          <w:iCs/>
          <w:color w:val="595959"/>
          <w:sz w:val="18"/>
          <w:szCs w:val="18"/>
        </w:rPr>
        <w:t>SD for normally distributed variables and Median (IOR) for non-normally distributed variables</w:t>
      </w:r>
      <w:r>
        <w:rPr>
          <w:i/>
          <w:iCs/>
          <w:color w:val="595959"/>
          <w:sz w:val="18"/>
          <w:szCs w:val="18"/>
        </w:rPr>
        <w:t xml:space="preserve">. </w:t>
      </w:r>
      <w:r>
        <w:rPr>
          <w:rFonts w:eastAsia="Times New Roman" w:cs="Times New Roman" w:ascii="Times New Roman" w:hAnsi="Times New Roman"/>
          <w:i/>
          <w:iCs/>
          <w:color w:val="595959"/>
          <w:sz w:val="18"/>
          <w:szCs w:val="18"/>
        </w:rPr>
        <w:t>BMI, body mass index; ASA physical status, American Society of Anesthesiologists physical status; FEV1, forced expiratory volume in 1 second; FVC, forced vital capacity; VATS: video-assisted thoracoscopic surgery.</w:t>
      </w:r>
    </w:p>
    <w:p>
      <w:pPr>
        <w:pStyle w:val="Normal"/>
        <w:bidi w:val="0"/>
        <w:spacing w:before="0" w:after="40"/>
        <w:jc w:val="left"/>
        <w:rPr>
          <w:rFonts w:ascii="Times New Roman" w:hAnsi="Times New Roman" w:cs="Times New Roman"/>
          <w:b/>
          <w:color w:val="FF0000"/>
          <w:lang w:bidi="ar-SA"/>
        </w:rPr>
      </w:pPr>
      <w:r>
        <w:rPr>
          <w:rFonts w:cs="Times New Roman" w:ascii="Times New Roman" w:hAnsi="Times New Roman"/>
          <w:b/>
          <w:color w:val="FF0000"/>
          <w:lang w:bidi="ar-SA"/>
        </w:rPr>
      </w:r>
    </w:p>
    <w:p>
      <w:pPr>
        <w:pStyle w:val="Normal"/>
        <w:bidi w:val="0"/>
        <w:spacing w:before="0" w:after="40"/>
        <w:jc w:val="left"/>
        <w:rPr>
          <w:rFonts w:ascii="Times New Roman" w:hAnsi="Times New Roman" w:cs="Times New Roman"/>
          <w:b/>
          <w:color w:val="FF0000"/>
          <w:lang w:bidi="ar-SA"/>
        </w:rPr>
      </w:pPr>
      <w:r>
        <w:rPr>
          <w:rFonts w:cs="Times New Roman" w:ascii="Times New Roman" w:hAnsi="Times New Roman"/>
          <w:b/>
          <w:color w:val="FF0000"/>
          <w:lang w:bidi="ar-SA"/>
        </w:rPr>
      </w:r>
    </w:p>
    <w:p>
      <w:pPr>
        <w:pStyle w:val="Normal"/>
        <w:bidi w:val="0"/>
        <w:spacing w:before="0" w:after="40"/>
        <w:jc w:val="both"/>
        <w:rPr>
          <w:rFonts w:ascii="Times New Roman" w:hAnsi="Times New Roman" w:cs="Times New Roman"/>
          <w:b/>
          <w:color w:themeColor="text1" w:val="000000"/>
          <w:lang w:bidi="ar-SA"/>
        </w:rPr>
      </w:pPr>
      <w:r>
        <w:rPr>
          <w:rFonts w:cs="Times New Roman" w:ascii="Times New Roman" w:hAnsi="Times New Roman"/>
          <w:b/>
          <w:color w:themeColor="text1" w:val="000000"/>
          <w:lang w:bidi="ar-SA"/>
        </w:rPr>
        <w:t>Table S2. Comparison of preoperative Functional Outcomes and Health-Related Quality of Life between participants with complete follow-up (n=72) and incomplete follow-up (n=6)</w:t>
      </w:r>
    </w:p>
    <w:tbl>
      <w:tblPr>
        <w:tblW w:w="9949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firstRow="1" w:noVBand="1" w:lastRow="0" w:firstColumn="1" w:lastColumn="0" w:noHBand="0" w:val="04a0"/>
      </w:tblPr>
      <w:tblGrid>
        <w:gridCol w:w="2976"/>
        <w:gridCol w:w="1702"/>
        <w:gridCol w:w="1984"/>
        <w:gridCol w:w="1644"/>
        <w:gridCol w:w="1643"/>
      </w:tblGrid>
      <w:tr>
        <w:trPr>
          <w:tblHeader w:val="true"/>
        </w:trPr>
        <w:tc>
          <w:tcPr>
            <w:tcW w:w="2976" w:type="dxa"/>
            <w:vMerge w:val="restart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themeColor="text1" w:val="000000"/>
                <w:sz w:val="18"/>
                <w:szCs w:val="18"/>
              </w:rPr>
              <w:t>Patients with complete follow-up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themeColor="text1" w:val="000000"/>
                <w:sz w:val="18"/>
                <w:szCs w:val="18"/>
              </w:rPr>
              <w:t>Patients with incomplete follow-up data</w:t>
            </w:r>
          </w:p>
        </w:tc>
        <w:tc>
          <w:tcPr>
            <w:tcW w:w="1644" w:type="dxa"/>
            <w:vMerge w:val="restart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themeColor="text1" w:val="000000"/>
                <w:sz w:val="18"/>
                <w:szCs w:val="18"/>
                <w:lang w:bidi="ar-SA"/>
              </w:rPr>
              <w:t>P-</w:t>
            </w:r>
            <w:r>
              <w:rPr>
                <w:rFonts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  <w:t>value</w:t>
            </w:r>
          </w:p>
        </w:tc>
        <w:tc>
          <w:tcPr>
            <w:tcW w:w="164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blHeader w:val="true"/>
        </w:trPr>
        <w:tc>
          <w:tcPr>
            <w:tcW w:w="2976" w:type="dxa"/>
            <w:vMerge w:val="continue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themeColor="text1" w:val="000000"/>
                <w:sz w:val="18"/>
                <w:szCs w:val="18"/>
              </w:rPr>
            </w:r>
          </w:p>
        </w:tc>
        <w:tc>
          <w:tcPr>
            <w:tcW w:w="1702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themeColor="text1" w:val="000000"/>
                <w:sz w:val="18"/>
                <w:szCs w:val="18"/>
              </w:rPr>
              <w:t>(n=72)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themeColor="text1" w:val="000000"/>
                <w:sz w:val="18"/>
                <w:szCs w:val="18"/>
              </w:rPr>
              <w:t>(n=6)</w:t>
            </w:r>
          </w:p>
        </w:tc>
        <w:tc>
          <w:tcPr>
            <w:tcW w:w="1644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themeColor="text1" w:val="000000"/>
                <w:sz w:val="18"/>
                <w:szCs w:val="18"/>
              </w:rPr>
            </w:r>
          </w:p>
        </w:tc>
        <w:tc>
          <w:tcPr>
            <w:tcW w:w="164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85" w:hRule="atLeast"/>
        </w:trPr>
        <w:tc>
          <w:tcPr>
            <w:tcW w:w="2976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  <w:t>Functional capacity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270"/>
              <w:jc w:val="left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6MWT, m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572.89±70.76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573.67±75.70</w:t>
            </w:r>
          </w:p>
        </w:tc>
        <w:tc>
          <w:tcPr>
            <w:tcW w:w="164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0.822</w:t>
            </w:r>
          </w:p>
        </w:tc>
        <w:tc>
          <w:tcPr>
            <w:tcW w:w="164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  <w:t>Respiratory muscle strength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270"/>
              <w:jc w:val="left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MIP, cmH₂O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81.33±24.33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82.33±26.40</w:t>
            </w:r>
          </w:p>
        </w:tc>
        <w:tc>
          <w:tcPr>
            <w:tcW w:w="164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0.409</w:t>
            </w:r>
          </w:p>
        </w:tc>
        <w:tc>
          <w:tcPr>
            <w:tcW w:w="164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270"/>
              <w:jc w:val="left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MEP, cmH₂O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107.56±22.56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121.67±30.44</w:t>
            </w:r>
          </w:p>
        </w:tc>
        <w:tc>
          <w:tcPr>
            <w:tcW w:w="164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0.245</w:t>
            </w:r>
          </w:p>
        </w:tc>
        <w:tc>
          <w:tcPr>
            <w:tcW w:w="164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  <w:t>Peripheral muscle strength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Grip, kg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 xml:space="preserve">    </w:t>
            </w: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left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25.15 (23.00, 28.53)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27.1 (25.10, 30.30)</w:t>
            </w:r>
          </w:p>
        </w:tc>
        <w:tc>
          <w:tcPr>
            <w:tcW w:w="164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0.078</w:t>
            </w:r>
          </w:p>
        </w:tc>
        <w:tc>
          <w:tcPr>
            <w:tcW w:w="1643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 xml:space="preserve">    </w:t>
            </w: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Right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27.30 (24.00, 32.05)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33.00 (26.00, 35.10)</w:t>
            </w:r>
          </w:p>
        </w:tc>
        <w:tc>
          <w:tcPr>
            <w:tcW w:w="164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0.052</w:t>
            </w:r>
          </w:p>
        </w:tc>
        <w:tc>
          <w:tcPr>
            <w:tcW w:w="164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Quadriceps strength, kg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 xml:space="preserve">    </w:t>
            </w: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left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</w:rPr>
              <w:t>33.95 (29.08, 43.68)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36.60 (31.80, 62.10)</w:t>
            </w:r>
          </w:p>
        </w:tc>
        <w:tc>
          <w:tcPr>
            <w:tcW w:w="164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0.084</w:t>
            </w:r>
          </w:p>
        </w:tc>
        <w:tc>
          <w:tcPr>
            <w:tcW w:w="164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 xml:space="preserve">    </w:t>
            </w: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Right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</w:rPr>
              <w:t>36.10 (28.63, 42.40)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40.60 (30.20, 55.10)</w:t>
            </w:r>
          </w:p>
        </w:tc>
        <w:tc>
          <w:tcPr>
            <w:tcW w:w="164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0.099</w:t>
            </w:r>
          </w:p>
        </w:tc>
        <w:tc>
          <w:tcPr>
            <w:tcW w:w="164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  <w:t>Patient-reported outcomes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mMRC dyspnea scale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1.000</w:t>
            </w:r>
          </w:p>
        </w:tc>
        <w:tc>
          <w:tcPr>
            <w:tcW w:w="164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630"/>
              <w:jc w:val="left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68 (94.44%)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6 (100.0%)</w:t>
            </w:r>
          </w:p>
        </w:tc>
        <w:tc>
          <w:tcPr>
            <w:tcW w:w="164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 xml:space="preserve">       </w:t>
            </w: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1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4 (5.56%)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 (0.00%)</w:t>
            </w:r>
          </w:p>
        </w:tc>
        <w:tc>
          <w:tcPr>
            <w:tcW w:w="164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 xml:space="preserve">       </w:t>
            </w: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 (0.00%)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 (0.00%)</w:t>
            </w:r>
          </w:p>
        </w:tc>
        <w:tc>
          <w:tcPr>
            <w:tcW w:w="164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GAD-7 anxiety score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3.00 (2.00, 5.00)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2.00 (0.00, 5.00)</w:t>
            </w:r>
          </w:p>
        </w:tc>
        <w:tc>
          <w:tcPr>
            <w:tcW w:w="164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0.403</w:t>
            </w:r>
          </w:p>
        </w:tc>
        <w:tc>
          <w:tcPr>
            <w:tcW w:w="164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PHQ-9 depression score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3.00 (1.00, 4.00)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3.00 (0.00, 5.00)</w:t>
            </w:r>
          </w:p>
        </w:tc>
        <w:tc>
          <w:tcPr>
            <w:tcW w:w="164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0.970</w:t>
            </w:r>
          </w:p>
        </w:tc>
        <w:tc>
          <w:tcPr>
            <w:tcW w:w="164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PSQI sleep quality score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6.00 (4.00, 8.25)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6.00 (2.00, 8.00)</w:t>
            </w:r>
          </w:p>
        </w:tc>
        <w:tc>
          <w:tcPr>
            <w:tcW w:w="164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0.596</w:t>
            </w:r>
          </w:p>
        </w:tc>
        <w:tc>
          <w:tcPr>
            <w:tcW w:w="164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  <w:t>Health-related quality of life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EQ-5D5L value set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1.00 (0.95, 1.00)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0.95 (0.89, 1.00)</w:t>
            </w:r>
          </w:p>
        </w:tc>
        <w:tc>
          <w:tcPr>
            <w:tcW w:w="164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0.094</w:t>
            </w:r>
          </w:p>
        </w:tc>
        <w:tc>
          <w:tcPr>
            <w:tcW w:w="164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EQ-VAS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90.00 (85.00, 95.00)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90.00 (85.00, 95.00)</w:t>
            </w:r>
          </w:p>
        </w:tc>
        <w:tc>
          <w:tcPr>
            <w:tcW w:w="164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1.000</w:t>
            </w:r>
          </w:p>
        </w:tc>
        <w:tc>
          <w:tcPr>
            <w:tcW w:w="164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bidi="ar-SA"/>
              </w:rPr>
              <w:t>SF-12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lang w:bidi="ar-SA"/>
              </w:rPr>
              <w:t>76.25 (67.5, 84.06)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76.25 (56.88, 81.25)</w:t>
            </w:r>
          </w:p>
        </w:tc>
        <w:tc>
          <w:tcPr>
            <w:tcW w:w="164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0.548</w:t>
            </w:r>
          </w:p>
        </w:tc>
        <w:tc>
          <w:tcPr>
            <w:tcW w:w="164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spacing w:before="0" w:after="40"/>
        <w:jc w:val="both"/>
        <w:rPr>
          <w:rFonts w:ascii="Times New Roman" w:hAnsi="Times New Roman" w:eastAsia="Times New Roman" w:cs="Times New Roman"/>
          <w:i/>
          <w:i/>
          <w:iCs/>
          <w:color w:val="595959"/>
          <w:sz w:val="18"/>
          <w:szCs w:val="18"/>
        </w:rPr>
      </w:pPr>
      <w:r>
        <w:rPr>
          <w:rFonts w:eastAsia="Times New Roman" w:cs="Times New Roman" w:ascii="Times New Roman" w:hAnsi="Times New Roman"/>
          <w:i/>
          <w:iCs/>
          <w:color w:val="595959"/>
          <w:sz w:val="18"/>
          <w:szCs w:val="18"/>
        </w:rPr>
        <w:t>Values are presented as Mean</w:t>
      </w:r>
      <w:r>
        <w:rPr>
          <w:rFonts w:ascii="Times New Roman" w:hAnsi="Times New Roman"/>
          <w:color w:val="000000"/>
          <w:sz w:val="18"/>
          <w:szCs w:val="18"/>
          <w:lang w:bidi="ar-SA"/>
        </w:rPr>
        <w:t>±</w:t>
      </w:r>
      <w:r>
        <w:rPr>
          <w:rFonts w:eastAsia="Times New Roman" w:cs="Times New Roman" w:ascii="Times New Roman" w:hAnsi="Times New Roman"/>
          <w:i/>
          <w:iCs/>
          <w:color w:val="595959"/>
          <w:sz w:val="18"/>
          <w:szCs w:val="18"/>
        </w:rPr>
        <w:t>SD for normally distributed variables and Median (IOR) for non-normally distributed variables</w:t>
      </w:r>
      <w:r>
        <w:rPr>
          <w:i/>
          <w:iCs/>
          <w:color w:val="595959"/>
          <w:sz w:val="18"/>
          <w:szCs w:val="18"/>
        </w:rPr>
        <w:t xml:space="preserve">. </w:t>
      </w:r>
      <w:r>
        <w:rPr>
          <w:rFonts w:eastAsia="Times New Roman" w:cs="Times New Roman" w:ascii="Times New Roman" w:hAnsi="Times New Roman"/>
          <w:i/>
          <w:iCs/>
          <w:color w:val="595959"/>
          <w:sz w:val="18"/>
          <w:szCs w:val="18"/>
        </w:rPr>
        <w:t>6MWT, 6-minute walk test; MIP, maximal inspiratory pressure; MEP, maximal expiratory pressure; mMRC, modified Medical Research Council; GAD-7, Generalized Anxiety Disorder-7; PHQ-9, Patient Health Questionnaire-9; PSQI, Pittsburgh Sleep Quality Index; EQ-5D5L, EuroQol 5 Dimensions 5 Levels; EQ-VAS, EuroQol Visual Analogue Scale; SF-12, 12-Item Short Form Health Survey; CI, confidence interval.</w:t>
      </w:r>
    </w:p>
    <w:p>
      <w:pPr>
        <w:pStyle w:val="ListParagraph"/>
        <w:numPr>
          <w:ilvl w:val="0"/>
          <w:numId w:val="0"/>
        </w:numPr>
        <w:bidi w:val="0"/>
        <w:snapToGrid w:val="false"/>
        <w:spacing w:before="100" w:after="100"/>
        <w:ind w:hanging="0" w:left="360"/>
        <w:jc w:val="both"/>
        <w:outlineLvl w:val="1"/>
        <w:rPr>
          <w:rFonts w:ascii="Times New Roman" w:hAnsi="Times New Roman" w:cs="Times New Roman"/>
          <w:szCs w:val="21"/>
        </w:rPr>
      </w:pPr>
      <w:r>
        <w:rPr>
          <w:rFonts w:cs="Times New Roman" w:ascii="Times New Roman" w:hAnsi="Times New Roman"/>
          <w:szCs w:val="21"/>
        </w:rPr>
      </w:r>
    </w:p>
    <w:p>
      <w:pPr>
        <w:pStyle w:val="ListParagraph"/>
        <w:numPr>
          <w:ilvl w:val="0"/>
          <w:numId w:val="0"/>
        </w:numPr>
        <w:bidi w:val="0"/>
        <w:snapToGrid w:val="false"/>
        <w:spacing w:before="100" w:after="100"/>
        <w:ind w:hanging="0" w:left="360"/>
        <w:jc w:val="both"/>
        <w:outlineLvl w:val="1"/>
        <w:rPr>
          <w:rFonts w:ascii="Times New Roman" w:hAnsi="Times New Roman" w:cs="Times New Roman"/>
          <w:color w:themeColor="text1" w:val="000000"/>
          <w:szCs w:val="21"/>
        </w:rPr>
      </w:pPr>
      <w:r>
        <w:rPr>
          <w:rFonts w:cs="Times New Roman" w:ascii="Times New Roman" w:hAnsi="Times New Roman"/>
          <w:color w:themeColor="text1" w:val="000000"/>
          <w:szCs w:val="21"/>
        </w:rPr>
      </w:r>
    </w:p>
    <w:p>
      <w:pPr>
        <w:pStyle w:val="Normal"/>
        <w:bidi w:val="0"/>
        <w:jc w:val="left"/>
        <w:rPr>
          <w:rFonts w:ascii="Times New Roman" w:hAnsi="Times New Roman" w:cs="Times New Roman"/>
          <w:b/>
          <w:color w:themeColor="text1" w:val="000000"/>
          <w:lang w:bidi="ar-SA"/>
        </w:rPr>
      </w:pPr>
      <w:r>
        <w:rPr>
          <w:rFonts w:cs="Times New Roman" w:ascii="Times New Roman" w:hAnsi="Times New Roman"/>
          <w:b/>
          <w:color w:themeColor="text1" w:val="000000"/>
          <w:lang w:bidi="ar-SA"/>
        </w:rPr>
        <w:t xml:space="preserve">Table S3. </w:t>
      </w:r>
      <w:r>
        <w:rPr>
          <w:rFonts w:ascii="Times New Roman" w:hAnsi="Times New Roman"/>
          <w:b/>
          <w:bCs/>
          <w:color w:themeColor="text1" w:val="000000"/>
          <w:sz w:val="20"/>
          <w:szCs w:val="20"/>
        </w:rPr>
        <w:t>Correlation Between Mean Daily Step Count at Postoperative Week 1 and Changes in Functional Outcomes (</w:t>
      </w:r>
      <w:r>
        <w:rPr>
          <w:rFonts w:ascii="Times New Roman" w:hAnsi="Times New Roman"/>
          <w:b/>
          <w:bCs/>
          <w:color w:themeColor="text1" w:val="000000"/>
          <w:sz w:val="18"/>
          <w:szCs w:val="18"/>
          <w:lang w:bidi="ar-SA"/>
        </w:rPr>
        <w:t>Worst-case imputation (n=78, P5) &amp; Best-case imputation (n=78, P95))</w:t>
      </w:r>
    </w:p>
    <w:tbl>
      <w:tblPr>
        <w:tblStyle w:val="ad"/>
        <w:tblW w:w="8348" w:type="dxa"/>
        <w:jc w:val="left"/>
        <w:tblInd w:w="-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976"/>
        <w:gridCol w:w="1127"/>
        <w:gridCol w:w="1035"/>
        <w:gridCol w:w="1127"/>
        <w:gridCol w:w="909"/>
        <w:gridCol w:w="1133"/>
        <w:gridCol w:w="1040"/>
      </w:tblGrid>
      <w:tr>
        <w:trPr/>
        <w:tc>
          <w:tcPr>
            <w:tcW w:w="197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left"/>
              <w:rPr>
                <w:rFonts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b/>
                <w:bCs/>
                <w:i/>
                <w:i/>
                <w:i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Patients with complete follow-up(n=72)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b/>
                <w:bCs/>
                <w:i/>
                <w:i/>
                <w:i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Worst-case imputation (n=78, P5)</w:t>
            </w:r>
          </w:p>
        </w:tc>
        <w:tc>
          <w:tcPr>
            <w:tcW w:w="217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Best-case imputation (n=78, P95)</w:t>
            </w:r>
          </w:p>
        </w:tc>
      </w:tr>
      <w:tr>
        <w:trPr/>
        <w:tc>
          <w:tcPr>
            <w:tcW w:w="1976" w:type="dxa"/>
            <w:vMerge w:val="continue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left"/>
              <w:rPr>
                <w:rFonts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</w:r>
          </w:p>
        </w:tc>
        <w:tc>
          <w:tcPr>
            <w:tcW w:w="1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Spearman's rho</w:t>
            </w: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b/>
                <w:bCs/>
                <w:i/>
                <w:i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P-</w:t>
            </w: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value</w:t>
            </w:r>
          </w:p>
        </w:tc>
        <w:tc>
          <w:tcPr>
            <w:tcW w:w="1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Spearman's rho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b/>
                <w:bCs/>
                <w:i/>
                <w:i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P-</w:t>
            </w: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value</w:t>
            </w: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Spearman's rho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eastAsia="宋体" w:ascii="Times New Roman" w:hAnsi="Times New Roman"/>
                <w:b/>
                <w:bCs/>
                <w:i/>
                <w:i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P-</w:t>
            </w: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value</w:t>
            </w:r>
          </w:p>
        </w:tc>
      </w:tr>
      <w:tr>
        <w:trPr/>
        <w:tc>
          <w:tcPr>
            <w:tcW w:w="197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left"/>
              <w:rPr>
                <w:rFonts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Δ6MWT, m</w:t>
            </w:r>
          </w:p>
        </w:tc>
        <w:tc>
          <w:tcPr>
            <w:tcW w:w="112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0.369</w:t>
            </w: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0.035</w:t>
            </w:r>
          </w:p>
        </w:tc>
        <w:tc>
          <w:tcPr>
            <w:tcW w:w="112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0.514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0.001</w:t>
            </w: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0.489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0.002</w:t>
            </w:r>
          </w:p>
        </w:tc>
      </w:tr>
      <w:tr>
        <w:trPr/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left"/>
              <w:rPr>
                <w:rFonts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ΔMIP, cm H₂O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-0.157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0.383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0.085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0.621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0.081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0.641</w:t>
            </w:r>
          </w:p>
        </w:tc>
      </w:tr>
      <w:tr>
        <w:trPr/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left"/>
              <w:rPr>
                <w:rFonts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ΔMEP, cm H₂O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-0.020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0.913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0.184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0.283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0.185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0.281</w:t>
            </w:r>
          </w:p>
        </w:tc>
      </w:tr>
      <w:tr>
        <w:trPr/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left"/>
              <w:rPr>
                <w:rFonts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ΔGrip, kg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</w:r>
          </w:p>
        </w:tc>
      </w:tr>
      <w:tr>
        <w:trPr/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ind w:firstLine="181"/>
              <w:jc w:val="left"/>
              <w:rPr>
                <w:rFonts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ΔLeft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0.057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0.753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0.254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0.135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0.238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0.162</w:t>
            </w:r>
          </w:p>
        </w:tc>
      </w:tr>
      <w:tr>
        <w:trPr/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ind w:firstLine="181"/>
              <w:jc w:val="left"/>
              <w:rPr>
                <w:rFonts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ΔRight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0.146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0.419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0.328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0.051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0.315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0.061</w:t>
            </w:r>
          </w:p>
        </w:tc>
      </w:tr>
      <w:tr>
        <w:trPr/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left"/>
              <w:rPr>
                <w:rFonts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ΔQuadriceps strength, kg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</w:r>
          </w:p>
        </w:tc>
      </w:tr>
      <w:tr>
        <w:trPr/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ind w:firstLine="361"/>
              <w:jc w:val="left"/>
              <w:rPr>
                <w:rFonts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ΔLeft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0.086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0.632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0.282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0.095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0.264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0.120</w:t>
            </w:r>
          </w:p>
        </w:tc>
      </w:tr>
      <w:tr>
        <w:trPr/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ind w:firstLine="361"/>
              <w:jc w:val="left"/>
              <w:rPr>
                <w:rFonts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ΔRight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-0.164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0.362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0.061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0.722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0.072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0.675</w:t>
            </w:r>
          </w:p>
        </w:tc>
      </w:tr>
      <w:tr>
        <w:trPr/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left"/>
              <w:rPr>
                <w:rFonts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ΔGAD-7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0.077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0.669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0.261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0.123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0.281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0.097</w:t>
            </w:r>
          </w:p>
        </w:tc>
      </w:tr>
      <w:tr>
        <w:trPr/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left"/>
              <w:rPr>
                <w:rFonts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ΔPHQ-9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0.140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0.437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0.318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0.059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0.325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0.053</w:t>
            </w:r>
          </w:p>
        </w:tc>
      </w:tr>
      <w:tr>
        <w:trPr/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left"/>
              <w:rPr>
                <w:rFonts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ΔPSQI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-0.211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0.238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0.047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0.787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0.050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0.770</w:t>
            </w:r>
          </w:p>
        </w:tc>
      </w:tr>
      <w:tr>
        <w:trPr/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left"/>
              <w:rPr>
                <w:rFonts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ΔEQ5D5L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0.198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0.268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0.379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0.061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0.383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0.057</w:t>
            </w:r>
          </w:p>
        </w:tc>
      </w:tr>
      <w:tr>
        <w:trPr/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left"/>
              <w:rPr>
                <w:rFonts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ΔEQ-VAS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0.047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0.796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0.232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0.173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0.239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0.161</w:t>
            </w:r>
          </w:p>
        </w:tc>
      </w:tr>
      <w:tr>
        <w:trPr/>
        <w:tc>
          <w:tcPr>
            <w:tcW w:w="19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left"/>
              <w:rPr>
                <w:rFonts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b/>
                <w:bCs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ΔSF-12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0.024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0.896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0.231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0.176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0.231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pStyle w:val="NormalWeb"/>
              <w:widowControl/>
              <w:bidi w:val="0"/>
              <w:spacing w:beforeAutospacing="0" w:before="0" w:afterAutospacing="0" w:after="40"/>
              <w:jc w:val="center"/>
              <w:rPr>
                <w:rFonts w:ascii="Times New Roman" w:hAnsi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eastAsia="宋体" w:ascii="Times New Roman" w:hAnsi="Times New Roman"/>
                <w:color w:themeColor="text1" w:val="000000"/>
                <w:kern w:val="0"/>
                <w:sz w:val="18"/>
                <w:szCs w:val="18"/>
                <w:lang w:val="en-US" w:eastAsia="zh-CN" w:bidi="ar-SA"/>
              </w:rPr>
              <w:t>0.175</w:t>
            </w:r>
          </w:p>
        </w:tc>
      </w:tr>
    </w:tbl>
    <w:p>
      <w:pPr>
        <w:pStyle w:val="Normal"/>
        <w:bidi w:val="0"/>
        <w:spacing w:before="0" w:after="40"/>
        <w:jc w:val="both"/>
        <w:rPr>
          <w:rFonts w:ascii="Times New Roman" w:hAnsi="Times New Roman" w:eastAsia="Times New Roman" w:cs="Times New Roman"/>
          <w:i/>
          <w:i/>
          <w:iCs/>
          <w:color w:val="595959"/>
          <w:sz w:val="18"/>
          <w:szCs w:val="18"/>
        </w:rPr>
      </w:pPr>
      <w:r>
        <w:rPr>
          <w:rFonts w:eastAsia="Times New Roman" w:cs="Times New Roman" w:ascii="Times New Roman" w:hAnsi="Times New Roman"/>
          <w:i/>
          <w:iCs/>
          <w:color w:val="595959"/>
          <w:sz w:val="18"/>
          <w:szCs w:val="18"/>
        </w:rPr>
        <w:t>6MWT, 6-minute walk test; MIP, maximal inspiratory pressure; MEP, maximal expiratory pressure; mMRC, modified Medical Research Council; GAD-7, Generalized Anxiety Disorder-7; PHQ-9, Patient Health Questionnaire-9; PSQI, Pittsburgh Sleep Quality Index; EQ-5D5L, EuroQol 5 Dimensions 5 Levels; EQ-VAS, EuroQol Visual Analogue Scale; SF-12, 12-Item Short Form Health Survey; CI, confidence interval.</w:t>
      </w:r>
    </w:p>
    <w:p>
      <w:pPr>
        <w:pStyle w:val="ListParagraph"/>
        <w:numPr>
          <w:ilvl w:val="0"/>
          <w:numId w:val="0"/>
        </w:numPr>
        <w:bidi w:val="0"/>
        <w:snapToGrid w:val="false"/>
        <w:spacing w:before="100" w:after="100"/>
        <w:ind w:hanging="0" w:left="360"/>
        <w:jc w:val="both"/>
        <w:outlineLvl w:val="1"/>
        <w:rPr>
          <w:rFonts w:ascii="Times New Roman" w:hAnsi="Times New Roman" w:cs="Times New Roman"/>
          <w:szCs w:val="21"/>
        </w:rPr>
      </w:pPr>
      <w:r>
        <w:rPr>
          <w:rFonts w:cs="Times New Roman" w:ascii="Times New Roman" w:hAnsi="Times New Roman"/>
          <w:szCs w:val="21"/>
        </w:rPr>
      </w:r>
    </w:p>
    <w:p>
      <w:pPr>
        <w:pStyle w:val="ListParagraph"/>
        <w:numPr>
          <w:ilvl w:val="0"/>
          <w:numId w:val="0"/>
        </w:numPr>
        <w:bidi w:val="0"/>
        <w:snapToGrid w:val="false"/>
        <w:spacing w:before="100" w:after="100"/>
        <w:ind w:hanging="0" w:left="360"/>
        <w:jc w:val="both"/>
        <w:outlineLvl w:val="1"/>
        <w:rPr>
          <w:rFonts w:ascii="Times New Roman" w:hAnsi="Times New Roman" w:cs="Times New Roman"/>
          <w:szCs w:val="21"/>
        </w:rPr>
      </w:pPr>
      <w:r>
        <w:rPr>
          <w:rFonts w:cs="Times New Roman" w:ascii="Times New Roman" w:hAnsi="Times New Roman"/>
          <w:szCs w:val="21"/>
        </w:rPr>
      </w:r>
    </w:p>
    <w:p>
      <w:pPr>
        <w:pStyle w:val="Normal"/>
        <w:numPr>
          <w:ilvl w:val="0"/>
          <w:numId w:val="0"/>
        </w:numPr>
        <w:bidi w:val="0"/>
        <w:snapToGrid w:val="false"/>
        <w:spacing w:before="100" w:after="100"/>
        <w:jc w:val="both"/>
        <w:outlineLvl w:val="1"/>
        <w:rPr>
          <w:rFonts w:ascii="Times New Roman" w:hAnsi="Times New Roman" w:cs="Times New Roman"/>
          <w:szCs w:val="21"/>
        </w:rPr>
      </w:pPr>
      <w:r>
        <w:rPr>
          <w:rFonts w:cs="Times New Roman" w:ascii="Times New Roman" w:hAnsi="Times New Roman"/>
          <w:szCs w:val="21"/>
        </w:rPr>
      </w:r>
    </w:p>
    <w:p>
      <w:pPr>
        <w:pStyle w:val="Normal"/>
        <w:bidi w:val="0"/>
        <w:spacing w:before="0" w:after="40"/>
        <w:jc w:val="left"/>
        <w:rPr>
          <w:rFonts w:ascii="Times New Roman" w:hAnsi="Times New Roman" w:cs="Times New Roman"/>
          <w:b/>
          <w:color w:themeColor="text1" w:val="000000"/>
          <w:lang w:bidi="ar-SA"/>
        </w:rPr>
      </w:pPr>
      <w:r>
        <w:rPr>
          <w:rFonts w:cs="Times New Roman" w:ascii="Times New Roman" w:hAnsi="Times New Roman"/>
          <w:b/>
          <w:color w:themeColor="text1" w:val="000000"/>
          <w:lang w:bidi="ar-SA"/>
        </w:rPr>
        <w:t xml:space="preserve">Table S4 Baseline characteristics of participants with complete follow-up (n=72) and </w:t>
      </w:r>
      <w:r>
        <w:rPr>
          <w:rFonts w:cs="Times New Roman" w:ascii="Times New Roman" w:hAnsi="Times New Roman"/>
          <w:b/>
          <w:bCs/>
          <w:color w:themeColor="text1" w:val="000000"/>
        </w:rPr>
        <w:t>incomplete follow-up or non-completers (n=10)</w:t>
      </w:r>
    </w:p>
    <w:tbl>
      <w:tblPr>
        <w:tblW w:w="8306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firstRow="1" w:noVBand="1" w:lastRow="0" w:firstColumn="1" w:lastColumn="0" w:noHBand="0" w:val="04a0"/>
      </w:tblPr>
      <w:tblGrid>
        <w:gridCol w:w="2976"/>
        <w:gridCol w:w="1701"/>
        <w:gridCol w:w="1986"/>
        <w:gridCol w:w="1642"/>
      </w:tblGrid>
      <w:tr>
        <w:trPr>
          <w:tblHeader w:val="true"/>
        </w:trPr>
        <w:tc>
          <w:tcPr>
            <w:tcW w:w="2976" w:type="dxa"/>
            <w:vMerge w:val="restart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19"/>
                <w:szCs w:val="19"/>
              </w:rPr>
              <w:t>Baseline characteristics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themeColor="text1" w:val="000000"/>
                <w:sz w:val="18"/>
                <w:szCs w:val="18"/>
              </w:rPr>
              <w:t>Patients with complete follow-up</w:t>
            </w:r>
          </w:p>
        </w:tc>
        <w:tc>
          <w:tcPr>
            <w:tcW w:w="1986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themeColor="text1" w:val="000000"/>
                <w:sz w:val="18"/>
                <w:szCs w:val="18"/>
              </w:rPr>
              <w:t xml:space="preserve">Patients with incomplete follow-up or non-completers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themeColor="text1" w:val="000000"/>
                <w:sz w:val="18"/>
                <w:szCs w:val="18"/>
                <w:lang w:bidi="ar-SA"/>
              </w:rPr>
              <w:t>P-</w:t>
            </w:r>
            <w:r>
              <w:rPr>
                <w:rFonts w:ascii="Times New Roman" w:hAnsi="Times New Roman"/>
                <w:b/>
                <w:bCs/>
                <w:color w:themeColor="text1" w:val="000000"/>
                <w:sz w:val="18"/>
                <w:szCs w:val="18"/>
                <w:lang w:bidi="ar-SA"/>
              </w:rPr>
              <w:t>value</w:t>
            </w:r>
          </w:p>
        </w:tc>
      </w:tr>
      <w:tr>
        <w:trPr>
          <w:tblHeader w:val="true"/>
        </w:trPr>
        <w:tc>
          <w:tcPr>
            <w:tcW w:w="2976" w:type="dxa"/>
            <w:vMerge w:val="continue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themeColor="text1" w:val="000000"/>
                <w:sz w:val="18"/>
                <w:szCs w:val="18"/>
              </w:rPr>
              <w:t>(n=72)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themeColor="text1" w:val="000000"/>
                <w:sz w:val="18"/>
                <w:szCs w:val="18"/>
              </w:rPr>
              <w:t>(n=10)</w:t>
            </w:r>
          </w:p>
        </w:tc>
        <w:tc>
          <w:tcPr>
            <w:tcW w:w="1642" w:type="dxa"/>
            <w:vMerge w:val="continue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themeColor="text1" w:val="000000"/>
                <w:sz w:val="18"/>
                <w:szCs w:val="18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</w:rPr>
              <w:t>Male, n</w:t>
            </w:r>
            <w:r>
              <w:rPr>
                <w:rFonts w:cs="Times New Roman" w:ascii="Times New Roman" w:hAnsi="Times New Roman"/>
                <w:bCs/>
                <w:color w:val="000000"/>
                <w:sz w:val="18"/>
                <w:szCs w:val="18"/>
                <w:lang w:bidi="ar-SA"/>
              </w:rPr>
              <w:t>(%)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14 (19.4%)</w:t>
            </w:r>
          </w:p>
        </w:tc>
        <w:tc>
          <w:tcPr>
            <w:tcW w:w="1986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4 (40.0%)</w:t>
            </w:r>
          </w:p>
        </w:tc>
        <w:tc>
          <w:tcPr>
            <w:tcW w:w="1642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0.215</w:t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lang w:bidi="ar-SA"/>
              </w:rPr>
              <w:t>Age, years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50.6</w:t>
            </w:r>
            <w:r>
              <w:rPr>
                <w:rFonts w:cs="Times New Roman" w:ascii="Times New Roman" w:hAnsi="Times New Roman"/>
                <w:bCs/>
                <w:color w:themeColor="text1" w:val="000000"/>
                <w:sz w:val="18"/>
                <w:szCs w:val="18"/>
                <w:lang w:bidi="ar-SA"/>
              </w:rPr>
              <w:t>±12.0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color w:themeColor="text1" w:val="000000"/>
              </w:rPr>
            </w:pPr>
            <w:r>
              <w:rPr>
                <w:rFonts w:cs="Times New Roman" w:ascii="Times New Roman" w:hAnsi="Times New Roman"/>
                <w:bCs/>
                <w:color w:themeColor="text1" w:val="000000"/>
                <w:sz w:val="18"/>
                <w:szCs w:val="18"/>
                <w:lang w:bidi="ar-SA"/>
              </w:rPr>
              <w:t>43.4±10.6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bCs/>
                <w:color w:themeColor="text1" w:val="000000"/>
                <w:sz w:val="18"/>
                <w:szCs w:val="18"/>
                <w:lang w:bidi="ar-SA"/>
              </w:rPr>
              <w:t>0.054</w:t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</w:rPr>
              <w:t>BMI, kg/m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24.1</w:t>
            </w:r>
            <w:r>
              <w:rPr>
                <w:rFonts w:cs="Times New Roman" w:ascii="Times New Roman" w:hAnsi="Times New Roman"/>
                <w:bCs/>
                <w:color w:themeColor="text1" w:val="000000"/>
                <w:sz w:val="18"/>
                <w:szCs w:val="18"/>
                <w:lang w:bidi="ar-SA"/>
              </w:rPr>
              <w:t>±3.5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bCs/>
                <w:color w:themeColor="text1" w:val="000000"/>
                <w:sz w:val="18"/>
                <w:szCs w:val="18"/>
                <w:lang w:bidi="ar-SA"/>
              </w:rPr>
              <w:t>24.3±3.5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bCs/>
                <w:color w:themeColor="text1" w:val="000000"/>
                <w:sz w:val="18"/>
                <w:szCs w:val="18"/>
                <w:lang w:bidi="ar-SA"/>
              </w:rPr>
              <w:t>0.820</w:t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</w:rPr>
              <w:t>Current smoker, n</w:t>
            </w:r>
            <w:r>
              <w:rPr>
                <w:rFonts w:cs="Times New Roman" w:ascii="Times New Roman" w:hAnsi="Times New Roman"/>
                <w:bCs/>
                <w:color w:val="000000"/>
                <w:sz w:val="18"/>
                <w:szCs w:val="18"/>
                <w:lang w:bidi="ar-SA"/>
              </w:rPr>
              <w:t>(%)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Cs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8 (11.1%)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 (0.0%)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0.336</w:t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</w:rPr>
              <w:t>ASA physical status, n</w:t>
            </w:r>
            <w:r>
              <w:rPr>
                <w:rFonts w:cs="Times New Roman" w:ascii="Times New Roman" w:hAnsi="Times New Roman"/>
                <w:bCs/>
                <w:color w:val="000000"/>
                <w:sz w:val="18"/>
                <w:szCs w:val="18"/>
                <w:lang w:bidi="ar-SA"/>
              </w:rPr>
              <w:t>(%)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0.302</w:t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1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sz w:val="18"/>
                <w:b/>
                <w:szCs w:val="18"/>
                <w:bCs/>
                <w:rFonts w:cs="Times New Roman" w:ascii="Times New Roman" w:hAnsi="Times New Roman"/>
                <w:color w:val="000000"/>
              </w:rPr>
              <w:instrText xml:space="preserve"> = 1 \* ROMAN</w:instrText>
            </w:r>
            <w:r>
              <w:rPr>
                <w:sz w:val="18"/>
                <w:b/>
                <w:szCs w:val="18"/>
                <w:bCs/>
                <w:rFonts w:cs="Times New Roman" w:ascii="Times New Roman" w:hAnsi="Times New Roman"/>
                <w:color w:val="000000"/>
              </w:rPr>
              <w:fldChar w:fldCharType="separate"/>
            </w:r>
            <w:r>
              <w:rPr>
                <w:sz w:val="18"/>
                <w:b/>
                <w:szCs w:val="18"/>
                <w:bCs/>
                <w:rFonts w:cs="Times New Roman" w:ascii="Times New Roman" w:hAnsi="Times New Roman"/>
                <w:color w:val="000000"/>
              </w:rPr>
              <w:t>** Expression is faulty **</w:t>
            </w:r>
            <w:r>
              <w:rPr>
                <w:sz w:val="18"/>
                <w:b/>
                <w:szCs w:val="18"/>
                <w:bCs/>
                <w:rFonts w:cs="Times New Roman" w:ascii="Times New Roman" w:hAnsi="Times New Roman"/>
                <w:color w:val="000000"/>
              </w:rPr>
              <w:fldChar w:fldCharType="end"/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30 (41.7%)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 (20.0%)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1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sz w:val="18"/>
                <w:b/>
                <w:szCs w:val="18"/>
                <w:bCs/>
                <w:rFonts w:cs="Times New Roman" w:ascii="Times New Roman" w:hAnsi="Times New Roman"/>
                <w:color w:val="000000"/>
              </w:rPr>
              <w:instrText xml:space="preserve"> = 2 \* ROMAN</w:instrText>
            </w:r>
            <w:r>
              <w:rPr>
                <w:sz w:val="18"/>
                <w:b/>
                <w:szCs w:val="18"/>
                <w:bCs/>
                <w:rFonts w:cs="Times New Roman" w:ascii="Times New Roman" w:hAnsi="Times New Roman"/>
                <w:color w:val="000000"/>
              </w:rPr>
              <w:fldChar w:fldCharType="separate"/>
            </w:r>
            <w:r>
              <w:rPr>
                <w:sz w:val="18"/>
                <w:b/>
                <w:szCs w:val="18"/>
                <w:bCs/>
                <w:rFonts w:cs="Times New Roman" w:ascii="Times New Roman" w:hAnsi="Times New Roman"/>
                <w:color w:val="000000"/>
              </w:rPr>
              <w:t>** Expression is faulty **</w:t>
            </w:r>
            <w:r>
              <w:rPr>
                <w:sz w:val="18"/>
                <w:b/>
                <w:szCs w:val="18"/>
                <w:bCs/>
                <w:rFonts w:cs="Times New Roman" w:ascii="Times New Roman" w:hAnsi="Times New Roman"/>
                <w:color w:val="000000"/>
              </w:rPr>
              <w:fldChar w:fldCharType="end"/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42 (58.3%)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8 (80.0%)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</w:rPr>
              <w:t>Educational level, n</w:t>
            </w:r>
            <w:r>
              <w:rPr>
                <w:rFonts w:cs="Times New Roman" w:ascii="Times New Roman" w:hAnsi="Times New Roman"/>
                <w:bCs/>
                <w:color w:val="000000"/>
                <w:sz w:val="18"/>
                <w:szCs w:val="18"/>
                <w:lang w:bidi="ar-SA"/>
              </w:rPr>
              <w:t>(%)</w:t>
            </w:r>
          </w:p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High school or college diploma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24 (33.3%)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 (20.0%)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0.579</w:t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Bachelor's degree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28 (38.9%)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4 (40.0%)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Graduate degree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20 (27.8%)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4 (40.0%)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</w:rPr>
              <w:t>Employment status, n</w:t>
            </w:r>
            <w:r>
              <w:rPr>
                <w:rFonts w:cs="Times New Roman" w:ascii="Times New Roman" w:hAnsi="Times New Roman"/>
                <w:bCs/>
                <w:color w:val="000000"/>
                <w:sz w:val="18"/>
                <w:szCs w:val="18"/>
                <w:lang w:bidi="ar-SA"/>
              </w:rPr>
              <w:t>(%)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0.600</w:t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Employed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44 (61.1%)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8 (80.0%)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Retired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26 (36.1%)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 (20.0%)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Student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 (2.8%)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 (0.0%)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</w:rPr>
              <w:t>Comorbidity, n</w:t>
            </w:r>
            <w:r>
              <w:rPr>
                <w:rFonts w:cs="Times New Roman" w:ascii="Times New Roman" w:hAnsi="Times New Roman"/>
                <w:bCs/>
                <w:color w:val="000000"/>
                <w:sz w:val="18"/>
                <w:szCs w:val="18"/>
                <w:lang w:bidi="ar-SA"/>
              </w:rPr>
              <w:t>(%)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0.474</w:t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18"/>
                <w:szCs w:val="18"/>
              </w:rPr>
              <w:t>Depression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4 (5.6%)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 (0.0%)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10 (13.9%)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 (20.0%)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Asthma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 (2.8%)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 (0.0%)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History of thyroid cancer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4 (5.6%)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 (0.0%)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History of endometrial cancer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 (2.8%)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 (0.0%)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Coronary heart disease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 (2.8%)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 (0.0%)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</w:rPr>
              <w:t>Preoperative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18"/>
                <w:szCs w:val="18"/>
              </w:rPr>
              <w:t>FEV1 %pre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102.83</w:t>
            </w:r>
            <w:r>
              <w:rPr>
                <w:rFonts w:cs="Times New Roman" w:ascii="Times New Roman" w:hAnsi="Times New Roman"/>
                <w:bCs/>
                <w:color w:themeColor="text1" w:val="000000"/>
                <w:sz w:val="18"/>
                <w:szCs w:val="18"/>
                <w:lang w:bidi="ar-SA"/>
              </w:rPr>
              <w:t>±13.31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97.5</w:t>
            </w:r>
            <w:r>
              <w:rPr>
                <w:rFonts w:cs="Times New Roman" w:ascii="Times New Roman" w:hAnsi="Times New Roman"/>
                <w:bCs/>
                <w:color w:themeColor="text1" w:val="000000"/>
                <w:sz w:val="18"/>
                <w:szCs w:val="18"/>
                <w:lang w:bidi="ar-SA"/>
              </w:rPr>
              <w:t>±12.2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0.269</w:t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18"/>
                <w:szCs w:val="18"/>
              </w:rPr>
              <w:t>FVC %pre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109.41</w:t>
            </w:r>
            <w:r>
              <w:rPr>
                <w:rFonts w:cs="Times New Roman" w:ascii="Times New Roman" w:hAnsi="Times New Roman"/>
                <w:bCs/>
                <w:color w:themeColor="text1" w:val="000000"/>
                <w:sz w:val="18"/>
                <w:szCs w:val="18"/>
                <w:lang w:bidi="ar-SA"/>
              </w:rPr>
              <w:t>±15.05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103.3</w:t>
            </w:r>
            <w:r>
              <w:rPr>
                <w:rFonts w:cs="Times New Roman" w:ascii="Times New Roman" w:hAnsi="Times New Roman"/>
                <w:bCs/>
                <w:color w:themeColor="text1" w:val="000000"/>
                <w:sz w:val="18"/>
                <w:szCs w:val="18"/>
                <w:lang w:bidi="ar-SA"/>
              </w:rPr>
              <w:t>±11.6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0.269</w:t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Location of tumor, n (%)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0.212</w:t>
            </w:r>
          </w:p>
        </w:tc>
      </w:tr>
      <w:tr>
        <w:trPr>
          <w:trHeight w:val="85" w:hRule="atLeast"/>
        </w:trPr>
        <w:tc>
          <w:tcPr>
            <w:tcW w:w="2976" w:type="dxa"/>
            <w:tcBorders/>
            <w:vAlign w:val="center"/>
          </w:tcPr>
          <w:p>
            <w:pPr>
              <w:pStyle w:val="Normal"/>
              <w:bidi w:val="0"/>
              <w:ind w:firstLine="18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18"/>
                <w:szCs w:val="18"/>
              </w:rPr>
              <w:t>Left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28 (38.9%)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2 (20.0%)</w:t>
            </w:r>
          </w:p>
        </w:tc>
        <w:tc>
          <w:tcPr>
            <w:tcW w:w="1642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  <w:tr>
        <w:trPr>
          <w:trHeight w:val="85" w:hRule="atLeast"/>
        </w:trPr>
        <w:tc>
          <w:tcPr>
            <w:tcW w:w="2976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bCs/>
                <w:color w:val="000000"/>
                <w:sz w:val="18"/>
                <w:szCs w:val="18"/>
              </w:rPr>
              <w:t>Right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44 (61.1%)</w:t>
            </w:r>
          </w:p>
        </w:tc>
        <w:tc>
          <w:tcPr>
            <w:tcW w:w="1986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  <w:t>8 (80.0%)</w:t>
            </w:r>
          </w:p>
        </w:tc>
        <w:tc>
          <w:tcPr>
            <w:tcW w:w="1642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  <w:lang w:bidi="ar-S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lang w:bidi="ar-SA"/>
              </w:rPr>
            </w:r>
          </w:p>
        </w:tc>
      </w:tr>
    </w:tbl>
    <w:p>
      <w:pPr>
        <w:pStyle w:val="Normal"/>
        <w:bidi w:val="0"/>
        <w:spacing w:before="0" w:after="40"/>
        <w:jc w:val="both"/>
        <w:rPr>
          <w:rFonts w:ascii="Times New Roman" w:hAnsi="Times New Roman" w:eastAsia="Times New Roman" w:cs="Times New Roman"/>
          <w:i/>
          <w:i/>
          <w:iCs/>
          <w:color w:val="595959"/>
          <w:sz w:val="18"/>
          <w:szCs w:val="18"/>
        </w:rPr>
      </w:pPr>
      <w:r>
        <w:rPr>
          <w:rFonts w:eastAsia="Times New Roman" w:cs="Times New Roman" w:ascii="Times New Roman" w:hAnsi="Times New Roman"/>
          <w:i/>
          <w:iCs/>
          <w:color w:val="595959"/>
          <w:sz w:val="18"/>
          <w:szCs w:val="18"/>
        </w:rPr>
        <w:t>Values are presented as Mean</w:t>
      </w:r>
      <w:r>
        <w:rPr>
          <w:rFonts w:ascii="Times New Roman" w:hAnsi="Times New Roman"/>
          <w:color w:val="000000"/>
          <w:sz w:val="18"/>
          <w:szCs w:val="18"/>
          <w:lang w:bidi="ar-SA"/>
        </w:rPr>
        <w:t>±</w:t>
      </w:r>
      <w:r>
        <w:rPr>
          <w:rFonts w:eastAsia="Times New Roman" w:cs="Times New Roman" w:ascii="Times New Roman" w:hAnsi="Times New Roman"/>
          <w:i/>
          <w:iCs/>
          <w:color w:val="595959"/>
          <w:sz w:val="18"/>
          <w:szCs w:val="18"/>
        </w:rPr>
        <w:t>SD for normally distributed variables and Median (IOR) for non-normally distributed variables</w:t>
      </w:r>
      <w:r>
        <w:rPr>
          <w:i/>
          <w:iCs/>
          <w:color w:val="595959"/>
          <w:sz w:val="18"/>
          <w:szCs w:val="18"/>
        </w:rPr>
        <w:t xml:space="preserve">. </w:t>
      </w:r>
      <w:r>
        <w:rPr>
          <w:rFonts w:eastAsia="Times New Roman" w:cs="Times New Roman" w:ascii="Times New Roman" w:hAnsi="Times New Roman"/>
          <w:i/>
          <w:iCs/>
          <w:color w:val="595959"/>
          <w:sz w:val="18"/>
          <w:szCs w:val="18"/>
        </w:rPr>
        <w:t>BMI, body mass index; ASA physical status, American Society of Anesthesiologists physical status; FEV1, forced expiratory volume in 1 second; FVC, forced vital capacity; VATS: video-assisted thoracoscopic surgery.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pPr>
      <w:spacing w:beforeAutospacing="1" w:afterAutospacing="1"/>
    </w:pPr>
    <w:rPr>
      <w:rFonts w:cs="Times New Roman"/>
    </w:rPr>
  </w:style>
  <w:style w:type="paragraph" w:styleId="ListParagraph">
    <w:name w:val="List Paragraph"/>
    <w:basedOn w:val="Normal"/>
    <w:qFormat/>
    <w:pPr>
      <w:ind w:firstLine="42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LibreOffice/24.2.4.2$Windows_X86_64 LibreOffice_project/51a6219feb6075d9a4c46691dcfe0cd9c4fff3c2</Application>
  <AppVersion>15.0000</AppVersion>
  <Pages>3</Pages>
  <Words>942</Words>
  <Characters>5429</Characters>
  <CharactersWithSpaces>6038</CharactersWithSpaces>
  <Paragraphs>375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2026-07-06T12:53:14Z</dcterms:created>
  <dc:creator/>
  <dc:description/>
  <dc:language>en-US</dc:language>
  <cp:lastModifiedBy/>
  <dcterms:modified xsi:type="dcterms:W3CDTF">2026-07-06T12:54:42Z</dcterms:modified>
  <cp:revision>1</cp:revision>
  <dc:subject/>
  <dc:title/>
</cp:coreProperties>
</file>