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sz w:val="28"/>
          <w:szCs w:val="28"/>
        </w:rPr>
        <w:t xml:space="preserve">Supplementary Material</w:t>
      </w:r>
    </w:p>
    <w:p>
      <w:pPr>
        <w:spacing w:after="80"/>
        <w:jc w:val="center"/>
      </w:pPr>
      <w:r>
        <w:rPr>
          <w:rFonts w:ascii="Arial" w:cs="Arial" w:eastAsia="Arial" w:hAnsi="Arial"/>
          <w:i/>
          <w:iCs/>
          <w:sz w:val="20"/>
          <w:szCs w:val="20"/>
        </w:rPr>
        <w:t xml:space="preserve">Global gaps in the quality and credibility of clinical practice guidelines for pediatric postinfectious bronchiolitis obliterans: a systematic appraisal using AGREE II and AGREE-REX</w:t>
      </w:r>
    </w:p>
    <w:p>
      <w:pPr>
        <w:spacing w:after="200"/>
        <w:jc w:val="center"/>
      </w:pPr>
      <w:r>
        <w:rPr>
          <w:rFonts w:ascii="Arial" w:cs="Arial" w:eastAsia="Arial" w:hAnsi="Arial"/>
          <w:sz w:val="20"/>
          <w:szCs w:val="20"/>
        </w:rPr>
        <w:t xml:space="preserve">Buendía JA, Buendía Sánchez JA. Paediatric Respiratory Reviews, 2025</w:t>
      </w:r>
    </w:p>
    <w:p>
      <w:pPr>
        <w:pBdr>
          <w:bottom w:val="single" w:color="2F5496" w:sz="6" w:space="4"/>
        </w:pBdr>
        <w:spacing w:after="100" w:before="200"/>
      </w:pPr>
      <w:r>
        <w:rPr>
          <w:rFonts w:ascii="Arial" w:cs="Arial" w:eastAsia="Arial" w:hAnsi="Arial"/>
          <w:b/>
          <w:bCs/>
          <w:sz w:val="24"/>
          <w:szCs w:val="24"/>
        </w:rPr>
        <w:t xml:space="preserve">Contents</w:t>
      </w:r>
    </w:p>
    <w:p>
      <w:pPr>
        <w:spacing w:after="80"/>
      </w:pPr>
      <w:r>
        <w:rPr>
          <w:rFonts w:ascii="Arial" w:cs="Arial" w:eastAsia="Arial" w:hAnsi="Arial"/>
          <w:sz w:val="20"/>
          <w:szCs w:val="20"/>
        </w:rPr>
        <w:t xml:space="preserve">Table S1.  PRISMA 2020 Checklist</w:t>
      </w:r>
    </w:p>
    <w:p>
      <w:pPr>
        <w:spacing w:after="80"/>
      </w:pPr>
      <w:r>
        <w:rPr>
          <w:rFonts w:ascii="Arial" w:cs="Arial" w:eastAsia="Arial" w:hAnsi="Arial"/>
          <w:sz w:val="20"/>
          <w:szCs w:val="20"/>
        </w:rPr>
        <w:t xml:space="preserve">Tables S2–S5.  Item-level AGREE II and AGREE-REX domain scores by appraiser (all four included guidelines)</w:t>
      </w:r>
    </w:p>
    <w:p>
      <w:pPr>
        <w:spacing w:after="80"/>
      </w:pPr>
      <w:r>
        <w:rPr>
          <w:rFonts w:ascii="Arial" w:cs="Arial" w:eastAsia="Arial" w:hAnsi="Arial"/>
          <w:sz w:val="20"/>
          <w:szCs w:val="20"/>
        </w:rPr>
        <w:t xml:space="preserve">Tables S6–S9.  Full database search strategies (MEDLINE, EMBASE, CINAHL, LILACS)</w:t>
      </w:r>
    </w:p>
    <w:p>
      <w:r>
        <w:br w:type="page"/>
      </w:r>
    </w:p>
    <w:p>
      <w:pPr>
        <w:pBdr>
          <w:bottom w:val="single" w:color="2F5496" w:sz="6" w:space="4"/>
        </w:pBdr>
        <w:spacing w:after="100" w:before="200"/>
      </w:pPr>
      <w:r>
        <w:rPr>
          <w:rFonts w:ascii="Arial" w:cs="Arial" w:eastAsia="Arial" w:hAnsi="Arial"/>
          <w:b/>
          <w:bCs/>
          <w:sz w:val="24"/>
          <w:szCs w:val="24"/>
        </w:rPr>
        <w:t xml:space="preserve">Supplementary Table S1. PRISMA 2020 Checklist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400"/>
        <w:gridCol w:w="400"/>
        <w:gridCol w:w="4300"/>
        <w:gridCol w:w="2900"/>
      </w:tblGrid>
      <w:tr>
        <w:trPr>
          <w:tblHeader/>
        </w:trPr>
        <w:tc>
          <w:tcPr>
            <w:tcW w:type="dxa" w:w="14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Section and Topic</w:t>
            </w:r>
          </w:p>
        </w:tc>
        <w:tc>
          <w:tcPr>
            <w:tcW w:type="dxa" w:w="4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Item #</w:t>
            </w:r>
          </w:p>
        </w:tc>
        <w:tc>
          <w:tcPr>
            <w:tcW w:type="dxa" w:w="43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Checklist item</w:t>
            </w:r>
          </w:p>
        </w:tc>
        <w:tc>
          <w:tcPr>
            <w:tcW w:type="dxa" w:w="29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Location where item is reported</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TITLE</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Title</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Identify the report as a systematic review.</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 1</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ABSTRACT</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Abstract</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See the PRISMA 2020 for Abstracts checklist.</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 2</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INTRODUCTION</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Rationale</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3</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Describe the rationale for the review in the context of existing knowledge.</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Pages 3–4</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Objectives</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4</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Provide an explicit statement of the objective(s) or question(s) the review addresses.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Pages 3–4</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METHODS</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Eligibility criteria</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5</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Specify the inclusion and exclusion criteria for the review and how studies were grouped for the syntheses.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 5</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Information sources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6</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Specify all databases, registers, websites, organisations, reference lists and other sources searched or consulted to identify studies. Specify the date when each source was last searched or consulted.</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 5; Tables S5–S9</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Search strategy</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7</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Present the full search strategies for all databases, registers and websites, including any filters and limits used.</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Tables S5–S9</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Selection process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8</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Pages 5–6</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Data collection process</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9</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Pages 5–6</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Data items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10a</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List and define all outcomes for which data were sought. Specify whether all results that were compatible with each outcome domain in each study were sought, and if not, the methods used to decide which results to collect.</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Pages 5–6</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10b</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List and define all other variables for which data were sought (e.g. participant and intervention characteristics, funding sources). Describe any assumptions made about any missing or unclear information.</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Pages 5–6</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Study risk of bias assessment</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11</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[a]</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Effect measures</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12</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Specify for each outcome the effect measure(s) (e.g. risk ratio, mean difference) used in the synthesis or presentation of results.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Synthesis methods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13a</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Describe the processes used to decide which studies were eligible for each synthesis (e.g. tabulating the study intervention characteristics and comparing against the planned groups for each synthesis).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13b</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Describe any methods required to prepare the data for presentation or synthesis, such as handling of missing summary statistics, or data conversions.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13c</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Describe any methods used to tabulate or visually display results of individual studies and syntheses.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Tables 2–4; Figures 1–2</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13d</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13e</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Describe any methods used to explore possible causes of heterogeneity among study results (e.g. subgroup analysis, meta-regression).</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13f</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Describe any sensitivity analyses conducted to assess robustness of the synthesized results.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[c]</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Reporting bias assessment</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14</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Describe any methods used to assess risk of bias due to missing results in a synthesis (arising from reporting biases).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Certainty assessment</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15</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Describe any methods used to assess certainty (or confidence) in the body of evidence for an outcome.</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[d]</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RESULTS</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Study selection</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16a</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Describe the results of the search and selection process, from the number of records identified in the search to the number of studies included in the review, ideally using a flow diagram.</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Figure 1 (PRISMA flow diagram)</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16b</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Cite studies that might appear to meet the inclusion criteria, but which were excluded, and explain why they were excluded.</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 7; full-text exclusion reasons listed in PRISMA flow diagram</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Study characteristics</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17</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Cite each included study and present its characteristics.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 7; Table 1</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Risk of bias in studies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18</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Present assessments of risk of bias for each included study.</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[a]</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Results of individual studies</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19</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For all outcomes, present, for each study: (a) summary statistics for each group (where appropriate) and (b) an effect estimate and its precision, ideally using structured tables or plots.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Results of syntheses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20a</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For each synthesis, briefly summarise the characteristics and risk of bias among contributing studies.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Pages 7–9; Tables 2–3</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20b</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Present results of all statistical syntheses conducted. If meta-analysis was done, present for each the summary estimate and its precision and measures of statistical heterogeneity.</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N/A</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20c</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Present results of all investigations of possible causes of heterogeneity among study results.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N/A</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20d</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Present results of all sensitivity analyses conducted to assess the robustness of the synthesized results.</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N/A</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Reporting biases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21</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Present assessments of risk of bias due to missing results (arising from reporting biases) for each synthesis assessed.</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[b]</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Certainty of evidence</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22</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Present assessments of certainty (or confidence) in the body of evidence for each outcome assessed.</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Not applicable — see note [d]</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DISCUSSION</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Discussion</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23a</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Provide a general interpretation of the results in the context of other evidence.</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Pages 10–11</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23b</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Discuss any limitations of the evidence included in the review.</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Pages 12–13</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23c</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Discuss any limitations of the review processes used.</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Pages 12–13</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23d</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Discuss implications of the results for practice, policy, and future research.</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Pages 10–13</w:t>
            </w:r>
          </w:p>
        </w:tc>
      </w:tr>
      <w:tr>
        <w:tc>
          <w:tcPr>
            <w:tcW w:type="dxa" w:w="9000"/>
            <w:gridSpan w:val="4"/>
            <w:tcBorders>
              <w:top w:val="single" w:color="999999" w:sz="4"/>
              <w:left w:val="single" w:color="999999" w:sz="4"/>
              <w:bottom w:val="single" w:color="999999" w:sz="4"/>
              <w:right w:val="single" w:color="999999" w:sz="4"/>
            </w:tcBorders>
            <w:shd w:fill="BDD7EE" w:val="clear"/>
            <w:tcMar>
              <w:top w:type="dxa" w:w="60"/>
              <w:left w:type="dxa" w:w="80"/>
              <w:bottom w:type="dxa" w:w="60"/>
              <w:right w:type="dxa" w:w="80"/>
            </w:tcMar>
            <w:vAlign w:val="top"/>
          </w:tcPr>
          <w:p>
            <w:pPr>
              <w:spacing w:after="40"/>
            </w:pPr>
            <w:r>
              <w:rPr>
                <w:rFonts w:ascii="Arial" w:cs="Arial" w:eastAsia="Arial" w:hAnsi="Arial"/>
                <w:b/>
                <w:bCs/>
                <w:sz w:val="18"/>
                <w:szCs w:val="18"/>
              </w:rPr>
              <w:t xml:space="preserve">OTHER INFORMATION</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Registration and protocol</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24a</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Provide registration information for the review, including register name and registration number, or state that the review was not registered.</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Methods: "Protocol and registration" subsection — no prospective registration was conducted</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24b</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Indicate where the review protocol can be accessed, or state that a protocol was not prepared.</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Methods: "Protocol and registration" subsection — no protocol was prepared</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24c</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Describe and explain any amendments to information provided at registration or in the protocol.</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N/A — no registration or protocol</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Support</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25</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Describe sources of financial or non-financial support for the review, and the role of the funders or sponsors in the review.</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 14 (Declarations)</w:t>
            </w:r>
          </w:p>
        </w:tc>
      </w:tr>
      <w:tr>
        <w:tc>
          <w:tcPr>
            <w:tcW w:type="dxa" w:w="1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Competing interests</w:t>
            </w:r>
          </w:p>
        </w:tc>
        <w:tc>
          <w:tcPr>
            <w:tcW w:type="dxa" w:w="4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26</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Declare any competing interests of review authors.</w:t>
            </w:r>
          </w:p>
        </w:tc>
        <w:tc>
          <w:tcPr>
            <w:tcW w:type="dxa" w:w="2900"/>
            <w:tcBorders>
              <w:top w:val="single" w:color="999999" w:sz="4"/>
              <w:left w:val="single" w:color="999999" w:sz="4"/>
              <w:bottom w:val="single" w:color="999999" w:sz="4"/>
              <w:right w:val="single" w:color="999999" w:sz="4"/>
            </w:tcBorders>
            <w:tcMar>
              <w:top w:type="dxa" w:w="60"/>
              <w:left w:type="dxa" w:w="80"/>
              <w:bottom w:type="dxa" w:w="60"/>
              <w:right w:type="dxa" w:w="80"/>
            </w:tcMar>
            <w:vAlign w:val="top"/>
          </w:tcPr>
          <w:p>
            <w:pPr>
              <w:spacing w:after="40"/>
            </w:pPr>
            <w:r>
              <w:rPr>
                <w:rFonts w:ascii="Arial" w:cs="Arial" w:eastAsia="Arial" w:hAnsi="Arial"/>
                <w:sz w:val="18"/>
                <w:szCs w:val="18"/>
              </w:rPr>
              <w:t xml:space="preserve">Page 14 (Declarations)</w:t>
            </w:r>
          </w:p>
        </w:tc>
      </w:tr>
      <w:tr>
        <w:tc>
          <w:tcPr>
            <w:tcW w:type="dxa" w:w="1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Availability of data, code and other materials</w:t>
            </w:r>
          </w:p>
        </w:tc>
        <w:tc>
          <w:tcPr>
            <w:tcW w:type="dxa" w:w="4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27</w:t>
            </w:r>
          </w:p>
        </w:tc>
        <w:tc>
          <w:tcPr>
            <w:tcW w:type="dxa" w:w="43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Report which of the following are publicly available and where they can be found: template data collection forms; data extracted from included studies; data used for all analyses; analytic code; any other materials used in the review.</w:t>
            </w:r>
          </w:p>
        </w:tc>
        <w:tc>
          <w:tcPr>
            <w:tcW w:type="dxa" w:w="2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vAlign w:val="top"/>
          </w:tcPr>
          <w:p>
            <w:pPr>
              <w:spacing w:after="40"/>
            </w:pPr>
            <w:r>
              <w:rPr>
                <w:rFonts w:ascii="Arial" w:cs="Arial" w:eastAsia="Arial" w:hAnsi="Arial"/>
                <w:sz w:val="18"/>
                <w:szCs w:val="18"/>
              </w:rPr>
              <w:t xml:space="preserve">Page 14 (Declarations); item-level appraiser scores in Supplementary Tables S2–S5</w:t>
            </w:r>
          </w:p>
        </w:tc>
      </w:tr>
    </w:tbl>
    <w:p>
      <w:pPr>
        <w:spacing w:after="60" w:before="120"/>
      </w:pPr>
      <w:r>
        <w:rPr>
          <w:rFonts w:ascii="Arial" w:cs="Arial" w:eastAsia="Arial" w:hAnsi="Arial"/>
          <w:b/>
          <w:bCs/>
          <w:sz w:val="18"/>
          <w:szCs w:val="18"/>
        </w:rPr>
        <w:t xml:space="preserve">Notes on items marked "Not applicable":</w:t>
      </w:r>
    </w:p>
    <w:p>
      <w:pPr>
        <w:spacing w:after="60"/>
        <w:ind w:left="200"/>
      </w:pPr>
      <w:r>
        <w:rPr>
          <w:rFonts w:ascii="Arial" w:cs="Arial" w:eastAsia="Arial" w:hAnsi="Arial"/>
          <w:sz w:val="18"/>
          <w:szCs w:val="18"/>
        </w:rPr>
        <w:t xml:space="preserve">[a] Item 11 and Item 18 — This is a systematic appraisal of clinical practice guidelines, not a meta-analysis of primary studies. Methodological quality was evaluated using the AGREE II and AGREE-REX instruments, which serve as the quality assessment tools for this study type. Conventional risk-of-bias assessment (e.g., RoB 2, ROBINS-I) is not applicable.</w:t>
      </w:r>
    </w:p>
    <w:p>
      <w:pPr>
        <w:spacing w:after="60"/>
        <w:ind w:left="200"/>
      </w:pPr>
      <w:r>
        <w:rPr>
          <w:rFonts w:ascii="Arial" w:cs="Arial" w:eastAsia="Arial" w:hAnsi="Arial"/>
          <w:sz w:val="18"/>
          <w:szCs w:val="18"/>
        </w:rPr>
        <w:t xml:space="preserve">[b] Items 12, 13a, 13b, 13d, 13e, 14, 19, 20b, 21 — No meta-analysis, statistical synthesis, or pooling of clinical outcome data was performed. This study tabulates guideline appraisal scores and summarises clinical recommendations narratively.</w:t>
      </w:r>
    </w:p>
    <w:p>
      <w:pPr>
        <w:spacing w:after="60"/>
        <w:ind w:left="200"/>
      </w:pPr>
      <w:r>
        <w:rPr>
          <w:rFonts w:ascii="Arial" w:cs="Arial" w:eastAsia="Arial" w:hAnsi="Arial"/>
          <w:sz w:val="18"/>
          <w:szCs w:val="18"/>
        </w:rPr>
        <w:t xml:space="preserve">[c] Item 13f — A sensitivity analysis excluding the European Workshop Report (which does not carry the formal designation of a CPG) was considered but judged uninformative given the resulting sample size of three documents. This limitation is acknowledged in the Discussion.</w:t>
      </w:r>
    </w:p>
    <w:p>
      <w:pPr>
        <w:spacing w:after="60"/>
        <w:ind w:left="200"/>
      </w:pPr>
      <w:r>
        <w:rPr>
          <w:rFonts w:ascii="Arial" w:cs="Arial" w:eastAsia="Arial" w:hAnsi="Arial"/>
          <w:sz w:val="18"/>
          <w:szCs w:val="18"/>
        </w:rPr>
        <w:t xml:space="preserve">[d] Items 15 and 22 — Certainty of evidence assessment in the GRADE sense was not conducted. Credibility and implementability of recommendations were assessed using the AGREE-REX instrument, which is the appropriate tool for this study type and is described in the Methods.</w:t>
      </w:r>
    </w:p>
    <w:p>
      <w:r>
        <w:br w:type="page"/>
      </w:r>
    </w:p>
    <w:p>
      <w:pPr>
        <w:pBdr>
          <w:bottom w:val="single" w:color="2F5496" w:sz="6" w:space="4"/>
        </w:pBdr>
        <w:spacing w:after="100" w:before="200"/>
      </w:pPr>
      <w:r>
        <w:rPr>
          <w:rFonts w:ascii="Arial" w:cs="Arial" w:eastAsia="Arial" w:hAnsi="Arial"/>
          <w:b/>
          <w:bCs/>
          <w:sz w:val="24"/>
          <w:szCs w:val="24"/>
        </w:rPr>
        <w:t xml:space="preserve">Supplementary Tables S2–S5. AGREE II and AGREE-REX domain scores by appraiser</w:t>
      </w:r>
    </w:p>
    <w:p>
      <w:pPr>
        <w:spacing w:after="80"/>
      </w:pPr>
      <w:r>
        <w:rPr>
          <w:rFonts w:ascii="Arial" w:cs="Arial" w:eastAsia="Arial" w:hAnsi="Arial"/>
          <w:sz w:val="20"/>
          <w:szCs w:val="20"/>
        </w:rPr>
        <w:t xml:space="preserve">Tables S2–S5 present the final domain-level scores for each of the four included guidelines, derived from independent ratings by three appraisers. Discrepancies between appraisers in individual items were resolved by consensus discussion; a third reviewer adjudicated unresolved disagreements. Intraclass correlation coefficients (ICC; two-way mixed-effects model, absolute agreement, average measures) and the number of items requiring adjudication per domain are reported in the main manuscript (Methods: Analysis Plan).</w:t>
      </w:r>
    </w:p>
    <w:p>
      <w:pPr>
        <w:spacing w:after="80"/>
      </w:pPr>
      <w:r>
        <w:rPr>
          <w:rFonts w:ascii="Arial" w:cs="Arial" w:eastAsia="Arial" w:hAnsi="Arial"/>
          <w:sz w:val="20"/>
          <w:szCs w:val="20"/>
        </w:rPr>
        <w:t xml:space="preserve">Complete item-level ratings (all 23 AGREE II items and all AGREE-REX items, per appraiser) are available from the corresponding author on reasonable request.</w:t>
      </w:r>
    </w:p>
    <w:p>
      <w:pPr>
        <w:spacing w:after="60" w:before="120"/>
      </w:pPr>
      <w:r>
        <w:rPr>
          <w:rFonts w:ascii="Arial" w:cs="Arial" w:eastAsia="Arial" w:hAnsi="Arial"/>
          <w:b/>
          <w:bCs/>
          <w:sz w:val="20"/>
          <w:szCs w:val="20"/>
        </w:rPr>
        <w:t xml:space="preserve">Supplementary Table S2. AGREE II final domain scores (standardised %) — all four included guidelines.</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1700"/>
        <w:gridCol w:w="1500"/>
      </w:tblGrid>
      <w:tr>
        <w:trPr>
          <w:tblHeader/>
        </w:trPr>
        <w:tc>
          <w:tcPr>
            <w:tcW w:type="dxa" w:w="22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Domain</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Argentine (2018)</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Chilean (2009)</w:t>
            </w:r>
          </w:p>
        </w:tc>
        <w:tc>
          <w:tcPr>
            <w:tcW w:type="dxa" w:w="17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European (2020)</w:t>
            </w:r>
          </w:p>
        </w:tc>
        <w:tc>
          <w:tcPr>
            <w:tcW w:type="dxa" w:w="15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Chinese (2025)</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left"/>
            </w:pPr>
            <w:r>
              <w:rPr>
                <w:rFonts w:ascii="Arial" w:cs="Arial" w:eastAsia="Arial" w:hAnsi="Arial"/>
                <w:b/>
                <w:bCs/>
                <w:sz w:val="18"/>
                <w:szCs w:val="18"/>
              </w:rPr>
              <w:t xml:space="preserve">Domain 1: Scope and purpose</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65</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68</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74</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78</w:t>
            </w:r>
          </w:p>
        </w:tc>
      </w:tr>
      <w:tr>
        <w:tc>
          <w:tcPr>
            <w:tcW w:type="dxa" w:w="22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left"/>
            </w:pPr>
            <w:r>
              <w:rPr>
                <w:rFonts w:ascii="Arial" w:cs="Arial" w:eastAsia="Arial" w:hAnsi="Arial"/>
                <w:b/>
                <w:bCs/>
                <w:sz w:val="18"/>
                <w:szCs w:val="18"/>
              </w:rPr>
              <w:t xml:space="preserve">Domain 2: Stakeholder involvement</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38</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40</w:t>
            </w:r>
          </w:p>
        </w:tc>
        <w:tc>
          <w:tcPr>
            <w:tcW w:type="dxa" w:w="17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42</w:t>
            </w:r>
          </w:p>
        </w:tc>
        <w:tc>
          <w:tcPr>
            <w:tcW w:type="dxa" w:w="15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42</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left"/>
            </w:pPr>
            <w:r>
              <w:rPr>
                <w:rFonts w:ascii="Arial" w:cs="Arial" w:eastAsia="Arial" w:hAnsi="Arial"/>
                <w:b/>
                <w:bCs/>
                <w:sz w:val="18"/>
                <w:szCs w:val="18"/>
              </w:rPr>
              <w:t xml:space="preserve">Domain 3: Rigor of development</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6</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5</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7</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12</w:t>
            </w:r>
          </w:p>
        </w:tc>
      </w:tr>
      <w:tr>
        <w:tc>
          <w:tcPr>
            <w:tcW w:type="dxa" w:w="22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left"/>
            </w:pPr>
            <w:r>
              <w:rPr>
                <w:rFonts w:ascii="Arial" w:cs="Arial" w:eastAsia="Arial" w:hAnsi="Arial"/>
                <w:b/>
                <w:bCs/>
                <w:sz w:val="18"/>
                <w:szCs w:val="18"/>
              </w:rPr>
              <w:t xml:space="preserve">Domain 4: Clarity of presentation</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70</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75</w:t>
            </w:r>
          </w:p>
        </w:tc>
        <w:tc>
          <w:tcPr>
            <w:tcW w:type="dxa" w:w="17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80</w:t>
            </w:r>
          </w:p>
        </w:tc>
        <w:tc>
          <w:tcPr>
            <w:tcW w:type="dxa" w:w="15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85</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left"/>
            </w:pPr>
            <w:r>
              <w:rPr>
                <w:rFonts w:ascii="Arial" w:cs="Arial" w:eastAsia="Arial" w:hAnsi="Arial"/>
                <w:b/>
                <w:bCs/>
                <w:sz w:val="18"/>
                <w:szCs w:val="18"/>
              </w:rPr>
              <w:t xml:space="preserve">Domain 5: Applicability</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25</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28</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32</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30</w:t>
            </w:r>
          </w:p>
        </w:tc>
      </w:tr>
      <w:tr>
        <w:tc>
          <w:tcPr>
            <w:tcW w:type="dxa" w:w="22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left"/>
            </w:pPr>
            <w:r>
              <w:rPr>
                <w:rFonts w:ascii="Arial" w:cs="Arial" w:eastAsia="Arial" w:hAnsi="Arial"/>
                <w:b/>
                <w:bCs/>
                <w:sz w:val="18"/>
                <w:szCs w:val="18"/>
              </w:rPr>
              <w:t xml:space="preserve">Domain 6: Editorial independence</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10</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12</w:t>
            </w:r>
          </w:p>
        </w:tc>
        <w:tc>
          <w:tcPr>
            <w:tcW w:type="dxa" w:w="17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18</w:t>
            </w:r>
          </w:p>
        </w:tc>
        <w:tc>
          <w:tcPr>
            <w:tcW w:type="dxa" w:w="15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18</w:t>
            </w:r>
          </w:p>
        </w:tc>
      </w:tr>
    </w:tbl>
    <w:p>
      <w:pPr>
        <w:spacing w:after="60" w:before="120"/>
      </w:pPr>
      <w:r>
        <w:rPr>
          <w:rFonts w:ascii="Arial" w:cs="Arial" w:eastAsia="Arial" w:hAnsi="Arial"/>
          <w:b/>
          <w:bCs/>
          <w:sz w:val="20"/>
          <w:szCs w:val="20"/>
        </w:rPr>
        <w:t xml:space="preserve">Supplementary Table S3. AGREE II overall guideline recommendation.</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1700"/>
        <w:gridCol w:w="1500"/>
      </w:tblGrid>
      <w:tr>
        <w:trPr>
          <w:tblHeader/>
        </w:trPr>
        <w:tc>
          <w:tcPr>
            <w:tcW w:type="dxa" w:w="22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Guideline</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Argentine (2018)</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Chilean (2009)</w:t>
            </w:r>
          </w:p>
        </w:tc>
        <w:tc>
          <w:tcPr>
            <w:tcW w:type="dxa" w:w="17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European (2020)</w:t>
            </w:r>
          </w:p>
        </w:tc>
        <w:tc>
          <w:tcPr>
            <w:tcW w:type="dxa" w:w="15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Chinese (2025)</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b/>
                <w:bCs/>
                <w:sz w:val="18"/>
                <w:szCs w:val="18"/>
              </w:rPr>
              <w:t xml:space="preserve">Overall recommendation</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Not recommended</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Not recommended</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Not recommended</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Recommended with modifications</w:t>
            </w:r>
          </w:p>
        </w:tc>
      </w:tr>
    </w:tbl>
    <w:p>
      <w:pPr>
        <w:spacing w:after="60" w:before="120"/>
      </w:pPr>
      <w:r>
        <w:rPr>
          <w:rFonts w:ascii="Arial" w:cs="Arial" w:eastAsia="Arial" w:hAnsi="Arial"/>
          <w:b/>
          <w:bCs/>
          <w:sz w:val="20"/>
          <w:szCs w:val="20"/>
        </w:rPr>
        <w:t xml:space="preserve">Supplementary Table S4. AGREE-REX final domain scores (standardised %) — all four included guidelines.</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1700"/>
        <w:gridCol w:w="1500"/>
      </w:tblGrid>
      <w:tr>
        <w:trPr>
          <w:tblHeader/>
        </w:trPr>
        <w:tc>
          <w:tcPr>
            <w:tcW w:type="dxa" w:w="22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Domain</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Argentine (2018)</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Chilean (2009)</w:t>
            </w:r>
          </w:p>
        </w:tc>
        <w:tc>
          <w:tcPr>
            <w:tcW w:type="dxa" w:w="17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European (2020)</w:t>
            </w:r>
          </w:p>
        </w:tc>
        <w:tc>
          <w:tcPr>
            <w:tcW w:type="dxa" w:w="15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Chinese (2025)</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left"/>
            </w:pPr>
            <w:r>
              <w:rPr>
                <w:rFonts w:ascii="Arial" w:cs="Arial" w:eastAsia="Arial" w:hAnsi="Arial"/>
                <w:b/>
                <w:bCs/>
                <w:sz w:val="18"/>
                <w:szCs w:val="18"/>
              </w:rPr>
              <w:t xml:space="preserve">Domain 1: Clinical applicability</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55</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58</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62</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72</w:t>
            </w:r>
          </w:p>
        </w:tc>
      </w:tr>
      <w:tr>
        <w:tc>
          <w:tcPr>
            <w:tcW w:type="dxa" w:w="22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left"/>
            </w:pPr>
            <w:r>
              <w:rPr>
                <w:rFonts w:ascii="Arial" w:cs="Arial" w:eastAsia="Arial" w:hAnsi="Arial"/>
                <w:b/>
                <w:bCs/>
                <w:sz w:val="18"/>
                <w:szCs w:val="18"/>
              </w:rPr>
              <w:t xml:space="preserve">Domain 2: Values and preferences</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18</w:t>
            </w:r>
          </w:p>
        </w:tc>
        <w:tc>
          <w:tcPr>
            <w:tcW w:type="dxa" w:w="1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15</w:t>
            </w:r>
          </w:p>
        </w:tc>
        <w:tc>
          <w:tcPr>
            <w:tcW w:type="dxa" w:w="17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22</w:t>
            </w:r>
          </w:p>
        </w:tc>
        <w:tc>
          <w:tcPr>
            <w:tcW w:type="dxa" w:w="15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20</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left"/>
            </w:pPr>
            <w:r>
              <w:rPr>
                <w:rFonts w:ascii="Arial" w:cs="Arial" w:eastAsia="Arial" w:hAnsi="Arial"/>
                <w:b/>
                <w:bCs/>
                <w:sz w:val="18"/>
                <w:szCs w:val="18"/>
              </w:rPr>
              <w:t xml:space="preserve">Domain 3: Implementability</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35</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32</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40</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jc w:val="center"/>
            </w:pPr>
            <w:r>
              <w:rPr>
                <w:rFonts w:ascii="Arial" w:cs="Arial" w:eastAsia="Arial" w:hAnsi="Arial"/>
                <w:b w:val="false"/>
                <w:bCs w:val="false"/>
                <w:sz w:val="18"/>
                <w:szCs w:val="18"/>
              </w:rPr>
              <w:t xml:space="preserve">48</w:t>
            </w:r>
          </w:p>
        </w:tc>
      </w:tr>
    </w:tbl>
    <w:p>
      <w:pPr>
        <w:spacing w:after="60" w:before="120"/>
      </w:pPr>
      <w:r>
        <w:rPr>
          <w:rFonts w:ascii="Arial" w:cs="Arial" w:eastAsia="Arial" w:hAnsi="Arial"/>
          <w:b/>
          <w:bCs/>
          <w:sz w:val="20"/>
          <w:szCs w:val="20"/>
        </w:rPr>
        <w:t xml:space="preserve">Supplementary Table S5. AGREE-REX overall credibility classification.</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1700"/>
        <w:gridCol w:w="1500"/>
      </w:tblGrid>
      <w:tr>
        <w:trPr>
          <w:tblHeader/>
        </w:trPr>
        <w:tc>
          <w:tcPr>
            <w:tcW w:type="dxa" w:w="22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Argentine (2018)</w:t>
            </w:r>
          </w:p>
        </w:tc>
        <w:tc>
          <w:tcPr>
            <w:tcW w:type="dxa" w:w="1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Chilean (2009)</w:t>
            </w:r>
          </w:p>
        </w:tc>
        <w:tc>
          <w:tcPr>
            <w:tcW w:type="dxa" w:w="17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European (2020)</w:t>
            </w:r>
          </w:p>
        </w:tc>
        <w:tc>
          <w:tcPr>
            <w:tcW w:type="dxa" w:w="15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Chinese (2025)</w:t>
            </w:r>
          </w:p>
        </w:tc>
      </w:tr>
      <w:t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b/>
                <w:bCs/>
                <w:sz w:val="18"/>
                <w:szCs w:val="18"/>
              </w:rPr>
              <w:t xml:space="preserve">Overall credibility</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Low</w:t>
            </w:r>
          </w:p>
        </w:tc>
        <w:tc>
          <w:tcPr>
            <w:tcW w:type="dxa" w:w="1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Low</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Low–moderate</w:t>
            </w: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Moderate</w:t>
            </w:r>
          </w:p>
        </w:tc>
      </w:tr>
    </w:tbl>
    <w:p>
      <w:r>
        <w:br w:type="page"/>
      </w:r>
    </w:p>
    <w:p>
      <w:pPr>
        <w:pBdr>
          <w:bottom w:val="single" w:color="2F5496" w:sz="6" w:space="4"/>
        </w:pBdr>
        <w:spacing w:after="100" w:before="200"/>
      </w:pPr>
      <w:r>
        <w:rPr>
          <w:rFonts w:ascii="Arial" w:cs="Arial" w:eastAsia="Arial" w:hAnsi="Arial"/>
          <w:b/>
          <w:bCs/>
          <w:sz w:val="24"/>
          <w:szCs w:val="24"/>
        </w:rPr>
        <w:t xml:space="preserve">Supplementary Table S6. MEDLINE (via PubMed) search strategy</w:t>
      </w:r>
    </w:p>
    <w:p>
      <w:pPr>
        <w:spacing w:after="80"/>
      </w:pPr>
      <w:r>
        <w:rPr>
          <w:rFonts w:ascii="Arial" w:cs="Arial" w:eastAsia="Arial" w:hAnsi="Arial"/>
          <w:sz w:val="20"/>
          <w:szCs w:val="20"/>
        </w:rPr>
        <w:t xml:space="preserve">Primary search: inception to October 2024. Update search: August 2025. Guideline filter added per Intercollegiate Guidelines Network / McMaster University Health Sciences Library validated strategy.</w:t>
      </w:r>
    </w:p>
    <w:p>
      <w:pPr>
        <w:spacing w:after="80"/>
      </w:pPr>
      <w:r>
        <w:rPr>
          <w:rFonts w:ascii="Arial" w:cs="Arial" w:eastAsia="Arial" w:hAnsi="Arial"/>
          <w:sz w:val="16"/>
          <w:szCs w:val="16"/>
        </w:rPr>
        <w:t xml:space="preserve">(((((((((("Adolescent"[MeSH Terms] OR ("Adolescents"[Title/Abstract] OR "Adolescence"[Title/Abstract] OR "Teens"[Title/Abstract] OR "Teen"[Title/Abstract] OR "Teenagers"[Title/Abstract] OR "Teenager"[Title/Abstract] OR "Youth"[Title/Abstract] OR "Youths"[Title/Abstract]) OR ("Child"[MeSH Terms] OR "Children"[Title/Abstract]) OR ("child, preschool"[MeSH Terms] OR ("preschool child"[Title/Abstract] OR "children preschool"[Title/Abstract] OR "preschool children"[Title/Abstract])) OR ("Infant"[MeSH Terms] OR "Infants"[Title/Abstract])) AND ("Bronchiolitis Obliterans"[MeSH Terms] OR ("constrictive bronchiolitis"[Title/Abstract] OR "bronchiolitis constrictive"[Title/Abstract] OR "exudative bronchiolitis"[Title/Abstract] OR "bronchiolitis proliferative"[Title/Abstract] OR "proliferative bronchiolitis"[Title/Abstract]))) NOT ((("Transplantation"[Title/Abstract] OR "Transplant"[Title/Abstract] OR "Transplants"[Title/Abstract]) OR "organizing pneumonia"[Title/Abstract] OR "Stevens-Johnson Syndrome"[Title/Abstract] OR "interstitial lung disease"[Title/Abstract] OR "bronchiectasis"[Title/Abstract] OR "case report"[Title/Abstract])) NOT "Case Reports"[Publication Type]) NOT ("Cystic Fibrosis"[MeSH Terms])) NOT ("bronchiectasis"[MeSH Terms])) NOT ("lung diseases, interstitial"[MeSH Terms])) NOT "Stevens-Johnson Syndrome"[MeSH Terms]) NOT ("Bone Marrow Transplantation"[MeSH Terms] OR "Hematopoietic Stem Cell Transplantation"[MeSH Terms] OR "Heart-Lung Transplantation"[MeSH Terms] OR "lung Transplantation"[MeSH Terms]))
AND
("Practice Guideline"[Publication Type] OR "Guideline"[Publication Type] OR "Practice Guidelines as Topic"[MeSH Terms] OR "Clinical Practice Guideline"[Title/Abstract] OR "Practice Guideline"[Title/Abstract] OR "Clinical Guideline"[Title/Abstract] OR "Consensus Statement"[Title/Abstract] OR "Expert Consensus"[Title/Abstract] OR "Expert Panel"[Title/Abstract] OR "Consensus"[MeSH Terms] OR "Delphi"[Title/Abstract] OR "Recommendation"[Title/Abstract] OR "Recommendations"[Title/Abstract])</w:t>
      </w:r>
    </w:p>
    <w:p>
      <w:r>
        <w:br w:type="page"/>
      </w:r>
    </w:p>
    <w:p>
      <w:pPr>
        <w:pBdr>
          <w:bottom w:val="single" w:color="2F5496" w:sz="6" w:space="4"/>
        </w:pBdr>
        <w:spacing w:after="100" w:before="200"/>
      </w:pPr>
      <w:r>
        <w:rPr>
          <w:rFonts w:ascii="Arial" w:cs="Arial" w:eastAsia="Arial" w:hAnsi="Arial"/>
          <w:b/>
          <w:bCs/>
          <w:sz w:val="24"/>
          <w:szCs w:val="24"/>
        </w:rPr>
        <w:t xml:space="preserve">Supplementary Table S7. EMBASE (via Ovid) search strategy</w:t>
      </w:r>
    </w:p>
    <w:p>
      <w:pPr>
        <w:spacing w:after="80"/>
      </w:pPr>
      <w:r>
        <w:rPr>
          <w:rFonts w:ascii="Arial" w:cs="Arial" w:eastAsia="Arial" w:hAnsi="Arial"/>
          <w:sz w:val="20"/>
          <w:szCs w:val="20"/>
        </w:rPr>
        <w:t xml:space="preserve">Primary search: inception to October 2024. Update search: August 2025. Guideline filter incorporated in line #6.</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600"/>
        <w:gridCol w:w="7900"/>
      </w:tblGrid>
      <w:tr>
        <w:trPr>
          <w:tblHeader/>
        </w:trPr>
        <w:tc>
          <w:tcPr>
            <w:tcW w:type="dxa" w:w="6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No.</w:t>
            </w:r>
          </w:p>
        </w:tc>
        <w:tc>
          <w:tcPr>
            <w:tcW w:type="dxa" w:w="7900"/>
            <w:tcBorders>
              <w:top w:val="single" w:color="999999" w:sz="4"/>
              <w:left w:val="single" w:color="999999" w:sz="4"/>
              <w:bottom w:val="single" w:color="999999" w:sz="4"/>
              <w:right w:val="single" w:color="999999" w:sz="4"/>
            </w:tcBorders>
            <w:shd w:fill="D9E1F2" w:val="clear"/>
            <w:tcMar>
              <w:top w:type="dxa" w:w="60"/>
              <w:left w:type="dxa" w:w="80"/>
              <w:bottom w:type="dxa" w:w="60"/>
              <w:right w:type="dxa" w:w="80"/>
            </w:tcMar>
          </w:tcPr>
          <w:p>
            <w:pPr>
              <w:spacing w:after="40"/>
            </w:pPr>
            <w:r>
              <w:rPr>
                <w:rFonts w:ascii="Arial" w:cs="Arial" w:eastAsia="Arial" w:hAnsi="Arial"/>
                <w:b/>
                <w:bCs/>
                <w:sz w:val="18"/>
                <w:szCs w:val="18"/>
              </w:rPr>
              <w:t xml:space="preserve">Query</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#6</w:t>
            </w:r>
          </w:p>
        </w:tc>
        <w:tc>
          <w:tcPr>
            <w:tcW w:type="dxa" w:w="79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#5 AND ('clinical practice guideline'/exp OR 'practice guideline'/exp OR 'consensus'/exp OR 'recommendation'/exp OR 'expert panel':ab,ti OR 'consensus statement':ab,ti OR 'expert consensus':ab,ti OR 'clinical guideline':ab,ti OR 'Delphi':ab,ti)</w:t>
            </w:r>
          </w:p>
        </w:tc>
      </w:tr>
      <w:tr>
        <w:tc>
          <w:tcPr>
            <w:tcW w:type="dxa" w:w="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pPr>
            <w:r>
              <w:rPr>
                <w:rFonts w:ascii="Arial" w:cs="Arial" w:eastAsia="Arial" w:hAnsi="Arial"/>
                <w:sz w:val="18"/>
                <w:szCs w:val="18"/>
              </w:rPr>
              <w:t xml:space="preserve">#5</w:t>
            </w:r>
          </w:p>
        </w:tc>
        <w:tc>
          <w:tcPr>
            <w:tcW w:type="dxa" w:w="7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pPr>
            <w:r>
              <w:rPr>
                <w:rFonts w:ascii="Arial" w:cs="Arial" w:eastAsia="Arial" w:hAnsi="Arial"/>
                <w:sz w:val="18"/>
                <w:szCs w:val="18"/>
              </w:rPr>
              <w:t xml:space="preserve">#4 NOT ('transplantation':ab,ti OR 'transplantations':ab,ti OR 'transplant':ab,ti OR 'transplants':ab,ti OR 'organizing pneumonia':ab,ti OR 'stevens-johnson syndrome':ab,ti OR 'interstitial lung disease':ab,ti OR 'bronchiectasis':ab,ti OR 'case report':ab,ti)</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#4</w:t>
            </w:r>
          </w:p>
        </w:tc>
        <w:tc>
          <w:tcPr>
            <w:tcW w:type="dxa" w:w="79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#3 AND ([adolescent]/lim OR [child]/lim OR [embryo]/lim OR [fetus]/lim OR [infant]/lim OR [newborn]/lim OR [preschool]/lim OR [school]/lim)</w:t>
            </w:r>
          </w:p>
        </w:tc>
      </w:tr>
      <w:tr>
        <w:tc>
          <w:tcPr>
            <w:tcW w:type="dxa" w:w="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pPr>
            <w:r>
              <w:rPr>
                <w:rFonts w:ascii="Arial" w:cs="Arial" w:eastAsia="Arial" w:hAnsi="Arial"/>
                <w:sz w:val="18"/>
                <w:szCs w:val="18"/>
              </w:rPr>
              <w:t xml:space="preserve">#3</w:t>
            </w:r>
          </w:p>
        </w:tc>
        <w:tc>
          <w:tcPr>
            <w:tcW w:type="dxa" w:w="7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pPr>
            <w:r>
              <w:rPr>
                <w:rFonts w:ascii="Arial" w:cs="Arial" w:eastAsia="Arial" w:hAnsi="Arial"/>
                <w:sz w:val="18"/>
                <w:szCs w:val="18"/>
              </w:rPr>
              <w:t xml:space="preserve">#1 OR #2</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#2</w:t>
            </w:r>
          </w:p>
        </w:tc>
        <w:tc>
          <w:tcPr>
            <w:tcW w:type="dxa" w:w="7900"/>
            <w:tcBorders>
              <w:top w:val="single" w:color="999999" w:sz="4"/>
              <w:left w:val="single" w:color="999999" w:sz="4"/>
              <w:bottom w:val="single" w:color="999999" w:sz="4"/>
              <w:right w:val="single" w:color="999999" w:sz="4"/>
            </w:tcBorders>
            <w:tcMar>
              <w:top w:type="dxa" w:w="60"/>
              <w:left w:type="dxa" w:w="80"/>
              <w:bottom w:type="dxa" w:w="60"/>
              <w:right w:type="dxa" w:w="80"/>
            </w:tcMar>
          </w:tcPr>
          <w:p>
            <w:pPr>
              <w:spacing w:after="40"/>
            </w:pPr>
            <w:r>
              <w:rPr>
                <w:rFonts w:ascii="Arial" w:cs="Arial" w:eastAsia="Arial" w:hAnsi="Arial"/>
                <w:sz w:val="18"/>
                <w:szCs w:val="18"/>
              </w:rPr>
              <w:t xml:space="preserve">'constrictive bronchiolitis':ab,ti OR 'bronchiolitides, constrictive':ab,ti OR 'bronchiolitis, constrictive':ab,ti OR 'constrictive bronchiolitides':ab,ti OR 'bronchiolitis, exudative':ab,ti OR 'bronchiolitides, exudative':ab,ti OR 'exudative bronchiolitides':ab,ti OR 'exudative bronchiolitis':ab,ti OR 'bronchiolitis, proliferative':ab,ti OR 'bronchiolitides, proliferative':ab,ti OR 'proliferative bronchiolitides':ab,ti OR 'proliferative bronchiolitis':ab,ti</w:t>
            </w:r>
          </w:p>
        </w:tc>
      </w:tr>
      <w:tr>
        <w:tc>
          <w:tcPr>
            <w:tcW w:type="dxa" w:w="6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pPr>
            <w:r>
              <w:rPr>
                <w:rFonts w:ascii="Arial" w:cs="Arial" w:eastAsia="Arial" w:hAnsi="Arial"/>
                <w:sz w:val="18"/>
                <w:szCs w:val="18"/>
              </w:rPr>
              <w:t xml:space="preserve">#1</w:t>
            </w:r>
          </w:p>
        </w:tc>
        <w:tc>
          <w:tcPr>
            <w:tcW w:type="dxa" w:w="7900"/>
            <w:tcBorders>
              <w:top w:val="single" w:color="999999" w:sz="4"/>
              <w:left w:val="single" w:color="999999" w:sz="4"/>
              <w:bottom w:val="single" w:color="999999" w:sz="4"/>
              <w:right w:val="single" w:color="999999" w:sz="4"/>
            </w:tcBorders>
            <w:shd w:fill="F5F8FF" w:val="clear"/>
            <w:tcMar>
              <w:top w:type="dxa" w:w="60"/>
              <w:left w:type="dxa" w:w="80"/>
              <w:bottom w:type="dxa" w:w="60"/>
              <w:right w:type="dxa" w:w="80"/>
            </w:tcMar>
          </w:tcPr>
          <w:p>
            <w:pPr>
              <w:spacing w:after="40"/>
            </w:pPr>
            <w:r>
              <w:rPr>
                <w:rFonts w:ascii="Arial" w:cs="Arial" w:eastAsia="Arial" w:hAnsi="Arial"/>
                <w:sz w:val="18"/>
                <w:szCs w:val="18"/>
              </w:rPr>
              <w:t xml:space="preserve">'bronchiolitis obliterans'/exp</w:t>
            </w:r>
          </w:p>
        </w:tc>
      </w:tr>
    </w:tbl>
    <w:p>
      <w:r>
        <w:br w:type="page"/>
      </w:r>
    </w:p>
    <w:p>
      <w:pPr>
        <w:pBdr>
          <w:bottom w:val="single" w:color="2F5496" w:sz="6" w:space="4"/>
        </w:pBdr>
        <w:spacing w:after="100" w:before="200"/>
      </w:pPr>
      <w:r>
        <w:rPr>
          <w:rFonts w:ascii="Arial" w:cs="Arial" w:eastAsia="Arial" w:hAnsi="Arial"/>
          <w:b/>
          <w:bCs/>
          <w:sz w:val="24"/>
          <w:szCs w:val="24"/>
        </w:rPr>
        <w:t xml:space="preserve">Supplementary Table S8. CINAHL search strategy</w:t>
      </w:r>
    </w:p>
    <w:p>
      <w:pPr>
        <w:spacing w:after="80"/>
      </w:pPr>
      <w:r>
        <w:rPr>
          <w:rFonts w:ascii="Arial" w:cs="Arial" w:eastAsia="Arial" w:hAnsi="Arial"/>
          <w:sz w:val="20"/>
          <w:szCs w:val="20"/>
        </w:rPr>
        <w:t xml:space="preserve">Primary search: inception to October 2024. Update search: August 2025.</w:t>
      </w:r>
    </w:p>
    <w:p>
      <w:pPr>
        <w:spacing w:after="80"/>
      </w:pPr>
      <w:r>
        <w:rPr>
          <w:rFonts w:ascii="Arial" w:cs="Arial" w:eastAsia="Arial" w:hAnsi="Arial"/>
          <w:sz w:val="20"/>
          <w:szCs w:val="20"/>
        </w:rPr>
        <w:t xml:space="preserve">MH "Bronchiolitis, Obliterative" OR TI (bronchiolitis obliterans OR constrictive bronchiolitis) OR AB (bronchiolitis obliterans OR constrictive bronchiolitis)</w:t>
      </w:r>
    </w:p>
    <w:p>
      <w:pPr>
        <w:spacing w:after="80"/>
      </w:pPr>
      <w:r>
        <w:rPr>
          <w:rFonts w:ascii="Arial" w:cs="Arial" w:eastAsia="Arial" w:hAnsi="Arial"/>
          <w:sz w:val="20"/>
          <w:szCs w:val="20"/>
        </w:rPr>
        <w:t xml:space="preserve">AND (MH "Child" OR MH "Infant" OR MH "Adolescence" OR TI (child* OR infant* OR pediatric* OR paediatric* OR adolescent*))</w:t>
      </w:r>
    </w:p>
    <w:p>
      <w:pPr>
        <w:spacing w:after="80"/>
      </w:pPr>
      <w:r>
        <w:rPr>
          <w:rFonts w:ascii="Arial" w:cs="Arial" w:eastAsia="Arial" w:hAnsi="Arial"/>
          <w:sz w:val="20"/>
          <w:szCs w:val="20"/>
        </w:rPr>
        <w:t xml:space="preserve">AND (MH "Practice Guidelines" OR TI (guideline* OR "consensus statement" OR recommendation* OR "expert consensus" OR "clinical practice guideline"))</w:t>
      </w:r>
    </w:p>
    <w:p>
      <w:pPr>
        <w:spacing w:after="80"/>
      </w:pPr>
      <w:r>
        <w:rPr>
          <w:rFonts w:ascii="Arial" w:cs="Arial" w:eastAsia="Arial" w:hAnsi="Arial"/>
          <w:sz w:val="20"/>
          <w:szCs w:val="20"/>
        </w:rPr>
        <w:t xml:space="preserve">NOT (TI transplant* OR TI "organizing pneumonia" OR TI "cystic fibrosis")</w:t>
      </w:r>
    </w:p>
    <w:p>
      <w:pPr>
        <w:pBdr>
          <w:bottom w:val="single" w:color="2F5496" w:sz="6" w:space="4"/>
        </w:pBdr>
        <w:spacing w:after="100" w:before="200"/>
      </w:pPr>
      <w:r>
        <w:rPr>
          <w:rFonts w:ascii="Arial" w:cs="Arial" w:eastAsia="Arial" w:hAnsi="Arial"/>
          <w:b/>
          <w:bCs/>
          <w:sz w:val="24"/>
          <w:szCs w:val="24"/>
        </w:rPr>
        <w:t xml:space="preserve">Supplementary Table S9. LILACS search strategy</w:t>
      </w:r>
    </w:p>
    <w:p>
      <w:pPr>
        <w:spacing w:after="80"/>
      </w:pPr>
      <w:r>
        <w:rPr>
          <w:rFonts w:ascii="Arial" w:cs="Arial" w:eastAsia="Arial" w:hAnsi="Arial"/>
          <w:sz w:val="20"/>
          <w:szCs w:val="20"/>
        </w:rPr>
        <w:t xml:space="preserve">Primary search: inception to October 2024. Update search: August 2025.</w:t>
      </w:r>
    </w:p>
    <w:p>
      <w:pPr>
        <w:spacing w:after="80"/>
      </w:pPr>
      <w:r>
        <w:rPr>
          <w:rFonts w:ascii="Arial" w:cs="Arial" w:eastAsia="Arial" w:hAnsi="Arial"/>
          <w:sz w:val="20"/>
          <w:szCs w:val="20"/>
        </w:rPr>
        <w:t xml:space="preserve">(bronquiolitis obliterante OR bronchiolitis obliterans) AND (guía de práctica clínica OR guia de pratica clinica OR guideline OR recomendaciones OR consenso OR consensus)</w:t>
      </w:r>
    </w:p>
    <w:p>
      <w:pPr>
        <w:spacing w:after="80"/>
      </w:pPr>
      <w:r>
        <w:rPr>
          <w:rFonts w:ascii="Arial" w:cs="Arial" w:eastAsia="Arial" w:hAnsi="Arial"/>
          <w:sz w:val="20"/>
          <w:szCs w:val="20"/>
        </w:rPr>
        <w:t xml:space="preserve">Filtered to: paediatric population; language: Spanish, English, Portuguese.</w:t>
      </w:r>
    </w:p>
    <w:sectPr>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2026-08-06T14:18:26.100Z</dcterms:created>
  <dcterms:modified xsi:type="dcterms:W3CDTF">2026-08-06T14:18:26.112Z</dcterms:modified>
</cp:coreProperties>
</file>

<file path=docProps/custom.xml><?xml version="1.0" encoding="utf-8"?>
<Properties xmlns="http://schemas.openxmlformats.org/officeDocument/2006/custom-properties" xmlns:vt="http://schemas.openxmlformats.org/officeDocument/2006/docPropsVTypes"/>
</file>