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360" w:before="0" w:after="160"/>
        <w:jc w:val="left"/>
        <w:rPr>
          <w:rFonts w:ascii="Palatino Linotype" w:hAnsi="Palatino Linotype"/>
          <w:b/>
          <w:sz w:val="28"/>
          <w:szCs w:val="28"/>
        </w:rPr>
      </w:pPr>
      <w:r>
        <w:rPr>
          <w:rFonts w:ascii="Palatino Linotype" w:hAnsi="Palatino Linotype"/>
          <w:b/>
          <w:sz w:val="28"/>
          <w:szCs w:val="28"/>
        </w:rPr>
        <w:t>Supplementary material</w:t>
      </w:r>
    </w:p>
    <w:p>
      <w:pPr>
        <w:pStyle w:val="Normal"/>
        <w:bidi w:val="0"/>
        <w:spacing w:lineRule="auto" w:line="360" w:before="120" w:after="120"/>
        <w:jc w:val="left"/>
        <w:rPr>
          <w:rFonts w:ascii="Palatino Linotype" w:hAnsi="Palatino Linotype"/>
          <w:b/>
          <w:sz w:val="24"/>
          <w:szCs w:val="24"/>
        </w:rPr>
      </w:pPr>
      <w:r>
        <w:rPr>
          <w:rFonts w:ascii="Palatino Linotype" w:hAnsi="Palatino Linotype"/>
          <w:b/>
          <w:sz w:val="24"/>
          <w:szCs w:val="24"/>
        </w:rPr>
        <w:t>Figure S1. Observed CAR values in the CAR-rising phenotype.</w:t>
      </w:r>
    </w:p>
    <w:p>
      <w:pPr>
        <w:pStyle w:val="Normal"/>
        <w:bidi w:val="0"/>
        <w:spacing w:before="120" w:after="120"/>
        <w:jc w:val="left"/>
        <w:rPr/>
      </w:pPr>
      <w:r>
        <w:rPr/>
        <w:drawing>
          <wp:inline distT="0" distB="0" distL="0" distR="0">
            <wp:extent cx="5832475" cy="3837305"/>
            <wp:effectExtent l="0" t="0" r="0" b="0"/>
            <wp:docPr id="1" name="FigureS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S1" descr=""/>
                    <pic:cNvPicPr>
                      <a:picLocks noChangeAspect="1" noChangeArrowheads="1"/>
                    </pic:cNvPicPr>
                  </pic:nvPicPr>
                  <pic:blipFill>
                    <a:blip r:embed="rId2"/>
                    <a:stretch>
                      <a:fillRect/>
                    </a:stretch>
                  </pic:blipFill>
                  <pic:spPr bwMode="auto">
                    <a:xfrm>
                      <a:off x="0" y="0"/>
                      <a:ext cx="5832475" cy="3837305"/>
                    </a:xfrm>
                    <a:prstGeom prst="rect">
                      <a:avLst/>
                    </a:prstGeom>
                  </pic:spPr>
                </pic:pic>
              </a:graphicData>
            </a:graphic>
          </wp:inline>
        </w:drawing>
      </w:r>
    </w:p>
    <w:p>
      <w:pPr>
        <w:pStyle w:val="Normal"/>
        <w:bidi w:val="0"/>
        <w:spacing w:lineRule="auto" w:line="360" w:before="120" w:after="200"/>
        <w:jc w:val="both"/>
        <w:rPr>
          <w:rFonts w:ascii="Palatino Linotype" w:hAnsi="Palatino Linotype"/>
        </w:rPr>
      </w:pPr>
      <w:r>
        <w:rPr>
          <w:rFonts w:ascii="Palatino Linotype" w:hAnsi="Palatino Linotype"/>
        </w:rPr>
        <w:t>Faint red lines show individual patient CAR measurements; the heavy line shows the observed median with interquartile range within yearly intervals. The monotonic rise across years confirms that the late escalation is present in the raw measurements and is not an artefact of the modelled quadratic time term. CAR = CRP-to-albumin ratio.</w:t>
      </w:r>
    </w:p>
    <w:p>
      <w:pPr>
        <w:pStyle w:val="Normal"/>
        <w:bidi w:val="0"/>
        <w:spacing w:lineRule="auto" w:line="360" w:before="240" w:after="140"/>
        <w:jc w:val="left"/>
        <w:rPr>
          <w:rFonts w:ascii="Palatino Linotype" w:hAnsi="Palatino Linotype"/>
          <w:b/>
          <w:sz w:val="24"/>
          <w:szCs w:val="24"/>
        </w:rPr>
      </w:pPr>
      <w:r>
        <w:rPr>
          <w:rFonts w:ascii="Palatino Linotype" w:hAnsi="Palatino Linotype"/>
          <w:b/>
          <w:sz w:val="24"/>
          <w:szCs w:val="24"/>
        </w:rPr>
        <w:t>Supplementary Table S1. Comparison of included (analytic cohort) and excluded patients.</w:t>
      </w:r>
    </w:p>
    <w:tbl>
      <w:tblPr>
        <w:tblW w:w="9800"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3399"/>
        <w:gridCol w:w="2600"/>
        <w:gridCol w:w="2601"/>
        <w:gridCol w:w="1199"/>
      </w:tblGrid>
      <w:tr>
        <w:trPr/>
        <w:tc>
          <w:tcPr>
            <w:tcW w:w="3399"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b/>
              </w:rPr>
            </w:pPr>
            <w:r>
              <w:rPr>
                <w:rFonts w:ascii="Palatino Linotype" w:hAnsi="Palatino Linotype"/>
                <w:b/>
              </w:rPr>
              <w:t>Characteristic</w:t>
            </w:r>
          </w:p>
        </w:tc>
        <w:tc>
          <w:tcPr>
            <w:tcW w:w="2600"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b/>
              </w:rPr>
            </w:pPr>
            <w:r>
              <w:rPr>
                <w:rFonts w:ascii="Palatino Linotype" w:hAnsi="Palatino Linotype"/>
                <w:b/>
              </w:rPr>
              <w:t>Included (n=104)</w:t>
            </w:r>
          </w:p>
        </w:tc>
        <w:tc>
          <w:tcPr>
            <w:tcW w:w="2601"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b/>
              </w:rPr>
            </w:pPr>
            <w:r>
              <w:rPr>
                <w:rFonts w:ascii="Palatino Linotype" w:hAnsi="Palatino Linotype"/>
                <w:b/>
              </w:rPr>
              <w:t>Excluded (n=34)</w:t>
            </w:r>
          </w:p>
        </w:tc>
        <w:tc>
          <w:tcPr>
            <w:tcW w:w="1199"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b/>
              </w:rPr>
            </w:pPr>
            <w:r>
              <w:rPr>
                <w:rFonts w:ascii="Palatino Linotype" w:hAnsi="Palatino Linotype"/>
                <w:b/>
              </w:rPr>
              <w:t>p</w:t>
            </w:r>
          </w:p>
        </w:tc>
      </w:tr>
      <w:tr>
        <w:trPr/>
        <w:tc>
          <w:tcPr>
            <w:tcW w:w="3399"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Age at LTx, years</w:t>
            </w:r>
          </w:p>
        </w:tc>
        <w:tc>
          <w:tcPr>
            <w:tcW w:w="2600"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58.6 [53.7–62.5]</w:t>
            </w:r>
          </w:p>
        </w:tc>
        <w:tc>
          <w:tcPr>
            <w:tcW w:w="2601"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58.0 [49.9–62.9]</w:t>
            </w:r>
          </w:p>
        </w:tc>
        <w:tc>
          <w:tcPr>
            <w:tcW w:w="1199"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0.29</w:t>
            </w:r>
          </w:p>
        </w:tc>
      </w:tr>
      <w:tr>
        <w:trPr/>
        <w:tc>
          <w:tcPr>
            <w:tcW w:w="3399"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Male sex, n (%)</w:t>
            </w:r>
          </w:p>
        </w:tc>
        <w:tc>
          <w:tcPr>
            <w:tcW w:w="2600"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64 (62)</w:t>
            </w:r>
          </w:p>
        </w:tc>
        <w:tc>
          <w:tcPr>
            <w:tcW w:w="2601"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22 (65)</w:t>
            </w:r>
          </w:p>
        </w:tc>
        <w:tc>
          <w:tcPr>
            <w:tcW w:w="1199"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0.84</w:t>
            </w:r>
          </w:p>
        </w:tc>
      </w:tr>
      <w:tr>
        <w:trPr/>
        <w:tc>
          <w:tcPr>
            <w:tcW w:w="3399"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IPF, n (%)</w:t>
            </w:r>
          </w:p>
        </w:tc>
        <w:tc>
          <w:tcPr>
            <w:tcW w:w="2600"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31 (30)</w:t>
            </w:r>
          </w:p>
        </w:tc>
        <w:tc>
          <w:tcPr>
            <w:tcW w:w="2601"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16 (47)</w:t>
            </w:r>
          </w:p>
        </w:tc>
        <w:tc>
          <w:tcPr>
            <w:tcW w:w="1199"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0.09</w:t>
            </w:r>
          </w:p>
        </w:tc>
      </w:tr>
      <w:tr>
        <w:trPr/>
        <w:tc>
          <w:tcPr>
            <w:tcW w:w="3399"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BMI, kg/m²</w:t>
            </w:r>
          </w:p>
        </w:tc>
        <w:tc>
          <w:tcPr>
            <w:tcW w:w="2600"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24.9 [22.3–27.1]</w:t>
            </w:r>
          </w:p>
        </w:tc>
        <w:tc>
          <w:tcPr>
            <w:tcW w:w="2601"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24.1 [21.0–27.2]</w:t>
            </w:r>
          </w:p>
        </w:tc>
        <w:tc>
          <w:tcPr>
            <w:tcW w:w="1199"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0.44</w:t>
            </w:r>
          </w:p>
        </w:tc>
      </w:tr>
      <w:tr>
        <w:trPr/>
        <w:tc>
          <w:tcPr>
            <w:tcW w:w="3399"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LAS at listing</w:t>
            </w:r>
          </w:p>
        </w:tc>
        <w:tc>
          <w:tcPr>
            <w:tcW w:w="2600"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42.2 [36.8–53.9]</w:t>
            </w:r>
          </w:p>
        </w:tc>
        <w:tc>
          <w:tcPr>
            <w:tcW w:w="2601"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45.4 [40.3–57.5]</w:t>
            </w:r>
          </w:p>
        </w:tc>
        <w:tc>
          <w:tcPr>
            <w:tcW w:w="1199"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0.28</w:t>
            </w:r>
          </w:p>
        </w:tc>
      </w:tr>
      <w:tr>
        <w:trPr/>
        <w:tc>
          <w:tcPr>
            <w:tcW w:w="3399"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FVC, % predicted</w:t>
            </w:r>
          </w:p>
        </w:tc>
        <w:tc>
          <w:tcPr>
            <w:tcW w:w="2600"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67.0 [49.4–80.3]</w:t>
            </w:r>
          </w:p>
        </w:tc>
        <w:tc>
          <w:tcPr>
            <w:tcW w:w="2601"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68.2 [48.6–75.5]</w:t>
            </w:r>
          </w:p>
        </w:tc>
        <w:tc>
          <w:tcPr>
            <w:tcW w:w="1199"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0.68</w:t>
            </w:r>
          </w:p>
        </w:tc>
      </w:tr>
      <w:tr>
        <w:trPr/>
        <w:tc>
          <w:tcPr>
            <w:tcW w:w="3399"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Baseline CAR</w:t>
            </w:r>
          </w:p>
        </w:tc>
        <w:tc>
          <w:tcPr>
            <w:tcW w:w="2600"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1.2 [0.4–2.2]</w:t>
            </w:r>
          </w:p>
        </w:tc>
        <w:tc>
          <w:tcPr>
            <w:tcW w:w="2601"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0.5 [0.2–1.4]</w:t>
            </w:r>
          </w:p>
        </w:tc>
        <w:tc>
          <w:tcPr>
            <w:tcW w:w="1199"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0.002</w:t>
            </w:r>
          </w:p>
        </w:tc>
      </w:tr>
      <w:tr>
        <w:trPr/>
        <w:tc>
          <w:tcPr>
            <w:tcW w:w="3399"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Deceased (any follow-up), n (%)</w:t>
            </w:r>
          </w:p>
        </w:tc>
        <w:tc>
          <w:tcPr>
            <w:tcW w:w="2600"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50 (48)</w:t>
            </w:r>
          </w:p>
        </w:tc>
        <w:tc>
          <w:tcPr>
            <w:tcW w:w="2601"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16 (47)</w:t>
            </w:r>
          </w:p>
        </w:tc>
        <w:tc>
          <w:tcPr>
            <w:tcW w:w="1199"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1.00</w:t>
            </w:r>
          </w:p>
        </w:tc>
      </w:tr>
      <w:tr>
        <w:trPr/>
        <w:tc>
          <w:tcPr>
            <w:tcW w:w="3399"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Follow-up, days</w:t>
            </w:r>
          </w:p>
        </w:tc>
        <w:tc>
          <w:tcPr>
            <w:tcW w:w="2600"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2053 [1383–3225]</w:t>
            </w:r>
          </w:p>
        </w:tc>
        <w:tc>
          <w:tcPr>
            <w:tcW w:w="2601"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273 [93–514]</w:t>
            </w:r>
          </w:p>
        </w:tc>
        <w:tc>
          <w:tcPr>
            <w:tcW w:w="1199" w:type="dxa"/>
            <w:tcBorders>
              <w:top w:val="single" w:sz="4" w:space="0" w:color="000000"/>
              <w:left w:val="single" w:sz="4" w:space="0" w:color="000000"/>
              <w:bottom w:val="single" w:sz="4" w:space="0" w:color="000000"/>
              <w:right w:val="single" w:sz="4" w:space="0" w:color="000000"/>
            </w:tcBorders>
          </w:tcPr>
          <w:p>
            <w:pPr>
              <w:pStyle w:val="Normal"/>
              <w:bidi w:val="0"/>
              <w:spacing w:before="0" w:after="20"/>
              <w:jc w:val="left"/>
              <w:rPr>
                <w:rFonts w:ascii="Palatino Linotype" w:hAnsi="Palatino Linotype"/>
              </w:rPr>
            </w:pPr>
            <w:r>
              <w:rPr>
                <w:rFonts w:ascii="Palatino Linotype" w:hAnsi="Palatino Linotype"/>
              </w:rPr>
              <w:t>&lt;0.001</w:t>
            </w:r>
          </w:p>
        </w:tc>
      </w:tr>
    </w:tbl>
    <w:p>
      <w:pPr>
        <w:pStyle w:val="Normal"/>
        <w:bidi w:val="0"/>
        <w:spacing w:lineRule="auto" w:line="360" w:before="120" w:after="0"/>
        <w:jc w:val="both"/>
        <w:rPr>
          <w:rFonts w:ascii="Palatino Linotype" w:hAnsi="Palatino Linotype"/>
          <w:sz w:val="20"/>
          <w:szCs w:val="20"/>
        </w:rPr>
      </w:pPr>
      <w:r>
        <w:rPr>
          <w:rFonts w:ascii="Palatino Linotype" w:hAnsi="Palatino Linotype"/>
          <w:sz w:val="20"/>
          <w:szCs w:val="20"/>
        </w:rPr>
        <w:t>Values are median [IQR] for continuous variables and n (%) for categorical variables. P-values from the Mann–Whitney U test (continuous) or Fisher's exact test (categorical). LAS, Lung Allocation Score; CAR, CRP-to-albumin ratio; FVC, forced vital capacity; BMI, body mass index.</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Palatino Linotype">
    <w:charset w:val="00"/>
    <w:family w:val="roman"/>
    <w:pitch w:val="variable"/>
  </w:font>
</w:fonts>
</file>

<file path=word/settings.xml><?xml version="1.0" encoding="utf-8"?>
<w:settings xmlns:w="http://schemas.openxmlformats.org/wordprocessingml/2006/main">
  <w:zoom w:percent="85"/>
  <w:defaultTabStop w:val="709"/>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LibreOffice/24.2.4.2$Windows_X86_64 LibreOffice_project/51a6219feb6075d9a4c46691dcfe0cd9c4fff3c2</Application>
  <AppVersion>15.0000</AppVersion>
  <Pages>2</Pages>
  <Words>207</Words>
  <Characters>1085</Characters>
  <CharactersWithSpaces>1233</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2026-08-26T14:49:20Z</dcterms:created>
  <dc:creator/>
  <dc:description/>
  <dc:language>en-US</dc:language>
  <cp:lastModifiedBy/>
  <dcterms:modified xsi:type="dcterms:W3CDTF">2026-08-26T14:49:46Z</dcterms:modified>
  <cp:revision>1</cp:revision>
  <dc:subject/>
  <dc:title/>
</cp:coreProperties>
</file>