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firstLine="5783" w:firstLineChars="2400"/>
        <w:rPr>
          <w:rFonts w:hint="default" w:ascii="Times New Roman" w:hAnsi="Times New Roman" w:cs="Times New Roman"/>
          <w:b/>
          <w:bCs/>
          <w:sz w:val="24"/>
          <w:szCs w:val="24"/>
        </w:rPr>
      </w:pPr>
      <w:r>
        <w:rPr>
          <w:rFonts w:hint="default" w:ascii="Times New Roman" w:hAnsi="Times New Roman" w:cs="Times New Roman"/>
          <w:b/>
          <w:bCs/>
          <w:sz w:val="24"/>
          <w:szCs w:val="24"/>
        </w:rPr>
        <w:t>Supplementary Materials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S1. Complete search strategies.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S2. Full-text excluded studies and reasons for exclusion.</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S3. Intervention characteristics and outcome assessment windows across included studies.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S4. Summary of risk-of-bias considerations informing GRADE certainty assessment.</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S5. Trial sequential analysis sensitivity analyses for endotracheal intubation.</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S1. Risk-of-bias summary for the endotracheal intubation outcome using the RoB 2 tool.</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S2. Study-level risk-of-bias judgments for the endotracheal intubation outcome using the RoB 2 tool.</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S3. Subgroup analysis of endotracheal intubation stratified by immunosuppression status.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S4. Subgroup analysis of endotracheal intubation stratified by COVID-19 status.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S5. Subgroup analysis of endotracheal intubation stratified by baseline PaO₂/FiO₂ ratio.</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S6. Subgroup analysis of all-cause mortality stratified by immunosuppression status.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S7. Subgroup analysis of all-cause mortality stratified by COVID-19 status.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S8. Subgroup analysis of all-cause mortality stratified by baseline PaO₂/FiO₂ ratio.</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S9. Leave-one-out sensitivity analysis for endotracheal intubation.</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S10. Sensitivity meta-analysis of endotracheal intubation excluding studies with very short follow-up windows or limited clinical comparability.</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 S11. Restricted meta-analysis of clinically comparable cumulative endotracheal intubation outcomes.</w:t>
      </w:r>
    </w:p>
    <w:p>
      <w:pPr>
        <w:spacing w:line="480" w:lineRule="auto"/>
        <w:rPr>
          <w:rFonts w:hint="default" w:ascii="Times New Roman" w:hAnsi="Times New Roman" w:cs="Times New Roman"/>
          <w:sz w:val="24"/>
          <w:szCs w:val="24"/>
        </w:rPr>
      </w:pPr>
      <w:bookmarkStart w:id="0" w:name="OLE_LINK1"/>
      <w:r>
        <w:rPr>
          <w:rFonts w:hint="default" w:ascii="Times New Roman" w:hAnsi="Times New Roman" w:cs="Times New Roman"/>
          <w:sz w:val="24"/>
          <w:szCs w:val="24"/>
        </w:rPr>
        <w:t>Supplementary Figure S12.</w:t>
      </w:r>
      <w:bookmarkEnd w:id="0"/>
      <w:r>
        <w:rPr>
          <w:rFonts w:hint="default" w:ascii="Times New Roman" w:hAnsi="Times New Roman" w:cs="Times New Roman"/>
          <w:sz w:val="24"/>
          <w:szCs w:val="24"/>
        </w:rPr>
        <w:t xml:space="preserve"> Funnel plot for endotracheal intubation.</w:t>
      </w:r>
    </w:p>
    <w:p>
      <w:pPr>
        <w:spacing w:line="480" w:lineRule="auto"/>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Supplementary Figure S13. Trial sequential analysis for endotracheal intubation using an anticipated relative risk reduction of 10%.</w:t>
      </w:r>
    </w:p>
    <w:p>
      <w:pPr>
        <w:spacing w:line="480" w:lineRule="auto"/>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Supplementary Figure S14. Trial sequential analysis for endotracheal intubation using an anticipated relative risk reduction of 15%.</w:t>
      </w:r>
    </w:p>
    <w:p>
      <w:pPr>
        <w:spacing w:line="480" w:lineRule="auto"/>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Supplementary Figure S15. Trial sequential analysis for endotracheal intubation using 90% statistical power.</w:t>
      </w:r>
    </w:p>
    <w:p>
      <w:pPr>
        <w:spacing w:line="480" w:lineRule="auto"/>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Supplementary Figure S16. Restricted trial sequential analysis for clinically comparable cumulative endotracheal intubation outcomes.</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Supplementary Table S1. Complete search strategies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1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32" w:type="dxa"/>
            <w:tcBorders>
              <w:top w:val="single" w:color="auto" w:sz="8" w:space="0"/>
              <w:left w:val="nil"/>
              <w:bottom w:val="single" w:color="auto" w:sz="8" w:space="0"/>
              <w:right w:val="nil"/>
            </w:tcBorders>
          </w:tcPr>
          <w:p>
            <w:pPr>
              <w:rPr>
                <w:rFonts w:hint="default" w:ascii="Times New Roman" w:hAnsi="Times New Roman" w:eastAsia="宋体" w:cs="Times New Roman"/>
                <w:b/>
                <w:bCs/>
                <w:sz w:val="21"/>
                <w:szCs w:val="21"/>
                <w:vertAlign w:val="baseline"/>
              </w:rPr>
            </w:pPr>
            <w:r>
              <w:rPr>
                <w:rFonts w:hint="default" w:ascii="Times New Roman" w:hAnsi="Times New Roman" w:eastAsia="宋体" w:cs="Times New Roman"/>
                <w:b/>
                <w:bCs/>
                <w:sz w:val="21"/>
                <w:szCs w:val="21"/>
                <w:vertAlign w:val="baseline"/>
              </w:rPr>
              <w:t>Database</w:t>
            </w:r>
          </w:p>
        </w:tc>
        <w:tc>
          <w:tcPr>
            <w:tcW w:w="12242" w:type="dxa"/>
            <w:tcBorders>
              <w:top w:val="single" w:color="auto" w:sz="8" w:space="0"/>
              <w:left w:val="nil"/>
              <w:bottom w:val="single" w:color="auto" w:sz="8" w:space="0"/>
              <w:right w:val="nil"/>
            </w:tcBorders>
          </w:tcPr>
          <w:p>
            <w:pPr>
              <w:rPr>
                <w:rFonts w:hint="default" w:ascii="Times New Roman" w:hAnsi="Times New Roman" w:eastAsia="宋体" w:cs="Times New Roman"/>
                <w:b/>
                <w:bCs/>
                <w:sz w:val="21"/>
                <w:szCs w:val="21"/>
                <w:vertAlign w:val="baseline"/>
              </w:rPr>
            </w:pPr>
            <w:r>
              <w:rPr>
                <w:rFonts w:hint="default" w:ascii="Times New Roman" w:hAnsi="Times New Roman" w:eastAsia="宋体" w:cs="Times New Roman"/>
                <w:b/>
                <w:bCs/>
                <w:sz w:val="21"/>
                <w:szCs w:val="21"/>
                <w:vertAlign w:val="baseline"/>
              </w:rPr>
              <w:t>Search strategy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Borders>
              <w:top w:val="single" w:color="auto" w:sz="8" w:space="0"/>
              <w:left w:val="nil"/>
              <w:bottom w:val="nil"/>
              <w:right w:val="nil"/>
            </w:tcBorders>
          </w:tcPr>
          <w:p>
            <w:pP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rPr>
              <w:t>PubMed</w:t>
            </w:r>
            <w:r>
              <w:rPr>
                <w:rFonts w:hint="default" w:ascii="Times New Roman" w:hAnsi="Times New Roman" w:eastAsia="宋体" w:cs="Times New Roman"/>
                <w:sz w:val="21"/>
                <w:szCs w:val="21"/>
                <w:vertAlign w:val="baseline"/>
              </w:rPr>
              <w:t xml:space="preserve">  </w:t>
            </w:r>
          </w:p>
        </w:tc>
        <w:tc>
          <w:tcPr>
            <w:tcW w:w="12242" w:type="dxa"/>
            <w:tcBorders>
              <w:top w:val="single" w:color="auto" w:sz="8" w:space="0"/>
              <w:left w:val="nil"/>
              <w:bottom w:val="nil"/>
              <w:right w:val="nil"/>
            </w:tcBorders>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("Respiratory Insufficiency"[MeSH Terms] OR "Respiratory Insufficiency"[Title/Abstract] OR "acute hypoxemic respiratory failure"[Title/Abstract] OR "acute respiratory failure"[Title/Abstract] OR "respiratory failure*"[Title/Abstract]) AND ("high flow oxygen"[Title/Abstract] OR "high flow nasal oxygen"[Title/Abstract] OR "standard oxygen"[Title/Abstract] OR "conventional oxygen"[Title/Abstract] OR "oxygen*"[Title/Abstract] OR "Oxygen"[MeSH Terms]) AND ("randomized controlled trials"[All Fields] OR "RCT"[All Fields] OR "clinical trials"[All Fields] OR "trial"[All Fields])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Borders>
              <w:top w:val="nil"/>
              <w:left w:val="nil"/>
              <w:bottom w:val="nil"/>
              <w:right w:val="nil"/>
            </w:tcBorders>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Embase </w:t>
            </w:r>
          </w:p>
          <w:p>
            <w:pPr>
              <w:rPr>
                <w:rFonts w:hint="default" w:ascii="Times New Roman" w:hAnsi="Times New Roman" w:eastAsia="宋体" w:cs="Times New Roman"/>
                <w:sz w:val="21"/>
                <w:szCs w:val="21"/>
                <w:vertAlign w:val="baseline"/>
              </w:rPr>
            </w:pPr>
          </w:p>
        </w:tc>
        <w:tc>
          <w:tcPr>
            <w:tcW w:w="12242" w:type="dxa"/>
            <w:tcBorders>
              <w:top w:val="nil"/>
              <w:left w:val="nil"/>
              <w:bottom w:val="nil"/>
              <w:right w:val="nil"/>
            </w:tcBorders>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'respiratory failure'/exp</w:t>
            </w:r>
            <w:r>
              <w:rPr>
                <w:rFonts w:hint="default" w:ascii="Times New Roman" w:hAnsi="Times New Roman" w:eastAsia="宋体" w:cs="Times New Roman"/>
                <w:sz w:val="21"/>
                <w:szCs w:val="21"/>
                <w:lang w:val="en-US" w:eastAsia="zh-CN"/>
              </w:rPr>
              <w:t xml:space="preserve"> OR 'respiratory insufficiency':ti,ab,kw OR 'acute hypoxemic respiratory failure':ti,ab,kw OR 'acute respiratory failure':ti,ab,kw OR 'respiratory failure':ti,ab,kw</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 xml:space="preserve"> AND ('oxygen'/exp OR oxygen:ti,ab,kw </w:t>
            </w:r>
            <w:r>
              <w:rPr>
                <w:rFonts w:hint="eastAsia" w:ascii="Times New Roman" w:hAnsi="Times New Roman" w:eastAsia="宋体" w:cs="Times New Roman"/>
                <w:sz w:val="21"/>
                <w:szCs w:val="21"/>
                <w:lang w:val="en-US" w:eastAsia="zh-CN"/>
              </w:rPr>
              <w:t xml:space="preserve">OR </w:t>
            </w:r>
            <w:r>
              <w:rPr>
                <w:rFonts w:hint="default" w:ascii="Times New Roman" w:hAnsi="Times New Roman" w:eastAsia="宋体" w:cs="Times New Roman"/>
                <w:sz w:val="21"/>
                <w:szCs w:val="21"/>
                <w:lang w:val="en-US" w:eastAsia="zh-CN"/>
              </w:rPr>
              <w:t>'conventional oxygen':ti,ab,kw OR 'standard oxygen':ti,ab,kw OR 'high flow nasal oxygen':ti,ab,kw OR 'high flow oxygen':ti,ab,kw) AND ('randomized controlled trial'/exp OR 'randomized controlled trial':ti,ab,kw OR 'clinical trial':ti,ab,kw OR trial:ti,ab,kw OR rct:ti,ab,kw)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Borders>
              <w:top w:val="nil"/>
              <w:left w:val="nil"/>
              <w:bottom w:val="nil"/>
              <w:right w:val="nil"/>
            </w:tcBorders>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Cochrane library</w:t>
            </w:r>
          </w:p>
          <w:p>
            <w:pPr>
              <w:rPr>
                <w:rFonts w:hint="default" w:ascii="Times New Roman" w:hAnsi="Times New Roman" w:eastAsia="宋体" w:cs="Times New Roman"/>
                <w:sz w:val="21"/>
                <w:szCs w:val="21"/>
                <w:vertAlign w:val="baseline"/>
              </w:rPr>
            </w:pPr>
          </w:p>
        </w:tc>
        <w:tc>
          <w:tcPr>
            <w:tcW w:w="12242" w:type="dxa"/>
            <w:tcBorders>
              <w:top w:val="nil"/>
              <w:left w:val="nil"/>
              <w:bottom w:val="nil"/>
              <w:right w:val="nil"/>
            </w:tcBorders>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((respiratory failure):ti,ab,kw OR (respiratory insufficiency):ti,ab,kw OR(acute respiratory failure):ti,ab,kw OR (acute hypoxemic respiratory failure):ti,ab,kw) AND ((oxygen):ti,ab,kw OR (conventional oxygen):ti,ab,kw OR (standard oxygen):ti,ab,kw OR (high flow nasal oxygen):ti,ab,kw OR (high flow oxygen):ti,ab,kw) AND ((randomized controlled trials):ti,ab,kw OR (trials):ti,ab,kw)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Borders>
              <w:top w:val="nil"/>
              <w:left w:val="nil"/>
              <w:bottom w:val="single" w:color="auto" w:sz="8" w:space="0"/>
              <w:right w:val="nil"/>
            </w:tcBorders>
            <w:vAlign w:val="top"/>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Web of Science</w:t>
            </w:r>
          </w:p>
          <w:p>
            <w:pPr>
              <w:rPr>
                <w:rFonts w:hint="default" w:ascii="Times New Roman" w:hAnsi="Times New Roman" w:eastAsia="宋体" w:cs="Times New Roman"/>
                <w:sz w:val="21"/>
                <w:szCs w:val="21"/>
                <w:vertAlign w:val="baseline"/>
              </w:rPr>
            </w:pPr>
          </w:p>
        </w:tc>
        <w:tc>
          <w:tcPr>
            <w:tcW w:w="12242" w:type="dxa"/>
            <w:tcBorders>
              <w:top w:val="nil"/>
              <w:left w:val="nil"/>
              <w:bottom w:val="single" w:color="auto" w:sz="8" w:space="0"/>
              <w:right w:val="nil"/>
            </w:tcBorders>
            <w:vAlign w:val="top"/>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(TS=(respiratory failure) OR TS=(acute respiratory failure) OR TS=(acute hypoxemic respiratory failure)) AND (TS=(oxygen) OR TS=( conventional oxygen) OR TS=(standard oxygen) OR TS=( high flow nasal oxygen) OR TS=( high flow oxygen)</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en-US" w:eastAsia="zh-CN"/>
              </w:rPr>
              <w:t>AND (TS=(randomized controlled trials) OR TS=(trials))</w:t>
            </w:r>
          </w:p>
        </w:tc>
      </w:tr>
    </w:tbl>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Abbreviations: MeSH terms: Medical Subject Headings; exp: explosion in Emtree searching of selected subject terms and related subjects; ti, ab, kw: title, abstract, keyword fields.</w:t>
      </w:r>
      <w:r>
        <w:rPr>
          <w:rFonts w:hint="default" w:ascii="Times New Roman" w:hAnsi="Times New Roman" w:eastAsia="宋体" w:cs="Times New Roman"/>
          <w:sz w:val="21"/>
          <w:szCs w:val="21"/>
          <w:lang w:val="en-US" w:eastAsia="zh-CN"/>
        </w:rPr>
        <w:t xml:space="preserve"> TS: </w:t>
      </w:r>
      <w:r>
        <w:rPr>
          <w:rFonts w:hint="default" w:ascii="Times New Roman" w:hAnsi="Times New Roman" w:eastAsia="宋体" w:cs="Times New Roman"/>
          <w:sz w:val="21"/>
          <w:szCs w:val="21"/>
        </w:rPr>
        <w:t>Topic</w:t>
      </w:r>
    </w:p>
    <w:p>
      <w:pPr>
        <w:rPr>
          <w:rFonts w:ascii="Calibri" w:hAnsi="Calibri" w:eastAsia="宋体" w:cs="Times New Roman"/>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S2. Full-text reports excluded after eligibility assessment and reasons for exclusion</w:t>
      </w:r>
    </w:p>
    <w:tbl>
      <w:tblPr>
        <w:tblStyle w:val="4"/>
        <w:tblW w:w="0" w:type="auto"/>
        <w:tblInd w:w="0"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5"/>
        <w:gridCol w:w="2667"/>
        <w:gridCol w:w="2680"/>
        <w:gridCol w:w="8272"/>
      </w:tblGrid>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555" w:type="dxa"/>
            <w:tcBorders>
              <w:bottom w:val="single" w:color="auto" w:sz="12" w:space="0"/>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No.</w:t>
            </w:r>
          </w:p>
        </w:tc>
        <w:tc>
          <w:tcPr>
            <w:tcW w:w="2667" w:type="dxa"/>
            <w:tcBorders>
              <w:bottom w:val="single" w:color="auto" w:sz="12" w:space="0"/>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Study or record</w:t>
            </w:r>
          </w:p>
        </w:tc>
        <w:tc>
          <w:tcPr>
            <w:tcW w:w="2680" w:type="dxa"/>
            <w:tcBorders>
              <w:bottom w:val="single" w:color="auto" w:sz="12" w:space="0"/>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Category</w:t>
            </w:r>
          </w:p>
        </w:tc>
        <w:tc>
          <w:tcPr>
            <w:tcW w:w="8272" w:type="dxa"/>
            <w:tcBorders>
              <w:bottom w:val="single" w:color="auto" w:sz="12" w:space="0"/>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Specific reason for exclusion</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tcBorders>
              <w:top w:val="single" w:color="auto" w:sz="12" w:space="0"/>
            </w:tcBorders>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2667"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COVID-HIGH trial registry, 2020</w:t>
            </w:r>
          </w:p>
        </w:tc>
        <w:tc>
          <w:tcPr>
            <w:tcW w:w="2680"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Trial registry or protocol</w:t>
            </w:r>
          </w:p>
        </w:tc>
        <w:tc>
          <w:tcPr>
            <w:tcW w:w="8272"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Registry record only; the completed primary COVID-HIGH trial report was included separately.</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HiFlo-COVID trial registry, 2020</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Trial registry or protocol</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Registry record only; the completed HiFlo-COVID primary trial report was included separately.</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Azoulay HIGH protocol, 2018</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Trial registry or protocol</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Protocol only; the final HIGH trial report was included separately.</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4</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SOHO protocol, 2024</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Trial registry or protocol</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Protocol only; the final SOHO trial report was included separately.</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5</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Carpenter and Steel, 2022</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Secondary report, evidence summary, or commentary</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Evidence summary of an included trial; not an original randomized clinical trial report.</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6</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Crimi et al., 2026</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Secondary report, reanalysis, or commentary</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Bayesian reanalysis of the COVID-HIGH trial; not the primary randomized clinical trial report.</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7</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Frat et al., 2016</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Secondary report, reanalysis, or commentary</w:t>
            </w:r>
          </w:p>
        </w:tc>
        <w:tc>
          <w:tcPr>
            <w:tcW w:w="8272" w:type="dxa"/>
            <w:vAlign w:val="top"/>
          </w:tcPr>
          <w:p>
            <w:pPr>
              <w:rPr>
                <w:rFonts w:hint="eastAsia"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Post hoc subgroup analysis of a previous randomized trial; not an independent eligible randomized clinical trial report</w:t>
            </w:r>
            <w:r>
              <w:rPr>
                <w:rFonts w:hint="eastAsia" w:ascii="Times New Roman" w:hAnsi="Times New Roman" w:cs="Times New Roman"/>
                <w:sz w:val="21"/>
                <w:szCs w:val="21"/>
                <w:vertAlign w:val="baseline"/>
                <w:lang w:val="en-US" w:eastAsia="zh-CN"/>
              </w:rPr>
              <w:t>.</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8</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Mang et al., 2026</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Secondary report, evidence summary, or commentary</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Commentary on the SOHO trial; no original randomized clinical trial data.</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9</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Neto, 2026</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Secondary report, evidence summary, or commentary</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Editorial/commentary; no original randomized clinical trial data.</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10</w:t>
            </w:r>
          </w:p>
        </w:tc>
        <w:tc>
          <w:tcPr>
            <w:tcW w:w="2667"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Prada et al., 2023</w:t>
            </w:r>
          </w:p>
        </w:tc>
        <w:tc>
          <w:tcPr>
            <w:tcW w:w="2680"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Secondary report, reanalysis, or commentary</w:t>
            </w:r>
          </w:p>
        </w:tc>
        <w:tc>
          <w:tcPr>
            <w:tcW w:w="8272" w:type="dxa"/>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Economic analysis based on an included trial; not the primary clinical-outcome randomized clinical trial report.</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tcBorders>
              <w:bottom w:val="nil"/>
            </w:tcBorders>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11</w:t>
            </w:r>
          </w:p>
        </w:tc>
        <w:tc>
          <w:tcPr>
            <w:tcW w:w="2667" w:type="dxa"/>
            <w:tcBorders>
              <w:bottom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Frat et al., 2019</w:t>
            </w:r>
          </w:p>
        </w:tc>
        <w:tc>
          <w:tcPr>
            <w:tcW w:w="2680" w:type="dxa"/>
            <w:tcBorders>
              <w:bottom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Ineligible intervention or comparison</w:t>
            </w:r>
          </w:p>
        </w:tc>
        <w:tc>
          <w:tcPr>
            <w:tcW w:w="8272" w:type="dxa"/>
            <w:tcBorders>
              <w:bottom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color w:val="FF0000"/>
                <w:sz w:val="21"/>
                <w:szCs w:val="21"/>
                <w:vertAlign w:val="baseline"/>
              </w:rPr>
              <w:t>Evaluated preoxygenation before intubation and compared noninvasive ventilation with HFNC; not HFNC versus SOT as the initial</w:t>
            </w:r>
            <w:bookmarkStart w:id="8" w:name="_GoBack"/>
            <w:bookmarkEnd w:id="8"/>
            <w:r>
              <w:rPr>
                <w:rFonts w:hint="default" w:ascii="Times New Roman" w:hAnsi="Times New Roman" w:cs="Times New Roman"/>
                <w:color w:val="FF0000"/>
                <w:sz w:val="21"/>
                <w:szCs w:val="21"/>
                <w:vertAlign w:val="baseline"/>
              </w:rPr>
              <w:t xml:space="preserve"> respiratory-support strategy for AHRF.</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555" w:type="dxa"/>
            <w:tcBorders>
              <w:top w:val="nil"/>
              <w:bottom w:val="nil"/>
            </w:tcBorders>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12</w:t>
            </w:r>
          </w:p>
        </w:tc>
        <w:tc>
          <w:tcPr>
            <w:tcW w:w="2667" w:type="dxa"/>
            <w:tcBorders>
              <w:top w:val="nil"/>
              <w:bottom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Frat et al., 2015</w:t>
            </w:r>
          </w:p>
        </w:tc>
        <w:tc>
          <w:tcPr>
            <w:tcW w:w="2680" w:type="dxa"/>
            <w:tcBorders>
              <w:top w:val="nil"/>
              <w:bottom w:val="nil"/>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Ineligible intervention or comparison</w:t>
            </w:r>
          </w:p>
        </w:tc>
        <w:tc>
          <w:tcPr>
            <w:tcW w:w="8272" w:type="dxa"/>
            <w:tcBorders>
              <w:top w:val="nil"/>
              <w:bottom w:val="nil"/>
            </w:tcBorders>
            <w:vAlign w:val="top"/>
          </w:tcPr>
          <w:p>
            <w:pPr>
              <w:rPr>
                <w:rFonts w:hint="eastAsia" w:ascii="Times New Roman" w:hAnsi="Times New Roman" w:cs="Times New Roman" w:eastAsiaTheme="minorEastAsia"/>
                <w:sz w:val="21"/>
                <w:szCs w:val="21"/>
                <w:vertAlign w:val="baseline"/>
                <w:lang w:val="en-US" w:eastAsia="zh-CN"/>
              </w:rPr>
            </w:pPr>
            <w:r>
              <w:rPr>
                <w:rFonts w:hint="default" w:ascii="Times New Roman" w:hAnsi="Times New Roman" w:cs="Times New Roman"/>
                <w:color w:val="FF0000"/>
                <w:sz w:val="21"/>
                <w:szCs w:val="21"/>
                <w:vertAlign w:val="baseline"/>
              </w:rPr>
              <w:t>Three-arm randomized trial comparing HFNC, SOT, and noninvasive ventilation; excluded because eligibility was restricted to two-arm, parallel-group RCTs directly comparing HFNC with SOT</w:t>
            </w:r>
            <w:r>
              <w:rPr>
                <w:rFonts w:hint="eastAsia" w:ascii="Times New Roman" w:hAnsi="Times New Roman" w:cs="Times New Roman"/>
                <w:color w:val="FF0000"/>
                <w:sz w:val="21"/>
                <w:szCs w:val="21"/>
                <w:vertAlign w:val="baseline"/>
                <w:lang w:val="en-US" w:eastAsia="zh-CN"/>
              </w:rPr>
              <w:t>.</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tcBorders>
              <w:top w:val="nil"/>
              <w:bottom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13</w:t>
            </w:r>
          </w:p>
        </w:tc>
        <w:tc>
          <w:tcPr>
            <w:tcW w:w="2667" w:type="dxa"/>
            <w:tcBorders>
              <w:top w:val="nil"/>
              <w:bottom w:val="nil"/>
            </w:tcBorders>
            <w:vAlign w:val="top"/>
          </w:tcPr>
          <w:p>
            <w:pPr>
              <w:rPr>
                <w:rFonts w:hint="default" w:ascii="Times New Roman" w:hAnsi="Times New Roman" w:cs="Times New Roman"/>
                <w:color w:val="FF0000"/>
                <w:sz w:val="21"/>
                <w:szCs w:val="21"/>
                <w:vertAlign w:val="baseline"/>
              </w:rPr>
            </w:pPr>
            <w:r>
              <w:rPr>
                <w:rFonts w:hint="default" w:ascii="Times New Roman" w:hAnsi="Times New Roman" w:cs="Times New Roman"/>
                <w:color w:val="FF0000"/>
                <w:sz w:val="21"/>
                <w:szCs w:val="21"/>
                <w:vertAlign w:val="baseline"/>
              </w:rPr>
              <w:t xml:space="preserve">Perkins et al., 2022 </w:t>
            </w:r>
          </w:p>
        </w:tc>
        <w:tc>
          <w:tcPr>
            <w:tcW w:w="2680" w:type="dxa"/>
            <w:tcBorders>
              <w:top w:val="nil"/>
              <w:bottom w:val="nil"/>
            </w:tcBorders>
            <w:vAlign w:val="top"/>
          </w:tcPr>
          <w:p>
            <w:pPr>
              <w:rPr>
                <w:rFonts w:hint="default" w:ascii="Times New Roman" w:hAnsi="Times New Roman" w:cs="Times New Roman"/>
                <w:color w:val="FF0000"/>
                <w:sz w:val="21"/>
                <w:szCs w:val="21"/>
                <w:vertAlign w:val="baseline"/>
              </w:rPr>
            </w:pPr>
            <w:r>
              <w:rPr>
                <w:rFonts w:hint="default" w:ascii="Times New Roman" w:hAnsi="Times New Roman" w:cs="Times New Roman"/>
                <w:color w:val="FF0000"/>
                <w:sz w:val="21"/>
                <w:szCs w:val="21"/>
                <w:vertAlign w:val="baseline"/>
              </w:rPr>
              <w:t>Ineligible intervention or comparison</w:t>
            </w:r>
          </w:p>
        </w:tc>
        <w:tc>
          <w:tcPr>
            <w:tcW w:w="8272" w:type="dxa"/>
            <w:tcBorders>
              <w:top w:val="nil"/>
              <w:bottom w:val="nil"/>
            </w:tcBorders>
            <w:vAlign w:val="top"/>
          </w:tcPr>
          <w:p>
            <w:pPr>
              <w:rPr>
                <w:rFonts w:hint="default" w:ascii="Times New Roman" w:hAnsi="Times New Roman" w:cs="Times New Roman"/>
                <w:color w:val="FF0000"/>
                <w:sz w:val="21"/>
                <w:szCs w:val="21"/>
                <w:vertAlign w:val="baseline"/>
              </w:rPr>
            </w:pPr>
            <w:r>
              <w:rPr>
                <w:rFonts w:hint="default" w:ascii="Times New Roman" w:hAnsi="Times New Roman" w:cs="Times New Roman"/>
                <w:color w:val="FF0000"/>
                <w:sz w:val="21"/>
                <w:szCs w:val="21"/>
                <w:vertAlign w:val="baseline"/>
              </w:rPr>
              <w:t>Three-arm randomized trial comparing continuous positive airway pressure, HFNC, and conventional oxygen therapy; excluded because eligibility was restricted to two-arm, parallel-group RCTs directly comparing HFNC with SOT.</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5" w:type="dxa"/>
            <w:tcBorders>
              <w:top w:val="nil"/>
              <w:bottom w:val="single" w:color="auto" w:sz="12" w:space="0"/>
            </w:tcBorders>
            <w:vAlign w:val="top"/>
          </w:tcPr>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w:t>
            </w:r>
            <w:r>
              <w:rPr>
                <w:rFonts w:hint="eastAsia" w:ascii="Times New Roman" w:hAnsi="Times New Roman" w:cs="Times New Roman"/>
                <w:sz w:val="21"/>
                <w:szCs w:val="21"/>
                <w:vertAlign w:val="baseline"/>
                <w:lang w:val="en-US" w:eastAsia="zh-CN"/>
              </w:rPr>
              <w:t>4</w:t>
            </w:r>
          </w:p>
        </w:tc>
        <w:tc>
          <w:tcPr>
            <w:tcW w:w="2667" w:type="dxa"/>
            <w:tcBorders>
              <w:top w:val="nil"/>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Mendil et al., 2019</w:t>
            </w:r>
          </w:p>
        </w:tc>
        <w:tc>
          <w:tcPr>
            <w:tcW w:w="2680" w:type="dxa"/>
            <w:tcBorders>
              <w:top w:val="nil"/>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Duplicate or preliminary report</w:t>
            </w:r>
          </w:p>
        </w:tc>
        <w:tc>
          <w:tcPr>
            <w:tcW w:w="8272" w:type="dxa"/>
            <w:tcBorders>
              <w:top w:val="nil"/>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Conference abstract/preliminary report; the full Mendil 2021 trial report was included separately.</w:t>
            </w:r>
          </w:p>
        </w:tc>
      </w:tr>
    </w:tbl>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Abbreviations: AHRF, acute hypoxemic respiratory failure; HFNC, high-flow nasal cannula; RCT, randomized controlled trial; SOT, standard oxygen therapy.</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Note: When multiple records referred to the same trial, the most complete primary trial report was retained for data extraction. Protocols, trial registries, editorials, commentaries, secondary analyses, economic analyses, and preliminary abstracts were excluded from the quantitative synthesis. Frat et al. 2022 was retained only for the predefined COVID-19 subgroup analysis because it was a COVID-19-specific report from the SOHO trial, whereas Frat et al. 2026 was used for the overall analysis to avoid double counting of participants.</w:t>
      </w: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Supplementary Table S3. Intervention characteristics and outcome assessment windows across included studies.</w:t>
      </w:r>
    </w:p>
    <w:tbl>
      <w:tblPr>
        <w:tblStyle w:val="4"/>
        <w:tblW w:w="147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10"/>
        <w:gridCol w:w="4730"/>
        <w:gridCol w:w="4570"/>
        <w:gridCol w:w="1460"/>
        <w:gridCol w:w="19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op w:val="single" w:color="auto" w:sz="12" w:space="0"/>
              <w:bottom w:val="single" w:color="auto" w:sz="12" w:space="0"/>
            </w:tcBorders>
            <w:vAlign w:val="top"/>
          </w:tcPr>
          <w:p>
            <w:pPr>
              <w:jc w:val="left"/>
              <w:rPr>
                <w:rFonts w:hint="default" w:ascii="Times New Roman" w:hAnsi="Times New Roman" w:cs="Times New Roman"/>
                <w:sz w:val="21"/>
                <w:szCs w:val="21"/>
                <w:vertAlign w:val="baseline"/>
              </w:rPr>
            </w:pPr>
            <w:bookmarkStart w:id="1" w:name="OLE_LINK4" w:colFirst="0" w:colLast="4"/>
            <w:bookmarkStart w:id="2" w:name="OLE_LINK10"/>
            <w:r>
              <w:rPr>
                <w:rFonts w:hint="default" w:ascii="Times New Roman" w:hAnsi="Times New Roman" w:cs="Times New Roman"/>
                <w:sz w:val="21"/>
                <w:szCs w:val="21"/>
                <w:vertAlign w:val="baseline"/>
              </w:rPr>
              <w:t>Study</w:t>
            </w:r>
          </w:p>
        </w:tc>
        <w:tc>
          <w:tcPr>
            <w:tcW w:w="4730" w:type="dxa"/>
            <w:tcBorders>
              <w:top w:val="single" w:color="auto" w:sz="12" w:space="0"/>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Experimental intervention</w:t>
            </w:r>
          </w:p>
        </w:tc>
        <w:tc>
          <w:tcPr>
            <w:tcW w:w="4570" w:type="dxa"/>
            <w:tcBorders>
              <w:top w:val="single" w:color="auto" w:sz="12" w:space="0"/>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Control intervention</w:t>
            </w:r>
          </w:p>
        </w:tc>
        <w:tc>
          <w:tcPr>
            <w:tcW w:w="1460" w:type="dxa"/>
            <w:tcBorders>
              <w:top w:val="single" w:color="auto" w:sz="12" w:space="0"/>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Mortality assessment</w:t>
            </w:r>
          </w:p>
        </w:tc>
        <w:tc>
          <w:tcPr>
            <w:tcW w:w="1960" w:type="dxa"/>
            <w:tcBorders>
              <w:top w:val="single" w:color="auto" w:sz="12" w:space="0"/>
              <w:bottom w:val="single" w:color="auto" w:sz="12" w:space="0"/>
            </w:tcBorders>
            <w:vAlign w:val="top"/>
          </w:tcPr>
          <w:p>
            <w:pPr>
              <w:jc w:val="left"/>
              <w:rPr>
                <w:rFonts w:hint="default" w:ascii="Times New Roman" w:hAnsi="Times New Roman" w:cs="Times New Roman"/>
                <w:sz w:val="21"/>
                <w:szCs w:val="21"/>
                <w:vertAlign w:val="baseline"/>
              </w:rPr>
            </w:pPr>
            <w:bookmarkStart w:id="3" w:name="OLE_LINK12"/>
            <w:r>
              <w:rPr>
                <w:rFonts w:hint="default" w:ascii="Times New Roman" w:hAnsi="Times New Roman" w:eastAsia="宋体" w:cs="Times New Roman"/>
                <w:b w:val="0"/>
                <w:bCs/>
                <w:kern w:val="0"/>
                <w:sz w:val="21"/>
                <w:szCs w:val="21"/>
                <w:lang w:val="en-US" w:eastAsia="zh-CN" w:bidi="ar"/>
              </w:rPr>
              <w:t>Intubation assessment</w:t>
            </w:r>
            <w:bookmarkEnd w:id="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Azoulay 2018</w:t>
            </w:r>
          </w:p>
        </w:tc>
        <w:tc>
          <w:tcPr>
            <w:tcW w:w="473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Continuous HFNC therapy, initiated at a flow rate of ≥50 L/min with an FiO₂ of 100%</w:t>
            </w:r>
          </w:p>
        </w:tc>
        <w:tc>
          <w:tcPr>
            <w:tcW w:w="457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a thin nasal cannula, face mask with or without a reservoir bag, or Venturi mask</w:t>
            </w:r>
          </w:p>
        </w:tc>
        <w:tc>
          <w:tcPr>
            <w:tcW w:w="146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Day 28</w:t>
            </w:r>
          </w:p>
        </w:tc>
        <w:tc>
          <w:tcPr>
            <w:tcW w:w="196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By d</w:t>
            </w:r>
            <w:r>
              <w:rPr>
                <w:rFonts w:hint="default" w:ascii="Times New Roman" w:hAnsi="Times New Roman" w:cs="Times New Roman"/>
                <w:sz w:val="21"/>
                <w:szCs w:val="21"/>
                <w:vertAlign w:val="baseline"/>
              </w:rPr>
              <w:t>ay 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Bell 2015 </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Humidified HFNC therapy, initiated at a flow rate of 50 L/min with an FiO₂ of 30%</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nasal prongs or a face mask</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rPr>
              <w:t>NR</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bookmarkStart w:id="4" w:name="OLE_LINK13"/>
            <w:r>
              <w:rPr>
                <w:rFonts w:hint="eastAsia" w:ascii="Times New Roman" w:hAnsi="Times New Roman" w:eastAsia="宋体" w:cs="Times New Roman"/>
                <w:sz w:val="21"/>
                <w:szCs w:val="21"/>
                <w:lang w:val="en-US" w:eastAsia="zh-CN"/>
              </w:rPr>
              <w:t>W</w:t>
            </w:r>
            <w:r>
              <w:rPr>
                <w:rFonts w:hint="default" w:ascii="Times New Roman" w:hAnsi="Times New Roman" w:eastAsia="宋体" w:cs="Times New Roman"/>
                <w:sz w:val="21"/>
                <w:szCs w:val="21"/>
              </w:rPr>
              <w:t>ithin 2 h</w:t>
            </w:r>
            <w:bookmarkEnd w:id="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eastAsia"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Crimi 2022</w:t>
            </w:r>
            <w:r>
              <w:rPr>
                <w:rFonts w:hint="eastAsia" w:ascii="Times New Roman" w:hAnsi="Times New Roman" w:cs="Times New Roman"/>
                <w:sz w:val="21"/>
                <w:szCs w:val="21"/>
                <w:vertAlign w:val="superscript"/>
                <w:lang w:val="en-US" w:eastAsia="zh-CN"/>
              </w:rPr>
              <w:t>a</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Continuous HFNC therapy, initiated at 40 L/min and increased as required up to 60 L/min; FiO₂ titrated to maintain an SpO₂ of 92%–96%</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preferably delivered through a Venturi mask; alternative oxygen-delivery devices were permitted</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Day 28</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Initial escalation to IMV by day 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Jones 2016</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Humidified HFNC therapy, initiated at 40 L/min with an FiO₂ of 0.28</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conventional oxygen-delivery devices</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Day 90</w:t>
            </w:r>
          </w:p>
        </w:tc>
        <w:tc>
          <w:tcPr>
            <w:tcW w:w="1960" w:type="dxa"/>
            <w:tcBorders>
              <w:tl2br w:val="nil"/>
              <w:tr2bl w:val="nil"/>
            </w:tcBorders>
            <w:vAlign w:val="top"/>
          </w:tcPr>
          <w:p>
            <w:pPr>
              <w:pStyle w:val="2"/>
              <w:keepNext w:val="0"/>
              <w:keepLines w:val="0"/>
              <w:widowControl/>
              <w:suppressLineNumbers w:val="0"/>
              <w:rPr>
                <w:rFonts w:hint="eastAsia" w:ascii="Times New Roman" w:hAnsi="Times New Roman" w:eastAsia="宋体" w:cs="Times New Roman"/>
                <w:sz w:val="21"/>
                <w:szCs w:val="21"/>
                <w:vertAlign w:val="baseline"/>
                <w:lang w:val="en-US" w:eastAsia="zh-CN"/>
              </w:rPr>
            </w:pPr>
            <w:bookmarkStart w:id="5" w:name="OLE_LINK11"/>
            <w:r>
              <w:rPr>
                <w:rFonts w:hint="default" w:ascii="Times New Roman" w:hAnsi="Times New Roman" w:eastAsia="宋体" w:cs="Times New Roman"/>
                <w:sz w:val="21"/>
                <w:szCs w:val="21"/>
              </w:rPr>
              <w:t>Hospital follow-up; exact time point</w:t>
            </w:r>
            <w:r>
              <w:rPr>
                <w:rFonts w:hint="default" w:ascii="Times New Roman" w:hAnsi="Times New Roman" w:eastAsia="宋体" w:cs="Times New Roman"/>
                <w:sz w:val="21"/>
                <w:szCs w:val="21"/>
                <w:lang w:val="en-US" w:eastAsia="zh-CN"/>
              </w:rPr>
              <w:t xml:space="preserve"> </w:t>
            </w:r>
            <w:r>
              <w:rPr>
                <w:rStyle w:val="6"/>
                <w:rFonts w:hint="default" w:ascii="Times New Roman" w:hAnsi="Times New Roman" w:cs="Times New Roman"/>
                <w:b w:val="0"/>
                <w:bCs/>
                <w:sz w:val="21"/>
                <w:szCs w:val="21"/>
                <w:lang w:val="en-US" w:eastAsia="zh-CN"/>
              </w:rPr>
              <w:t>NR</w:t>
            </w:r>
            <w:bookmarkEnd w:id="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Lemiale 2015</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HFNC therapy, initiated at 40–50 L/min with an FiO₂ of 100% during the 2-h intervention period</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a Venturi mask</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NR</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W</w:t>
            </w:r>
            <w:r>
              <w:rPr>
                <w:rFonts w:hint="default" w:ascii="Times New Roman" w:hAnsi="Times New Roman" w:cs="Times New Roman"/>
                <w:sz w:val="21"/>
                <w:szCs w:val="21"/>
                <w:vertAlign w:val="baseline"/>
              </w:rPr>
              <w:t>ithin 2 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sz w:val="21"/>
                <w:szCs w:val="21"/>
                <w:vertAlign w:val="baseline"/>
              </w:rPr>
              <w:t>Frat 2022</w:t>
            </w:r>
            <w:r>
              <w:rPr>
                <w:rFonts w:hint="eastAsia" w:ascii="Times New Roman" w:hAnsi="Times New Roman" w:cs="Times New Roman"/>
                <w:sz w:val="21"/>
                <w:szCs w:val="21"/>
                <w:vertAlign w:val="superscript"/>
                <w:lang w:val="en-US" w:eastAsia="zh-CN"/>
              </w:rPr>
              <w:t>b</w:t>
            </w:r>
            <w:r>
              <w:rPr>
                <w:rFonts w:hint="default" w:ascii="Times New Roman" w:hAnsi="Times New Roman" w:cs="Times New Roman"/>
                <w:sz w:val="21"/>
                <w:szCs w:val="21"/>
                <w:vertAlign w:val="baseline"/>
              </w:rPr>
              <w:t xml:space="preserve"> </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Continuous HFNC therapy delivered through large-bore binasal prongs at a flow rate of ≥50 L/min</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a non-rebreathing face mask, initially set at ≥10 L/min</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Day 28</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bookmarkStart w:id="6" w:name="OLE_LINK14"/>
            <w:r>
              <w:rPr>
                <w:rFonts w:hint="default" w:ascii="Times New Roman" w:hAnsi="Times New Roman" w:cs="Times New Roman"/>
                <w:sz w:val="21"/>
                <w:szCs w:val="21"/>
                <w:vertAlign w:val="baseline"/>
                <w:lang w:val="en-US" w:eastAsia="zh-CN"/>
              </w:rPr>
              <w:t>By d</w:t>
            </w:r>
            <w:r>
              <w:rPr>
                <w:rFonts w:hint="default" w:ascii="Times New Roman" w:hAnsi="Times New Roman" w:cs="Times New Roman"/>
                <w:sz w:val="21"/>
                <w:szCs w:val="21"/>
                <w:vertAlign w:val="baseline"/>
              </w:rPr>
              <w:t>ay 28</w:t>
            </w:r>
            <w:bookmarkEnd w:id="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eastAsia"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 xml:space="preserve">Frat </w:t>
            </w:r>
            <w:r>
              <w:rPr>
                <w:rFonts w:hint="default" w:ascii="Times New Roman" w:hAnsi="Times New Roman" w:cs="Times New Roman"/>
                <w:sz w:val="21"/>
                <w:szCs w:val="21"/>
                <w:vertAlign w:val="baseline"/>
                <w:lang w:val="en-US" w:eastAsia="zh-CN"/>
              </w:rPr>
              <w:t>2</w:t>
            </w:r>
            <w:r>
              <w:rPr>
                <w:rFonts w:hint="default" w:ascii="Times New Roman" w:hAnsi="Times New Roman" w:cs="Times New Roman"/>
                <w:sz w:val="21"/>
                <w:szCs w:val="21"/>
                <w:vertAlign w:val="baseline"/>
              </w:rPr>
              <w:t>026</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Continuous</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HFNC therapy delivered through large-bore binasal prongs at a flow rate of ≥50 L/min</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continuously delivered through a non-rebreathing face mask at a flow rate of ≥10 L/min</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Day 28</w:t>
            </w:r>
          </w:p>
        </w:tc>
        <w:tc>
          <w:tcPr>
            <w:tcW w:w="1960" w:type="dxa"/>
            <w:tcBorders>
              <w:tl2br w:val="nil"/>
              <w:tr2bl w:val="nil"/>
            </w:tcBorders>
            <w:vAlign w:val="top"/>
          </w:tcPr>
          <w:p>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By d</w:t>
            </w:r>
            <w:r>
              <w:rPr>
                <w:rFonts w:hint="default" w:ascii="Times New Roman" w:hAnsi="Times New Roman" w:cs="Times New Roman"/>
                <w:sz w:val="21"/>
                <w:szCs w:val="21"/>
                <w:vertAlign w:val="baseline"/>
              </w:rPr>
              <w:t>ay 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Mendil 2021 </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HFNC therapy, initiated at 30 L/min with an FiO₂ of 100% and titrated according to patient tolerance and oxygenation</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nasal prongs or a face mask without a reservoir </w:t>
            </w:r>
            <w:r>
              <w:rPr>
                <w:rFonts w:hint="default" w:ascii="Times New Roman" w:hAnsi="Times New Roman" w:eastAsia="宋体" w:cs="Times New Roman"/>
                <w:kern w:val="0"/>
                <w:sz w:val="21"/>
                <w:szCs w:val="21"/>
                <w:lang w:val="en-US" w:eastAsia="zh-CN" w:bidi="ar"/>
              </w:rPr>
              <w:t>bag</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Day 28</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lang w:val="en-US" w:eastAsia="zh-CN"/>
              </w:rPr>
              <w:t>W</w:t>
            </w:r>
            <w:r>
              <w:rPr>
                <w:rFonts w:hint="default" w:ascii="Times New Roman" w:hAnsi="Times New Roman" w:eastAsia="宋体" w:cs="Times New Roman"/>
                <w:sz w:val="21"/>
                <w:szCs w:val="21"/>
              </w:rPr>
              <w:t>ithin 7 days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Andino 2020 </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HFNC therapy, with the FiO₂ adjusted to maintain an SpO₂ of ≥93%</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a Venturi mask</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Until hospital discharge</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Until hospital discharge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Ospina-Tascón 2021</w:t>
            </w:r>
          </w:p>
        </w:tc>
        <w:tc>
          <w:tcPr>
            <w:tcW w:w="473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Continuous HFNC therapy delivered through large-bore binasal prongs, initiated at 60 L/min with an FiO₂ of 1.0</w:t>
            </w:r>
          </w:p>
        </w:tc>
        <w:tc>
          <w:tcPr>
            <w:tcW w:w="457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nasal prongs, a face mask with or without a reservoir bag, or a Venturi mask</w:t>
            </w:r>
          </w:p>
        </w:tc>
        <w:tc>
          <w:tcPr>
            <w:tcW w:w="14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Day 28</w:t>
            </w:r>
          </w:p>
        </w:tc>
        <w:tc>
          <w:tcPr>
            <w:tcW w:w="196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By d</w:t>
            </w:r>
            <w:r>
              <w:rPr>
                <w:rFonts w:hint="default" w:ascii="Times New Roman" w:hAnsi="Times New Roman" w:cs="Times New Roman"/>
                <w:sz w:val="21"/>
                <w:szCs w:val="21"/>
                <w:vertAlign w:val="baseline"/>
              </w:rPr>
              <w:t>ay 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10" w:type="dxa"/>
            <w:tcBorders>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Ardestani</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 xml:space="preserve">2024 </w:t>
            </w:r>
          </w:p>
        </w:tc>
        <w:tc>
          <w:tcPr>
            <w:tcW w:w="4730" w:type="dxa"/>
            <w:tcBorders>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HFNC therapy, initiated at 35 L/min and adjustable within a range of 30–60 L/min</w:t>
            </w:r>
          </w:p>
        </w:tc>
        <w:tc>
          <w:tcPr>
            <w:tcW w:w="4570" w:type="dxa"/>
            <w:tcBorders>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w:t>
            </w:r>
            <w:r>
              <w:rPr>
                <w:rFonts w:hint="default" w:ascii="Times New Roman" w:hAnsi="Times New Roman" w:cs="Times New Roman"/>
                <w:sz w:val="21"/>
                <w:szCs w:val="21"/>
                <w:vertAlign w:val="baseline"/>
                <w:lang w:val="en-US" w:eastAsia="zh-CN"/>
              </w:rPr>
              <w:t>OT</w:t>
            </w:r>
            <w:r>
              <w:rPr>
                <w:rFonts w:hint="default" w:ascii="Times New Roman" w:hAnsi="Times New Roman" w:cs="Times New Roman"/>
                <w:sz w:val="21"/>
                <w:szCs w:val="21"/>
                <w:vertAlign w:val="baseline"/>
              </w:rPr>
              <w:t xml:space="preserve"> delivered through a nasal cannula or non-rebreathing mask at a maximum flow rate of 10–15 L/min</w:t>
            </w:r>
          </w:p>
        </w:tc>
        <w:tc>
          <w:tcPr>
            <w:tcW w:w="1460" w:type="dxa"/>
            <w:tcBorders>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NR</w:t>
            </w:r>
          </w:p>
        </w:tc>
        <w:tc>
          <w:tcPr>
            <w:tcW w:w="1960" w:type="dxa"/>
            <w:tcBorders>
              <w:bottom w:val="single" w:color="auto" w:sz="12" w:space="0"/>
            </w:tcBorders>
            <w:vAlign w:val="top"/>
          </w:tcPr>
          <w:p>
            <w:pPr>
              <w:jc w:val="left"/>
              <w:rPr>
                <w:rFonts w:hint="eastAsia" w:ascii="Times New Roman" w:hAnsi="Times New Roman" w:cs="Times New Roman" w:eastAsiaTheme="minorEastAsia"/>
                <w:sz w:val="21"/>
                <w:szCs w:val="21"/>
                <w:vertAlign w:val="baseline"/>
                <w:lang w:eastAsia="zh-CN"/>
              </w:rPr>
            </w:pPr>
            <w:r>
              <w:rPr>
                <w:rFonts w:hint="default" w:ascii="Times New Roman" w:hAnsi="Times New Roman" w:eastAsia="宋体" w:cs="Times New Roman"/>
                <w:sz w:val="21"/>
                <w:szCs w:val="21"/>
              </w:rPr>
              <w:t>Assessed after 60-min treatment</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exact window unclear</w:t>
            </w:r>
          </w:p>
        </w:tc>
      </w:tr>
      <w:bookmarkEnd w:id="1"/>
      <w:bookmarkEnd w:id="2"/>
    </w:tbl>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Abbreviations: FiO₂, fraction of inspired oxygen; HFNC, high-flow nasal cannula; IMV, invasive mechanical ventilation; NR, not reported; SOT, standard oxygen therapy; SpO₂, peripheral oxygen saturation. ᵃ In Crimi 2022, IMV refers to invasive mechanical ventilation selected as the initial strategy for escalation of respiratory support, rather than the cumulative incidence of intubation during follow-up. ᵇ Frat 2022 (SOHO-COVID) was an ancillary study of the SOHO trial reported in Frat 2026. Because the two reports include overlapping participants, they should not be included simultaneously in the same pooled analysis.</w:t>
      </w: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Supplementary Table S4. Summary of risk-of-bias considerations informing GRADE certainty assessment</w:t>
      </w:r>
    </w:p>
    <w:tbl>
      <w:tblPr>
        <w:tblStyle w:val="4"/>
        <w:tblW w:w="0" w:type="auto"/>
        <w:tblInd w:w="0"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4"/>
        <w:gridCol w:w="6818"/>
        <w:gridCol w:w="2910"/>
        <w:gridCol w:w="2212"/>
      </w:tblGrid>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4" w:type="dxa"/>
            <w:tcBorders>
              <w:bottom w:val="single" w:color="auto" w:sz="12" w:space="0"/>
            </w:tcBorders>
            <w:vAlign w:val="top"/>
          </w:tcPr>
          <w:p>
            <w:pPr>
              <w:rPr>
                <w:rFonts w:hint="default" w:ascii="Times New Roman" w:hAnsi="Times New Roman" w:cs="Times New Roman"/>
                <w:b w:val="0"/>
                <w:bCs/>
                <w:sz w:val="21"/>
                <w:szCs w:val="21"/>
                <w:vertAlign w:val="baseline"/>
              </w:rPr>
            </w:pPr>
            <w:r>
              <w:rPr>
                <w:rFonts w:hint="default" w:ascii="Times New Roman" w:hAnsi="Times New Roman" w:eastAsia="宋体" w:cs="Times New Roman"/>
                <w:b w:val="0"/>
                <w:bCs/>
                <w:kern w:val="0"/>
                <w:sz w:val="21"/>
                <w:szCs w:val="21"/>
                <w:lang w:val="en-US" w:eastAsia="zh-CN" w:bidi="ar"/>
              </w:rPr>
              <w:t>Outcome</w:t>
            </w:r>
          </w:p>
        </w:tc>
        <w:tc>
          <w:tcPr>
            <w:tcW w:w="6818" w:type="dxa"/>
            <w:tcBorders>
              <w:bottom w:val="single" w:color="auto" w:sz="12" w:space="0"/>
            </w:tcBorders>
            <w:vAlign w:val="top"/>
          </w:tcPr>
          <w:p>
            <w:pPr>
              <w:rPr>
                <w:rFonts w:hint="default" w:ascii="Times New Roman" w:hAnsi="Times New Roman" w:cs="Times New Roman"/>
                <w:b w:val="0"/>
                <w:bCs/>
                <w:sz w:val="21"/>
                <w:szCs w:val="21"/>
                <w:vertAlign w:val="baseline"/>
              </w:rPr>
            </w:pPr>
            <w:r>
              <w:rPr>
                <w:rFonts w:hint="default" w:ascii="Times New Roman" w:hAnsi="Times New Roman" w:eastAsia="宋体" w:cs="Times New Roman"/>
                <w:b w:val="0"/>
                <w:bCs/>
                <w:kern w:val="0"/>
                <w:sz w:val="21"/>
                <w:szCs w:val="21"/>
                <w:lang w:val="en-US" w:eastAsia="zh-CN" w:bidi="ar"/>
              </w:rPr>
              <w:t>Main risk-of-bias considerations</w:t>
            </w:r>
          </w:p>
        </w:tc>
        <w:tc>
          <w:tcPr>
            <w:tcW w:w="2910"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Interpretation for certainty assessment</w:t>
            </w:r>
          </w:p>
        </w:tc>
        <w:tc>
          <w:tcPr>
            <w:tcW w:w="2212"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GRADE decision</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4"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Endotracheal intubation</w:t>
            </w:r>
          </w:p>
        </w:tc>
        <w:tc>
          <w:tcPr>
            <w:tcW w:w="6818"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Most trials were open-label, and intubation or escalation of respiratory support could be influenced by clinician judgment, local escalation thresholds, and differences in outcome definitions or assessment windows across trials. One study was judged at high risk of bias, and several studies raised some concerns.</w:t>
            </w:r>
          </w:p>
        </w:tc>
        <w:tc>
          <w:tcPr>
            <w:tcW w:w="291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Risk of bias was considered serious for endotracheal intubation.</w:t>
            </w:r>
          </w:p>
        </w:tc>
        <w:tc>
          <w:tcPr>
            <w:tcW w:w="2212"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Downgraded by one level for risk of bias.</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4"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All-cause mortality</w:t>
            </w:r>
          </w:p>
        </w:tc>
        <w:tc>
          <w:tcPr>
            <w:tcW w:w="6818"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Mortality is an objective outcome and is less likely to be affected by lack of blinding or clinician-dependent decision-making. Most concerns were related to trial design, reporting, or follow-up rather than outcome measurement.</w:t>
            </w:r>
          </w:p>
        </w:tc>
        <w:tc>
          <w:tcPr>
            <w:tcW w:w="2910" w:type="dxa"/>
            <w:tcBorders>
              <w:bottom w:val="single" w:color="auto" w:sz="12" w:space="0"/>
            </w:tcBorders>
            <w:vAlign w:val="top"/>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Risk of bias was not considered serious for all-cause mortality.</w:t>
            </w:r>
          </w:p>
        </w:tc>
        <w:tc>
          <w:tcPr>
            <w:tcW w:w="2212"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Not downgraded for risk of bias.</w:t>
            </w:r>
          </w:p>
        </w:tc>
      </w:tr>
    </w:tbl>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Abbreviations: GRADE, Grading of Recommendations Assessment, Development and Evaluation; RoB 2, revised Cochrane risk-of-bias tool for randomized trials.</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Note: Domain-level RoB 2 judgments for endotracheal intubation are shown in Supplementary Figures S1 and S2. This table summarizes how risk-of-bias considerations were incorporated into the GRADE certainty assessment. Frat et al. 2022 was a COVID-19-specific report from the SOHO trial, whereas Frat et al. 2026 reported the overall SOHO trial population; therefore, Frat et al. 2022 was used only for the COVID-19 subgroup analysis and was not counted as an independent trial in the overall meta-analysis when Frat et al. 2026 was included.</w:t>
      </w: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Supplementary Table S5. Trial sequential analysis sensitivity analyses for endotracheal intubation.</w:t>
      </w:r>
    </w:p>
    <w:tbl>
      <w:tblPr>
        <w:tblStyle w:val="4"/>
        <w:tblW w:w="0" w:type="auto"/>
        <w:tblInd w:w="0"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120"/>
        <w:gridCol w:w="1700"/>
        <w:gridCol w:w="770"/>
        <w:gridCol w:w="1299"/>
        <w:gridCol w:w="860"/>
        <w:gridCol w:w="2650"/>
        <w:gridCol w:w="4010"/>
      </w:tblGrid>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131"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rPr>
              <w:t>Analysis</w:t>
            </w:r>
          </w:p>
        </w:tc>
        <w:tc>
          <w:tcPr>
            <w:tcW w:w="2120"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Dataset</w:t>
            </w:r>
          </w:p>
        </w:tc>
        <w:tc>
          <w:tcPr>
            <w:tcW w:w="1700"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 xml:space="preserve">Anticipated RRR </w:t>
            </w:r>
          </w:p>
        </w:tc>
        <w:tc>
          <w:tcPr>
            <w:tcW w:w="770"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Power</w:t>
            </w:r>
          </w:p>
        </w:tc>
        <w:tc>
          <w:tcPr>
            <w:tcW w:w="1299"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Cumulative sample size</w:t>
            </w:r>
          </w:p>
        </w:tc>
        <w:tc>
          <w:tcPr>
            <w:tcW w:w="860"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DARIS</w:t>
            </w:r>
          </w:p>
        </w:tc>
        <w:tc>
          <w:tcPr>
            <w:tcW w:w="2650"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Conventional meta-analysis</w:t>
            </w:r>
          </w:p>
        </w:tc>
        <w:tc>
          <w:tcPr>
            <w:tcW w:w="4010" w:type="dxa"/>
            <w:tcBorders>
              <w:bottom w:val="single" w:color="auto" w:sz="12" w:space="0"/>
              <w:tl2br w:val="nil"/>
              <w:tr2bl w:val="nil"/>
            </w:tcBorders>
            <w:vAlign w:val="top"/>
          </w:tcPr>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kern w:val="0"/>
                <w:sz w:val="21"/>
                <w:szCs w:val="21"/>
                <w:lang w:val="en-US" w:eastAsia="zh-CN" w:bidi="ar"/>
              </w:rPr>
              <w:t>TSA interpretation</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1"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Main TSA</w:t>
            </w:r>
          </w:p>
        </w:tc>
        <w:tc>
          <w:tcPr>
            <w:tcW w:w="2120"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 xml:space="preserve">All independent RCTs </w:t>
            </w:r>
          </w:p>
        </w:tc>
        <w:tc>
          <w:tcPr>
            <w:tcW w:w="1700"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12.26%</w:t>
            </w:r>
          </w:p>
        </w:tc>
        <w:tc>
          <w:tcPr>
            <w:tcW w:w="770"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80%</w:t>
            </w:r>
          </w:p>
        </w:tc>
        <w:tc>
          <w:tcPr>
            <w:tcW w:w="1299"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3162</w:t>
            </w:r>
          </w:p>
        </w:tc>
        <w:tc>
          <w:tcPr>
            <w:tcW w:w="860" w:type="dxa"/>
            <w:tcBorders>
              <w:top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8601</w:t>
            </w:r>
          </w:p>
        </w:tc>
        <w:tc>
          <w:tcPr>
            <w:tcW w:w="265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Favored HFNC</w:t>
            </w:r>
          </w:p>
        </w:tc>
        <w:tc>
          <w:tcPr>
            <w:tcW w:w="4010" w:type="dxa"/>
            <w:tcBorders>
              <w:top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Conventional boundary crossed; TSA boundary not crossed</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1" w:type="dxa"/>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TSA-S1</w:t>
            </w:r>
          </w:p>
        </w:tc>
        <w:tc>
          <w:tcPr>
            <w:tcW w:w="2120" w:type="dxa"/>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All independent RCTs</w:t>
            </w:r>
          </w:p>
        </w:tc>
        <w:tc>
          <w:tcPr>
            <w:tcW w:w="1700" w:type="dxa"/>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10%</w:t>
            </w:r>
          </w:p>
        </w:tc>
        <w:tc>
          <w:tcPr>
            <w:tcW w:w="770" w:type="dxa"/>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80%</w:t>
            </w:r>
          </w:p>
        </w:tc>
        <w:tc>
          <w:tcPr>
            <w:tcW w:w="1299" w:type="dxa"/>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3162</w:t>
            </w:r>
          </w:p>
        </w:tc>
        <w:tc>
          <w:tcPr>
            <w:tcW w:w="860" w:type="dxa"/>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12933</w:t>
            </w:r>
          </w:p>
        </w:tc>
        <w:tc>
          <w:tcPr>
            <w:tcW w:w="2650" w:type="dxa"/>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Same as main TSA</w:t>
            </w:r>
          </w:p>
        </w:tc>
        <w:tc>
          <w:tcPr>
            <w:tcW w:w="4010" w:type="dxa"/>
            <w:vAlign w:val="top"/>
          </w:tcPr>
          <w:p>
            <w:pPr>
              <w:jc w:val="left"/>
              <w:rPr>
                <w:rFonts w:hint="default" w:ascii="Times New Roman" w:hAnsi="Times New Roman" w:cs="Times New Roman"/>
                <w:sz w:val="21"/>
                <w:szCs w:val="21"/>
                <w:vertAlign w:val="baseline"/>
              </w:rPr>
            </w:pPr>
            <w:bookmarkStart w:id="7" w:name="OLE_LINK16"/>
            <w:r>
              <w:rPr>
                <w:rFonts w:hint="default" w:ascii="Times New Roman" w:hAnsi="Times New Roman" w:eastAsia="宋体" w:cs="Times New Roman"/>
                <w:kern w:val="0"/>
                <w:sz w:val="21"/>
                <w:szCs w:val="21"/>
                <w:lang w:val="en-US" w:eastAsia="zh-CN" w:bidi="ar"/>
              </w:rPr>
              <w:t>Consistent with main TSA</w:t>
            </w:r>
            <w:bookmarkEnd w:id="7"/>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1"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TSA-S2</w:t>
            </w:r>
          </w:p>
        </w:tc>
        <w:tc>
          <w:tcPr>
            <w:tcW w:w="212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All independent RCTs</w:t>
            </w:r>
          </w:p>
        </w:tc>
        <w:tc>
          <w:tcPr>
            <w:tcW w:w="170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15%</w:t>
            </w:r>
          </w:p>
        </w:tc>
        <w:tc>
          <w:tcPr>
            <w:tcW w:w="77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80%</w:t>
            </w:r>
          </w:p>
        </w:tc>
        <w:tc>
          <w:tcPr>
            <w:tcW w:w="1299"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3162</w:t>
            </w:r>
          </w:p>
        </w:tc>
        <w:tc>
          <w:tcPr>
            <w:tcW w:w="86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5722</w:t>
            </w:r>
          </w:p>
        </w:tc>
        <w:tc>
          <w:tcPr>
            <w:tcW w:w="265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Same as main TSA</w:t>
            </w:r>
          </w:p>
        </w:tc>
        <w:tc>
          <w:tcPr>
            <w:tcW w:w="4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Consistent with main TSA</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1"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TSA-S3</w:t>
            </w:r>
          </w:p>
        </w:tc>
        <w:tc>
          <w:tcPr>
            <w:tcW w:w="212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All independent RCTs</w:t>
            </w:r>
          </w:p>
        </w:tc>
        <w:tc>
          <w:tcPr>
            <w:tcW w:w="170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12.26%</w:t>
            </w:r>
          </w:p>
        </w:tc>
        <w:tc>
          <w:tcPr>
            <w:tcW w:w="77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90%</w:t>
            </w:r>
          </w:p>
        </w:tc>
        <w:tc>
          <w:tcPr>
            <w:tcW w:w="1299"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3162</w:t>
            </w:r>
          </w:p>
        </w:tc>
        <w:tc>
          <w:tcPr>
            <w:tcW w:w="860" w:type="dxa"/>
            <w:tcBorders>
              <w:tl2br w:val="nil"/>
              <w:tr2bl w:val="nil"/>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11515</w:t>
            </w:r>
          </w:p>
        </w:tc>
        <w:tc>
          <w:tcPr>
            <w:tcW w:w="265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Same as main TSA</w:t>
            </w:r>
          </w:p>
        </w:tc>
        <w:tc>
          <w:tcPr>
            <w:tcW w:w="4010" w:type="dxa"/>
            <w:tcBorders>
              <w:tl2br w:val="nil"/>
              <w:tr2bl w:val="nil"/>
            </w:tcBorders>
            <w:vAlign w:val="top"/>
          </w:tcPr>
          <w:p>
            <w:pPr>
              <w:jc w:val="left"/>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Consistent with main TSA under 90% power</w:t>
            </w:r>
          </w:p>
        </w:tc>
      </w:tr>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1"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TSA-S4</w:t>
            </w:r>
          </w:p>
        </w:tc>
        <w:tc>
          <w:tcPr>
            <w:tcW w:w="2120"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 xml:space="preserve">Restricted cumulative intubation trials </w:t>
            </w:r>
          </w:p>
        </w:tc>
        <w:tc>
          <w:tcPr>
            <w:tcW w:w="1700"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12.26%</w:t>
            </w:r>
          </w:p>
        </w:tc>
        <w:tc>
          <w:tcPr>
            <w:tcW w:w="770"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80%</w:t>
            </w:r>
          </w:p>
        </w:tc>
        <w:tc>
          <w:tcPr>
            <w:tcW w:w="1299"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2231</w:t>
            </w:r>
          </w:p>
        </w:tc>
        <w:tc>
          <w:tcPr>
            <w:tcW w:w="860" w:type="dxa"/>
            <w:tcBorders>
              <w:bottom w:val="single" w:color="auto" w:sz="12" w:space="0"/>
            </w:tcBorders>
            <w:vAlign w:val="top"/>
          </w:tcPr>
          <w:p>
            <w:pPr>
              <w:rPr>
                <w:rFonts w:hint="default" w:ascii="Times New Roman" w:hAnsi="Times New Roman" w:cs="Times New Roman"/>
                <w:sz w:val="21"/>
                <w:szCs w:val="21"/>
                <w:vertAlign w:val="baseline"/>
              </w:rPr>
            </w:pPr>
            <w:r>
              <w:rPr>
                <w:rFonts w:hint="default" w:ascii="Times New Roman" w:hAnsi="Times New Roman" w:eastAsia="宋体" w:cs="Times New Roman"/>
                <w:kern w:val="0"/>
                <w:sz w:val="21"/>
                <w:szCs w:val="21"/>
                <w:lang w:val="en-US" w:eastAsia="zh-CN" w:bidi="ar"/>
              </w:rPr>
              <w:t>7200</w:t>
            </w:r>
          </w:p>
        </w:tc>
        <w:tc>
          <w:tcPr>
            <w:tcW w:w="2650" w:type="dxa"/>
            <w:tcBorders>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Favored HFNC; RR = 0.86, 95% CI 0.78–0.95</w:t>
            </w:r>
          </w:p>
        </w:tc>
        <w:tc>
          <w:tcPr>
            <w:tcW w:w="4010" w:type="dxa"/>
            <w:tcBorders>
              <w:bottom w:val="single" w:color="auto" w:sz="12" w:space="0"/>
            </w:tcBorders>
            <w:vAlign w:val="top"/>
          </w:tcPr>
          <w:p>
            <w:pPr>
              <w:jc w:val="left"/>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More conservative TSA estimate: RR = 0.84, 95% CI 0.71–1.00; neither boundary crossed</w:t>
            </w:r>
          </w:p>
        </w:tc>
      </w:tr>
    </w:tbl>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Abbreviations: CI, confidence interval; DARIS, diversity-adjusted required information size; HFNC, high-flow nasal cannula; RCT, randomized controlled trial; RR, risk ratio; RRR, relative risk reduction; TSA, trial sequential analysis.</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rPr>
        <w:t>The main TSA used an anticipated RRR of 12.26%, a control event proportion of 48.4%, a two-sided α of 5%, and 80% power. TSA-S1 and TSA-S2 varied the anticipated RRR to 10% and 15%, respectively. TSA-S3 increased the statistical power to 90%. TSA-S4 was restricted to trials reporting clinically comparable cumulative intubation outcomes, including Azoulay 2018, Frat 2026, Mendil 2021, Andino 2020, and Ospina-Tascón 2021. “Conventional boundary” refers to the conventional statistical significance boundary, whereas “TSA boundary” refers to the trial sequential monitoring boundary. “Neither boundary crossed” indicates that the cumulative Z-curve crossed neither the conventional significance boundary nor the trial sequential monitoring boundary.</w:t>
      </w: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8860790" cy="2868295"/>
                  <wp:effectExtent l="0" t="0" r="3810" b="1905"/>
                  <wp:docPr id="1" name="图片 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标题-1"/>
                          <pic:cNvPicPr>
                            <a:picLocks noChangeAspect="1"/>
                          </pic:cNvPicPr>
                        </pic:nvPicPr>
                        <pic:blipFill>
                          <a:blip r:embed="rId4"/>
                          <a:stretch>
                            <a:fillRect/>
                          </a:stretch>
                        </pic:blipFill>
                        <pic:spPr>
                          <a:xfrm>
                            <a:off x="0" y="0"/>
                            <a:ext cx="8860790" cy="286829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 Risk-of-bias summary for the endotracheal intubation outcome using the RoB 2 tool.</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Risk of bias was assessed using the Cochrane Risk of Bias 2 tool for randomized trials, targeting the effect of assignment to intervention. Judgments are shown for each RoB 2 domain and for the overall risk of bias. Green indicates low risk of bias, yellow indicates some concerns, and red indicates high risk of bias. RoB 2, Risk of Bias 2.</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5930265" cy="4286885"/>
                  <wp:effectExtent l="0" t="0" r="635" b="5715"/>
                  <wp:docPr id="2" name="图片 2" descr="RO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OB2"/>
                          <pic:cNvPicPr>
                            <a:picLocks noChangeAspect="1"/>
                          </pic:cNvPicPr>
                        </pic:nvPicPr>
                        <pic:blipFill>
                          <a:blip r:embed="rId5"/>
                          <a:stretch>
                            <a:fillRect/>
                          </a:stretch>
                        </pic:blipFill>
                        <pic:spPr>
                          <a:xfrm>
                            <a:off x="0" y="0"/>
                            <a:ext cx="5930265" cy="428688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S2. Study-level risk-of-bias judgments for the endotracheal intubation outcome using the RoB 2 tool.</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Risk of bias was assessed using the Cochrane Risk of Bias 2 tool for randomized trials, targeting the effect of assignment to intervention. Each row represents an included study or study report, and columns show judgments for the five RoB 2 domains and the overall risk of bias. Green indicates low risk of bias, yellow indicates some concerns, and red indicates high risk of bias. RoB 2, Risk of Bias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535805" cy="4064635"/>
                  <wp:effectExtent l="0" t="0" r="10795" b="12065"/>
                  <wp:docPr id="3" name="图片 3" descr="Rplot4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plot4_00副本"/>
                          <pic:cNvPicPr>
                            <a:picLocks noChangeAspect="1"/>
                          </pic:cNvPicPr>
                        </pic:nvPicPr>
                        <pic:blipFill>
                          <a:blip r:embed="rId6"/>
                          <a:stretch>
                            <a:fillRect/>
                          </a:stretch>
                        </pic:blipFill>
                        <pic:spPr>
                          <a:xfrm>
                            <a:off x="0" y="0"/>
                            <a:ext cx="4535805" cy="406463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bottom w:val="nil"/>
              <w:tl2br w:val="nil"/>
              <w:tr2bl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S3. Subgroup analysis of endotracheal intubation stratified by immunosuppression status.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Squares indicate study-specific risk ratios, with square size proportional to study weight; horizontal lines indicate 95% confidence intervals. Diamonds represent pooled estimates from the random-effects model within each subgroup. A risk ratio below 1 indicates a lower risk of endotracheal intubation with HFNC than with SOT. The test for subgroup differences evaluates whether the treatment effect differs according to immunosuppression status. CI, confidence interval; HFNC, high-flow nasal cannula; RR, risk ratio; SOT, standard oxygen therapy.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4174" w:type="dxa"/>
            <w:tcBorders>
              <w:top w:val="nil"/>
              <w:left w:val="nil"/>
              <w:bottom w:val="nil"/>
              <w:right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497070" cy="4009390"/>
                  <wp:effectExtent l="0" t="0" r="11430" b="3810"/>
                  <wp:docPr id="4" name="图片 4" descr="Rplot5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Rplot5_00副本"/>
                          <pic:cNvPicPr>
                            <a:picLocks noChangeAspect="1"/>
                          </pic:cNvPicPr>
                        </pic:nvPicPr>
                        <pic:blipFill>
                          <a:blip r:embed="rId7"/>
                          <a:stretch>
                            <a:fillRect/>
                          </a:stretch>
                        </pic:blipFill>
                        <pic:spPr>
                          <a:xfrm>
                            <a:off x="0" y="0"/>
                            <a:ext cx="4497070" cy="40093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tcBorders>
              <w:top w:val="nil"/>
              <w:left w:val="nil"/>
              <w:bottom w:val="nil"/>
              <w:right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S4. Subgroup analysis of endotracheal intubation stratified by COVID-19 status.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Squares indicate study-specific risk ratios, with square size proportional to study weight; horizontal lines indicate 95% confidence intervals. Diamonds represent pooled estimates from the random-effects model within each subgroup. A risk ratio below 1 indicates a lower risk of endotracheal intubation with HFNC than with SOT. The test for subgroup differences evaluates whether the treatment effect differs according to COVID-19 status. CI, confidence interval; COVID-19, coronavirus disease 2019; HFNC, high-flow nasal cannula; RR, risk ratio; SOT, standard oxygen therapy.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tcBorders>
              <w:top w:val="nil"/>
              <w:left w:val="nil"/>
              <w:bottom w:val="nil"/>
              <w:right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447540" cy="4023360"/>
                  <wp:effectExtent l="0" t="0" r="10160" b="2540"/>
                  <wp:docPr id="5" name="图片 5" descr="Rplot6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Rplot6_00副本"/>
                          <pic:cNvPicPr>
                            <a:picLocks noChangeAspect="1"/>
                          </pic:cNvPicPr>
                        </pic:nvPicPr>
                        <pic:blipFill>
                          <a:blip r:embed="rId8"/>
                          <a:stretch>
                            <a:fillRect/>
                          </a:stretch>
                        </pic:blipFill>
                        <pic:spPr>
                          <a:xfrm>
                            <a:off x="0" y="0"/>
                            <a:ext cx="4447540" cy="402336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tcBorders>
              <w:top w:val="nil"/>
              <w:left w:val="nil"/>
              <w:bottom w:val="nil"/>
              <w:right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S5. Subgroup analysis of endotracheal intubation stratified by baseline PaO₂/FiO₂ ratio.</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Squares indicate study-specific risk ratios, with square size proportional to study weight; horizontal lines indicate 95% confidence intervals. Diamonds represent pooled estimates from the random-effects model within each subgroup. A risk ratio below 1 indicates a lower risk of endotracheal intubation with HFNC than with SOT. The test for subgroup differences evaluates whether the treatment effect differs according to baseline PaO₂/FiO₂ ratio. CI, confidence interval; HFNC, high-flow nasal cannula; PaO₂/FiO₂, ratio of arterial oxygen partial pressure to fraction of inspired oxygen; RR, risk ratio; SOT, standard oxygen therapy.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tcBorders>
              <w:top w:val="nil"/>
              <w:left w:val="nil"/>
              <w:bottom w:val="nil"/>
              <w:right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547235" cy="3811270"/>
                  <wp:effectExtent l="0" t="0" r="12065" b="11430"/>
                  <wp:docPr id="6" name="图片 6" descr="Rplot7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Rplot7_00副本"/>
                          <pic:cNvPicPr>
                            <a:picLocks noChangeAspect="1"/>
                          </pic:cNvPicPr>
                        </pic:nvPicPr>
                        <pic:blipFill>
                          <a:blip r:embed="rId9"/>
                          <a:stretch>
                            <a:fillRect/>
                          </a:stretch>
                        </pic:blipFill>
                        <pic:spPr>
                          <a:xfrm>
                            <a:off x="0" y="0"/>
                            <a:ext cx="4547235" cy="38112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tcBorders>
              <w:top w:val="nil"/>
              <w:left w:val="nil"/>
              <w:bottom w:val="nil"/>
              <w:right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S6. Subgroup analysis of all-cause mortality stratified by immunosuppression status.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Squares indicate study-specific risk ratios, with square size proportional to study weight; horizontal lines indicate 95% confidence intervals. Diamonds represent pooled estimates from the random-effects model within each subgroup. A risk ratio below 1 indicates a lower risk of death with HFNC than with SOT. The test for subgroup differences evaluates whether the treatment effect on all-cause mortality differs according to immunosuppression status. CI, confidence interval; HFNC, high-flow nasal cannula; RR, risk ratio; SOT, standard oxygen therapy.</w:t>
            </w:r>
          </w:p>
        </w:tc>
      </w:tr>
    </w:tbl>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664710" cy="3422015"/>
                  <wp:effectExtent l="0" t="0" r="8890" b="6985"/>
                  <wp:docPr id="7" name="图片 7" descr="Rplot8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Rplot8_00副本"/>
                          <pic:cNvPicPr>
                            <a:picLocks noChangeAspect="1"/>
                          </pic:cNvPicPr>
                        </pic:nvPicPr>
                        <pic:blipFill>
                          <a:blip r:embed="rId10"/>
                          <a:stretch>
                            <a:fillRect/>
                          </a:stretch>
                        </pic:blipFill>
                        <pic:spPr>
                          <a:xfrm>
                            <a:off x="0" y="0"/>
                            <a:ext cx="4664710" cy="342201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S7. Subgroup analysis of all-cause mortality stratified by COVID-19 status.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Squares indicate study-specific risk ratios, with square size proportional to study weight; horizontal lines indicate 95% confidence intervals. Diamonds represent pooled estimates from the random-effects model within each subgroup. A risk ratio below 1 indicates a lower risk of death with HFNC than with SOT. The test for subgroup differences evaluates whether the treatment effect on all-cause mortality differs according to COVID-19 status. CI, confidence interval; COVID-19, coronavirus disease 2019; HFNC, high-flow nasal cannula; RR, risk ratio; SOT, standard oxygen therapy.</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504690" cy="3366770"/>
                  <wp:effectExtent l="0" t="0" r="3810" b="11430"/>
                  <wp:docPr id="8" name="图片 8" descr="Rplot9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Rplot9_00副本"/>
                          <pic:cNvPicPr>
                            <a:picLocks noChangeAspect="1"/>
                          </pic:cNvPicPr>
                        </pic:nvPicPr>
                        <pic:blipFill>
                          <a:blip r:embed="rId11"/>
                          <a:stretch>
                            <a:fillRect/>
                          </a:stretch>
                        </pic:blipFill>
                        <pic:spPr>
                          <a:xfrm>
                            <a:off x="0" y="0"/>
                            <a:ext cx="4504690" cy="33667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S8. Subgroup analysis of all-cause mortality stratified by baseline PaO₂/FiO₂ ratio.</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Squares indicate study-specific risk ratios, with square size proportional to study weight; horizontal lines indicate 95% confidence intervals. Diamonds represent pooled estimates from the random-effects model within each subgroup. A risk ratio below 1 indicates a lower risk of death with HFNC than with SOT. The test for subgroup differences evaluates whether the treatment effect on all-cause mortality differs according to baseline PaO₂/FiO₂ ratio. CI, confidence interval; HFNC, high-flow nasal cannula; PaO₂/FiO₂, ratio of arterial oxygen partial pressure to fraction of inspired oxygen; RR, risk ratio; SOT, standard oxygen therapy.</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7620000" cy="3270250"/>
                  <wp:effectExtent l="0" t="0" r="0" b="6350"/>
                  <wp:docPr id="10" name="图片 10" descr="Rplot10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Rplot10_00副本"/>
                          <pic:cNvPicPr>
                            <a:picLocks noChangeAspect="1"/>
                          </pic:cNvPicPr>
                        </pic:nvPicPr>
                        <pic:blipFill>
                          <a:blip r:embed="rId12"/>
                          <a:stretch>
                            <a:fillRect/>
                          </a:stretch>
                        </pic:blipFill>
                        <pic:spPr>
                          <a:xfrm>
                            <a:off x="0" y="0"/>
                            <a:ext cx="7620000" cy="327025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S9. Leave-one-out sensitivity analysis for endotracheal intubation.</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Each row shows the pooled risk ratio and 95% confidence interval after omitting one study at a time. Estimates were calculated using a random-effects model. This analysis evaluates the influence of individual studies on the overall effect estimate. A risk ratio below 1 indicates a lower risk of endotracheal intubation with HFNC than with SOT. CI, confidence interval; HFNC, high-flow nasal cannula; RR, risk ratio; SOT, standard oxygen therapy.</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578350" cy="2936240"/>
                  <wp:effectExtent l="0" t="0" r="6350" b="10160"/>
                  <wp:docPr id="11" name="图片 11" descr="Rplot221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Rplot221_00副本"/>
                          <pic:cNvPicPr>
                            <a:picLocks noChangeAspect="1"/>
                          </pic:cNvPicPr>
                        </pic:nvPicPr>
                        <pic:blipFill>
                          <a:blip r:embed="rId13"/>
                          <a:stretch>
                            <a:fillRect/>
                          </a:stretch>
                        </pic:blipFill>
                        <pic:spPr>
                          <a:xfrm>
                            <a:off x="0" y="0"/>
                            <a:ext cx="4578350" cy="293624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S10. Sensitivity meta-analysis of endotracheal intubation excluding studies with very short follow-up windows or limited clinical comparability.</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This sensitivity analysis excluded studies in which the endotracheal intubation outcome was assessed over a very short follow-up window or had limited clinical comparability with cumulative intubation outcomes. Squares indicate study-specific risk ratios, with square size proportional to study weight; horizontal lines indicate 95% confidence intervals. The diamond represents the pooled estimate from the random-effects model. A risk ratio below 1 indicates a lower risk of endotracheal intubation with HFNC than with SOT. CI, confidence interval; HFNC, high-flow nasal cannula; RR, risk ratio; SOT, standard oxygen therapy.</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572000" cy="2494280"/>
                  <wp:effectExtent l="0" t="0" r="0" b="7620"/>
                  <wp:docPr id="12" name="图片 12" descr="Rplot222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Rplot222_00副本"/>
                          <pic:cNvPicPr>
                            <a:picLocks noChangeAspect="1"/>
                          </pic:cNvPicPr>
                        </pic:nvPicPr>
                        <pic:blipFill>
                          <a:blip r:embed="rId14"/>
                          <a:stretch>
                            <a:fillRect/>
                          </a:stretch>
                        </pic:blipFill>
                        <pic:spPr>
                          <a:xfrm>
                            <a:off x="0" y="0"/>
                            <a:ext cx="4572000" cy="249428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S11. Restricted meta-analysis of clinically comparable cumulative endotracheal intubation outcomes.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This restricted analysis included studies reporting clinically comparable cumulative endotracheal intubation outcomes. Squares indicate study-specific risk ratios, with square size proportional to study weight; horizontal lines indicate 95% confidence intervals. The diamond represents the pooled estimate from the random-effects model. A risk ratio below 1 indicates a lower risk of endotracheal intubation with HFNC than with SOT. CI, confidence interval; HFNC, high-flow nasal cannula; RR, risk ratio; SOT, standard oxygen therapy.</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4915535" cy="3935730"/>
                  <wp:effectExtent l="0" t="0" r="12065" b="1270"/>
                  <wp:docPr id="15" name="图片 15" descr="Rplot 13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Rplot 13_00副本"/>
                          <pic:cNvPicPr>
                            <a:picLocks noChangeAspect="1"/>
                          </pic:cNvPicPr>
                        </pic:nvPicPr>
                        <pic:blipFill>
                          <a:blip r:embed="rId15"/>
                          <a:stretch>
                            <a:fillRect/>
                          </a:stretch>
                        </pic:blipFill>
                        <pic:spPr>
                          <a:xfrm>
                            <a:off x="0" y="0"/>
                            <a:ext cx="4915535" cy="393573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S12. Funnel plot for endotracheal intubation.</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Each point represents an individual study included in the meta-analysis of endotracheal intubation. The horizontal axis represents the study-specific treatment effect, and the vertical axis represents its standard error. The vertical line indicates the pooled effect estimate. Visual inspection of the funnel plot was used to assess potential small-study effects or publication bias. HFNC, high-flow nasal cannula; SOT, standard oxygen therapy.</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6454140" cy="3374390"/>
                  <wp:effectExtent l="0" t="0" r="10160" b="3810"/>
                  <wp:docPr id="17" name="图片 17" descr="气管插管m1pdf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气管插管m1pdf_00副本"/>
                          <pic:cNvPicPr>
                            <a:picLocks noChangeAspect="1"/>
                          </pic:cNvPicPr>
                        </pic:nvPicPr>
                        <pic:blipFill>
                          <a:blip r:embed="rId16"/>
                          <a:stretch>
                            <a:fillRect/>
                          </a:stretch>
                        </pic:blipFill>
                        <pic:spPr>
                          <a:xfrm>
                            <a:off x="0" y="0"/>
                            <a:ext cx="6454140" cy="337439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174" w:type="dxa"/>
            <w:tcBorders>
              <w:tl2br w:val="nil"/>
              <w:tr2bl w:val="nil"/>
            </w:tcBorders>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S13. Trial sequential analysis for endotracheal intubation using an anticipated relative risk reduction of 10%.</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The cumulative Z-curve was constructed according to the chronological order of the included trials. Trial sequential monitoring boundaries were calculated using a two-sided α of 5%, 80% power, and an anticipated relative risk reduction of 10%. Under this conservative effect assumption, the diversity-adjusted required information size was 12,933 patients. The cumulative Z-curve crossed the conventional significance boundary but did not cross the trial sequential monitoring boundary, indicating that the evidence remains insufficient to confirm a conclusive reduction in endotracheal intubation. DARIS, diversity-adjusted required information size; HFNC, high-flow nasal cannula; RRR, relative risk reduction; SOT, standard oxygen therapy; TSA, trial sequential analysis.</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174" w:type="dxa"/>
            <w:tcBorders>
              <w:tl2br w:val="nil"/>
              <w:tr2bl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6526530" cy="3432810"/>
                  <wp:effectExtent l="0" t="0" r="1270" b="8890"/>
                  <wp:docPr id="18" name="图片 18" descr="气管插管m2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气管插管m2_00副本"/>
                          <pic:cNvPicPr>
                            <a:picLocks noChangeAspect="1"/>
                          </pic:cNvPicPr>
                        </pic:nvPicPr>
                        <pic:blipFill>
                          <a:blip r:embed="rId17"/>
                          <a:stretch>
                            <a:fillRect/>
                          </a:stretch>
                        </pic:blipFill>
                        <pic:spPr>
                          <a:xfrm>
                            <a:off x="0" y="0"/>
                            <a:ext cx="6526530" cy="34328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S14. Trial sequential analysis for endotracheal intubation using an anticipated relative risk reduction of 15%.</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The cumulative Z-curve was constructed according to the chronological order of the included trials. Trial sequential monitoring boundaries were calculated using a two-sided α of 5%, 80% power, and an anticipated relative risk reduction of 15%. Under this effect assumption, the diversity-adjusted required information size was 5,722 patients. The cumulative Z-curve crossed the conventional significance boundary but did not cross the trial sequential monitoring boundary, indicating that the evidence remains insufficient to confirm a conclusive reduction in endotracheal intubation. DARIS, diversity-adjusted required information size; HFNC, high-flow nasal cannula; RRR, relative risk reduction; SOT, standard oxygen therapy; TSA, trial sequential analysis.</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92" w:hRule="atLeast"/>
        </w:trPr>
        <w:tc>
          <w:tcPr>
            <w:tcW w:w="14174" w:type="dxa"/>
            <w:tcBorders>
              <w:tl2br w:val="nil"/>
              <w:tr2bl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6449695" cy="3243580"/>
                  <wp:effectExtent l="0" t="0" r="1905" b="7620"/>
                  <wp:docPr id="19" name="图片 19" descr="气管插管m3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气管插管m3_00副本"/>
                          <pic:cNvPicPr>
                            <a:picLocks noChangeAspect="1"/>
                          </pic:cNvPicPr>
                        </pic:nvPicPr>
                        <pic:blipFill>
                          <a:blip r:embed="rId18"/>
                          <a:stretch>
                            <a:fillRect/>
                          </a:stretch>
                        </pic:blipFill>
                        <pic:spPr>
                          <a:xfrm>
                            <a:off x="0" y="0"/>
                            <a:ext cx="6449695" cy="324358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S15. Trial sequential analysis for endotracheal intubation using 90% statistical power.</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The cumulative Z-curve was constructed according to the chronological order of the included trials. Trial sequential monitoring boundaries were calculated using a two-sided α of 5%, 90% power, and an anticipated relative risk reduction of 12.26%. Under this more stringent power assumption, the diversity-adjusted required information size was 11,515 patients. The cumulative Z-curve crossed the conventional significance boundary but did not cross the trial sequential monitoring boundary, indicating that the evidence remains insufficient to confirm a conclusive reduction in endotracheal intubation. DARIS, diversity-adjusted required information size; HFNC, high-flow nasal cannula; RRR, relative risk reduction; SOT, standard oxygen therapy; TSA, trial sequential analysis.</w:t>
            </w:r>
          </w:p>
        </w:tc>
      </w:tr>
    </w:tbl>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p>
      <w:pPr>
        <w:spacing w:line="240" w:lineRule="auto"/>
        <w:rPr>
          <w:rFonts w:hint="default" w:ascii="Times New Roman" w:hAnsi="Times New Roman" w:cs="Times New Roman"/>
          <w:sz w:val="21"/>
          <w:szCs w:val="21"/>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174" w:type="dxa"/>
            <w:tcBorders>
              <w:tl2br w:val="nil"/>
              <w:tr2bl w:val="nil"/>
            </w:tcBorders>
            <w:vAlign w:val="top"/>
          </w:tcPr>
          <w:p>
            <w:pPr>
              <w:spacing w:line="240" w:lineRule="auto"/>
              <w:rPr>
                <w:rFonts w:hint="eastAsia" w:ascii="Times New Roman" w:hAnsi="Times New Roman" w:cs="Times New Roman" w:eastAsiaTheme="minorEastAsia"/>
                <w:sz w:val="21"/>
                <w:szCs w:val="21"/>
                <w:vertAlign w:val="baseline"/>
                <w:lang w:eastAsia="zh-CN"/>
              </w:rPr>
            </w:pPr>
            <w:r>
              <w:rPr>
                <w:rFonts w:hint="eastAsia" w:ascii="Times New Roman" w:hAnsi="Times New Roman" w:cs="Times New Roman" w:eastAsiaTheme="minorEastAsia"/>
                <w:sz w:val="21"/>
                <w:szCs w:val="21"/>
                <w:vertAlign w:val="baseline"/>
                <w:lang w:eastAsia="zh-CN"/>
              </w:rPr>
              <w:drawing>
                <wp:inline distT="0" distB="0" distL="114300" distR="114300">
                  <wp:extent cx="6488430" cy="3300095"/>
                  <wp:effectExtent l="0" t="0" r="1270" b="1905"/>
                  <wp:docPr id="20" name="图片 20" descr="气管插管m4_0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气管插管m4_00副本"/>
                          <pic:cNvPicPr>
                            <a:picLocks noChangeAspect="1"/>
                          </pic:cNvPicPr>
                        </pic:nvPicPr>
                        <pic:blipFill>
                          <a:blip r:embed="rId19"/>
                          <a:stretch>
                            <a:fillRect/>
                          </a:stretch>
                        </pic:blipFill>
                        <pic:spPr>
                          <a:xfrm>
                            <a:off x="0" y="0"/>
                            <a:ext cx="6488430" cy="330009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4" w:type="dxa"/>
            <w:tcBorders>
              <w:tl2br w:val="nil"/>
              <w:tr2bl w:val="nil"/>
            </w:tcBorders>
            <w:vAlign w:val="top"/>
          </w:tcPr>
          <w:p>
            <w:pPr>
              <w:spacing w:line="240" w:lineRule="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Supplementary Figure S16. Restricted trial sequential analysis for clinically comparable cumulative endotracheal intubation outcomes.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The cumulative Z-curve was constructed according to the chronological order of trials included in the restricted analysis. This analysis included studies reporting clinically comparable cumulative endotracheal intubation outcomes. Trial sequential monitoring boundaries were calculated using a two-sided α of 5%, 80% power, and an anticipated relative risk reduction of 12.26%. The diversity-adjusted required information size was 7,200 patients. The cumulative Z-curve did not cross the conventional significance boundary or the trial sequential monitoring boundary, indicating that the restricted evidence remains insufficient to confirm a conclusive reduction in endotracheal intubation. DARIS, diversity-adjusted required information size; HFNC, high-flow nasal cannula; RRR, relative risk reduction; SOT, standard oxygen therapy; TSA, trial sequential analysis.</w:t>
            </w:r>
          </w:p>
        </w:tc>
      </w:tr>
    </w:tbl>
    <w:p>
      <w:pPr>
        <w:spacing w:line="240" w:lineRule="auto"/>
        <w:rPr>
          <w:rFonts w:hint="default" w:ascii="Times New Roman" w:hAnsi="Times New Roman" w:cs="Times New Roman"/>
          <w:sz w:val="21"/>
          <w:szCs w:val="21"/>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B05103"/>
    <w:rsid w:val="01247224"/>
    <w:rsid w:val="01686FFF"/>
    <w:rsid w:val="02D925F8"/>
    <w:rsid w:val="078965F3"/>
    <w:rsid w:val="0A852391"/>
    <w:rsid w:val="12215B18"/>
    <w:rsid w:val="187B28A7"/>
    <w:rsid w:val="1D4C3AF2"/>
    <w:rsid w:val="1D8D3FD5"/>
    <w:rsid w:val="1F252EEA"/>
    <w:rsid w:val="20201EE1"/>
    <w:rsid w:val="27B05103"/>
    <w:rsid w:val="369E32FB"/>
    <w:rsid w:val="37815867"/>
    <w:rsid w:val="3B1F28A6"/>
    <w:rsid w:val="3F225889"/>
    <w:rsid w:val="51DB2588"/>
    <w:rsid w:val="54E57703"/>
    <w:rsid w:val="59250FE6"/>
    <w:rsid w:val="5BBF3C4D"/>
    <w:rsid w:val="5EB46C93"/>
    <w:rsid w:val="680F40CE"/>
    <w:rsid w:val="719F0D3B"/>
    <w:rsid w:val="739C5F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2026-06-23T14:18:00Z</dcterms:created>
  <dc:creator>不忘初心</dc:creator>
  <cp:lastModifiedBy>不忘初心</cp:lastModifiedBy>
  <dcterms:modified xsi:type="dcterms:W3CDTF">2026-07-22T15:04:59Z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