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7160E" w14:textId="77777777" w:rsidR="004F50C5" w:rsidRDefault="004F50C5" w:rsidP="004F50C5">
      <w:pPr>
        <w:spacing w:after="200"/>
      </w:pPr>
      <w:r>
        <w:rPr>
          <w:b/>
          <w:bCs/>
          <w:sz w:val="30"/>
          <w:szCs w:val="30"/>
        </w:rPr>
        <w:t>Additional File 1. Supplementary Methods, Results, and Tables</w:t>
      </w:r>
    </w:p>
    <w:p w14:paraId="6925E6F5" w14:textId="77777777" w:rsidR="004F50C5" w:rsidRDefault="004F50C5" w:rsidP="004F50C5">
      <w:pPr>
        <w:spacing w:after="180" w:line="360" w:lineRule="auto"/>
        <w:jc w:val="both"/>
      </w:pPr>
      <w:r>
        <w:rPr>
          <w:i/>
          <w:iCs/>
        </w:rPr>
        <w:t>Predictors of 30-Day Pulmonary Readmissions in Patients with COPD: A Case-Control Study</w:t>
      </w:r>
    </w:p>
    <w:p w14:paraId="6E1A36F8" w14:textId="77777777" w:rsidR="004F50C5" w:rsidRDefault="004F50C5" w:rsidP="004F50C5">
      <w:pPr>
        <w:spacing w:before="360" w:after="200"/>
      </w:pPr>
      <w:r>
        <w:rPr>
          <w:b/>
          <w:bCs/>
          <w:sz w:val="28"/>
          <w:szCs w:val="28"/>
        </w:rPr>
        <w:t>Supplementary Methods</w:t>
      </w:r>
    </w:p>
    <w:p w14:paraId="7EBBAC7F" w14:textId="77777777" w:rsidR="004F50C5" w:rsidRPr="000C37EE" w:rsidRDefault="004F50C5" w:rsidP="004F50C5">
      <w:pPr>
        <w:spacing w:before="280" w:after="140"/>
        <w:rPr>
          <w:b/>
          <w:bCs/>
        </w:rPr>
      </w:pPr>
      <w:r>
        <w:rPr>
          <w:b/>
          <w:bCs/>
        </w:rPr>
        <w:t>S1.1 Inverse Probability Weighting Using Propensity Scores</w:t>
      </w:r>
    </w:p>
    <w:p w14:paraId="00D56D44" w14:textId="6E23F70F" w:rsidR="004F50C5" w:rsidRDefault="004F50C5" w:rsidP="004F50C5">
      <w:pPr>
        <w:spacing w:after="180" w:line="360" w:lineRule="auto"/>
        <w:jc w:val="both"/>
      </w:pPr>
      <w:r>
        <w:t>A propensity-score model estimated each patient's probability of case status using age, sex, and calendar period, the three variables originally specified for 1:1 matching (Methods, Section 2.2). Stabilized inverse-probability weights were calculated to emulate the intended matched comparison without discarding patients. Propensity-score and weight distributions were examined for extreme values. Covariate balance was assessed using standardized mean differences before and after weighting. Weighted logistic regression was then fitted for the five predictors of primary clinical interest: eosinophils ≥300 cells/µL, antidepressant use, inhaler step-up, follow-up attendance, and FEV₁.</w:t>
      </w:r>
    </w:p>
    <w:p w14:paraId="16CD7730" w14:textId="77777777" w:rsidR="004F50C5" w:rsidRDefault="004F50C5" w:rsidP="004F50C5">
      <w:pPr>
        <w:spacing w:before="280" w:after="140"/>
      </w:pPr>
      <w:r>
        <w:rPr>
          <w:b/>
          <w:bCs/>
        </w:rPr>
        <w:t>S1.2 Firth Penalized Logistic Regression</w:t>
      </w:r>
    </w:p>
    <w:p w14:paraId="636229BA" w14:textId="77777777" w:rsidR="004F50C5" w:rsidRDefault="004F50C5" w:rsidP="004F50C5">
      <w:pPr>
        <w:spacing w:after="180" w:line="360" w:lineRule="auto"/>
        <w:jc w:val="both"/>
      </w:pPr>
      <w:r>
        <w:t>Firth penalized logistic regression was applied to the primary multivariable model (n=135) as an additional sensitivity analysis addressing the limited events-per-variable ratio (EPV=3.4). Firth's method adds a Jeffreys-prior penalty to reduce small-sample bias and remains well behaved with sparse data or quasi-complete separation. Point estimates were obtained by maximizing the penalized likelihood, and 95% confidence intervals were derived using profile penalized likelihood.</w:t>
      </w:r>
    </w:p>
    <w:p w14:paraId="47E7C03D" w14:textId="77777777" w:rsidR="004F50C5" w:rsidRDefault="004F50C5" w:rsidP="004F50C5">
      <w:pPr>
        <w:spacing w:before="280" w:after="140"/>
      </w:pPr>
      <w:r>
        <w:rPr>
          <w:b/>
          <w:bCs/>
        </w:rPr>
        <w:t>S1.3 Multiple Imputation by Chained Equations</w:t>
      </w:r>
    </w:p>
    <w:p w14:paraId="20C6C977" w14:textId="77777777" w:rsidR="004F50C5" w:rsidRDefault="004F50C5" w:rsidP="004F50C5">
      <w:pPr>
        <w:spacing w:after="180" w:line="360" w:lineRule="auto"/>
        <w:jc w:val="both"/>
      </w:pPr>
      <w:r>
        <w:t>Multiple imputation was performed as a sensitivity analysis to the complete-case primary model because of missing FEV₁ (47.7%) and log-transformed pro-BNP (30.4%). Chained equations were applied across the full cohort (n=352). The imputation model included all primary-model predictors and auxiliary variables associated with missingness or with the incomplete variables: prior admissions, CAD, antipsychotic use, NIV requirement, pneumonia, severity score, comorbidity count, creatinine, eosinophil count, length of stay, dialysis, HFrEF, home oxygen, and discharge steroids. Twenty datasets were generated (m=20), with FEV₁ constrained to 10%–100% predicted. The primary logistic model was fitted within each dataset and pooled using Rubin's rules with Barnard–Rubin degrees-of-freedom adjustment. Fraction of missing information was calculated for each parameter.</w:t>
      </w:r>
    </w:p>
    <w:p w14:paraId="052BA3E4" w14:textId="77777777" w:rsidR="004F50C5" w:rsidRPr="000C37EE" w:rsidRDefault="004F50C5" w:rsidP="004F50C5">
      <w:pPr>
        <w:spacing w:before="280" w:after="140"/>
        <w:rPr>
          <w:b/>
          <w:bCs/>
        </w:rPr>
      </w:pPr>
      <w:r>
        <w:rPr>
          <w:b/>
          <w:bCs/>
        </w:rPr>
        <w:lastRenderedPageBreak/>
        <w:t>S1.4 GOLD-Aligned Discharge Regimen</w:t>
      </w:r>
    </w:p>
    <w:p w14:paraId="763B0424" w14:textId="77777777" w:rsidR="004F50C5" w:rsidRDefault="004F50C5" w:rsidP="004F50C5">
      <w:pPr>
        <w:spacing w:after="180" w:line="360" w:lineRule="auto"/>
        <w:jc w:val="both"/>
      </w:pPr>
      <w:r>
        <w:t>A post hoc binary variable was derived to distinguish any inhaler step-up from a simplified GOLD-aligned discharge regimen. The variable was positive for discharge on LABA+LAMA, or discharge on LABA+LAMA+ICS when admission eosinophils were ≥300 cells/µL. This operational definition reflects GOLD pharmacologic pathways after a severe exacerbation but does not adjudicate all patient-level considerations, including prior treatment response, asthma coexistence, contraindications, pneumonia history, access, adherence, or inhaler technique.</w:t>
      </w:r>
    </w:p>
    <w:p w14:paraId="511AE09F" w14:textId="77777777" w:rsidR="004F50C5" w:rsidRDefault="004F50C5" w:rsidP="004F50C5">
      <w:pPr>
        <w:spacing w:before="280" w:after="140"/>
      </w:pPr>
      <w:r>
        <w:rPr>
          <w:b/>
          <w:bCs/>
        </w:rPr>
        <w:t>S1.5 Full Exploratory Analysis Specifications</w:t>
      </w:r>
    </w:p>
    <w:p w14:paraId="0F28243B" w14:textId="77777777" w:rsidR="004F50C5" w:rsidRDefault="004F50C5" w:rsidP="004F50C5">
      <w:pPr>
        <w:spacing w:after="180" w:line="360" w:lineRule="auto"/>
        <w:jc w:val="both"/>
      </w:pPr>
      <w:r>
        <w:t>Blood eosinophil count was examined across three pre-specified tiers (&lt;100, 100 to 299, ≥300 cells/µL) and as a binary predictor (≥300 cells/µL) in logistic regression adjusted for age and FEV1, using the ≥300 cells/µL threshold as a clinically validated cut-off for ICS responsiveness in COPD. Given the wide confidence interval around this categorical estimate in the primary model, eosinophil count was additionally modeled continuously (per 100 cells/µL increase). To test whether the protective effect of ICS addition at discharge differed by eosinophil phenotype, a product term was entered into a logistic regression model alongside both main effects, with a stratified analysis additionally performed within the eosinophilic subgroup (n=25). The inhaler step-up association was examined in a model adjusted for age, FEV1, and GOLD stage. Prior admission burden was categorized into five ordinal tiers, with the Cochran-Armitage test used to assess linear trend and a continuous odds ratio per additional admission estimated by standard logistic regression. Antidepressant and antipsychotic use were examined through four sequential models of increasing covariate adjustment: unadjusted, adjusted for in-hospital severity markers, adjusted for comorbidity burden, and fully adjusted including prior admission burden. Cardiac biomarker profiles were examined by comparing log-transformed pro-BNP between cases and controls and fitting a joint logistic regression model including HFpEF, log(pro-BNP), FEV1, and NIV requirement, with a multiplicative interaction term between HFpEF and pro-BNP ≥1000 pg/mL tested separately.</w:t>
      </w:r>
    </w:p>
    <w:p w14:paraId="1202B790" w14:textId="77777777" w:rsidR="004F50C5" w:rsidRDefault="004F50C5" w:rsidP="004F50C5">
      <w:pPr>
        <w:spacing w:before="280" w:after="140"/>
      </w:pPr>
      <w:r>
        <w:rPr>
          <w:b/>
          <w:bCs/>
        </w:rPr>
        <w:t>S1.6 Full Variable Dictionary</w:t>
      </w:r>
    </w:p>
    <w:p w14:paraId="0D48D7C6" w14:textId="02F5322E" w:rsidR="004F50C5" w:rsidRDefault="004F50C5" w:rsidP="004F50C5">
      <w:pPr>
        <w:spacing w:after="180" w:line="360" w:lineRule="auto"/>
        <w:jc w:val="both"/>
      </w:pPr>
      <w:r>
        <w:t>This section provides the complete variable definitions condensed in main-text Methods Section 2.3. Citation numbers correspond to the main manuscript reference list.</w:t>
      </w:r>
    </w:p>
    <w:p w14:paraId="3E8A6CD8" w14:textId="77777777" w:rsidR="004F50C5" w:rsidRDefault="004F50C5" w:rsidP="004F50C5">
      <w:pPr>
        <w:spacing w:after="180" w:line="360" w:lineRule="auto"/>
        <w:jc w:val="both"/>
      </w:pPr>
      <w:r>
        <w:t xml:space="preserve">Baseline characteristics were defined as patient traits present prior to index admission, reflecting the patient's underlying disease burden and functional status. These included age, sex, smoking status, and </w:t>
      </w:r>
      <w:r>
        <w:lastRenderedPageBreak/>
        <w:t>comorbidities: chronic kidney disease (CKD), dialysis dependence, heart failure with reduced ejection fraction (HFrEF), heart failure with preserved ejection fraction (HFpEF), coronary artery disease (CAD), antidepressant use, and antipsychotic use. Antidepressant and antipsychotic use were included as proxies of psychiatric comorbidity and frailty, in accordance with evidence linking these medications to adverse COPD outcomes (15, 16). A comorbidity count variable was derived as the sum of all documented comorbidities and categorized into three groups (0, 1 to 2, ≥3). Home oxygen and home NIV use were recorded as binary indicators of baseline ventilatory support requirements. Home inhaler regimen was recorded as well. Spirometric data were captured as the most recent available FEV1 percentage predicted prior to or at the time of the index admission (1). GOLD stages were derived when FEV1 was available (Stage 1: FEV1 ≥80%; Stage 2: 50 to 79%; Stage 3: 30 to 49%; Stage 4: &lt;30%). Missing FEV1 values were retained as missing in regression analyses (1).</w:t>
      </w:r>
    </w:p>
    <w:p w14:paraId="5F7E70DC" w14:textId="77777777" w:rsidR="004F50C5" w:rsidRDefault="004F50C5" w:rsidP="004F50C5">
      <w:pPr>
        <w:spacing w:after="180" w:line="360" w:lineRule="auto"/>
        <w:jc w:val="both"/>
      </w:pPr>
      <w:r>
        <w:t>Index admission severity variables were defined as clinical and laboratory parameters measured at or during the index COPD exacerbation hospitalization. Laboratory values included blood eosinophil count categorized at ≥300 cells/µL (18), serum creatinine as a marker of renal function and cardiorenal stress, pro-BNP as a marker of COPD exacerbation with cardiac involvement (14), and arterial PaCO₂ as a marker of hypercapnic burden (1). All these variables were collected from day-of-admission results. A composite severity score was calculated as the sum of NIV requirement, ICU admission, and intubation (range 0 to 3). Length of stay and ICU length of stay were recorded as continuous variables.</w:t>
      </w:r>
    </w:p>
    <w:p w14:paraId="10BC9253" w14:textId="77777777" w:rsidR="004F50C5" w:rsidRDefault="004F50C5" w:rsidP="004F50C5">
      <w:pPr>
        <w:spacing w:after="180" w:line="360" w:lineRule="auto"/>
        <w:jc w:val="both"/>
      </w:pPr>
      <w:r>
        <w:t>Discharge variables included inhaler regimen, oral steroid and antibiotic prescriptions, pulmonary rehabilitation referral, and follow-up attendance. Inhaler step-up indicated increased regimen intensity at discharge relative to the home regimen and was not adjudicated against GOLD recommendations. ICS addition indicated introduction of an ICS component in patients whose home regimen did not contain ICS. The separately derived post hoc GOLD-aligned discharge-regimen variable is described in Section S1.4.</w:t>
      </w:r>
    </w:p>
    <w:p w14:paraId="2D462AEF" w14:textId="77777777" w:rsidR="004F50C5" w:rsidRDefault="004F50C5" w:rsidP="004F50C5">
      <w:pPr>
        <w:spacing w:before="280" w:after="140"/>
      </w:pPr>
      <w:r>
        <w:rPr>
          <w:b/>
          <w:bCs/>
        </w:rPr>
        <w:t>S1.7 Linearity Assessment for Continuous Predictors</w:t>
      </w:r>
    </w:p>
    <w:p w14:paraId="77E9CFD0" w14:textId="77777777" w:rsidR="004F50C5" w:rsidRDefault="004F50C5" w:rsidP="004F50C5">
      <w:pPr>
        <w:spacing w:after="180" w:line="360" w:lineRule="auto"/>
        <w:jc w:val="both"/>
      </w:pPr>
      <w:r>
        <w:t>Prior to inclusion in regression models, continuous variables were assessed for the linearity-in-the-logit assumption using LOWESS-smoothed plots of the logit of the outcome against each predictor. Variables with evidence of non-linearity were either categorized (length of stay, comorbidity count) or log-transformed (prior admissions per year, pro-BNP). Prior admissions per year underwent log-transformation (log[admissions + 1]) given the presence of a significant log-linear interaction term (p=0.003).</w:t>
      </w:r>
    </w:p>
    <w:p w14:paraId="5FD65938" w14:textId="77777777" w:rsidR="004F50C5" w:rsidRDefault="004F50C5" w:rsidP="004F50C5">
      <w:pPr>
        <w:spacing w:before="360" w:after="200"/>
      </w:pPr>
      <w:r>
        <w:rPr>
          <w:b/>
          <w:bCs/>
          <w:sz w:val="28"/>
          <w:szCs w:val="28"/>
        </w:rPr>
        <w:lastRenderedPageBreak/>
        <w:t>Supplementary Results</w:t>
      </w:r>
    </w:p>
    <w:p w14:paraId="3D29A085" w14:textId="77777777" w:rsidR="004F50C5" w:rsidRPr="000C37EE" w:rsidRDefault="004F50C5" w:rsidP="004F50C5">
      <w:pPr>
        <w:spacing w:before="280" w:after="140"/>
        <w:rPr>
          <w:b/>
          <w:bCs/>
        </w:rPr>
      </w:pPr>
      <w:r>
        <w:rPr>
          <w:b/>
          <w:bCs/>
        </w:rPr>
        <w:t>S2.1 Inverse Probability Weighting</w:t>
      </w:r>
    </w:p>
    <w:p w14:paraId="00FFECBB" w14:textId="77777777" w:rsidR="004F50C5" w:rsidRDefault="004F50C5" w:rsidP="004F50C5">
      <w:pPr>
        <w:spacing w:after="180" w:line="360" w:lineRule="auto"/>
        <w:jc w:val="both"/>
      </w:pPr>
      <w:r>
        <w:t>Propensity scores ranged from 0.24 to 0.62 and stabilized weights from 0.67 to 1.58, with no extreme weights. Weighting reduced absolute standardized mean differences from 0.227 to 0.028 for age, from 0.076 to 0.006 for sex, and to ≤0.004 for each calendar-period category. In the weighted complete-case analysis (n=184), all five predictors of primary clinical interest remained statistically significant and directionally consistent with the primary model (Supplementary Table ST1).</w:t>
      </w:r>
    </w:p>
    <w:p w14:paraId="75297050" w14:textId="77777777" w:rsidR="004F50C5" w:rsidRDefault="004F50C5" w:rsidP="004F50C5">
      <w:pPr>
        <w:spacing w:before="280" w:after="140"/>
      </w:pPr>
      <w:r>
        <w:rPr>
          <w:b/>
          <w:bCs/>
        </w:rPr>
        <w:t>S2.2 Overfitting Diagnostics: VIF, EPV, and Firth Comparison</w:t>
      </w:r>
    </w:p>
    <w:p w14:paraId="51C6979C" w14:textId="77777777" w:rsidR="004F50C5" w:rsidRDefault="004F50C5" w:rsidP="004F50C5">
      <w:pPr>
        <w:spacing w:after="180" w:line="360" w:lineRule="auto"/>
        <w:jc w:val="both"/>
      </w:pPr>
      <w:r>
        <w:t>The primary multivariable model (n=135, 19 parameters, 62 events; EPV=3.4) showed no problematic multicollinearity (maximum VIF 5.16 for home triple therapy; mean VIF 1.89). Given the low EPV, Firth penalized logistic regression was performed as an additional sensitivity analysis. Direction and statistical significance were preserved for all five predictors of primary interest, with attenuation consistent with correction of small-sample bias (Supplementary Table ST2). The primary model was also markedly ill-conditioned, with a Hessian condition number of approximately 1.9 million and 27 of 135 fitted probabilities pinned below 0.01 or above 0.99, consistent with near-complete separation at this events-per-variable ratio. This provides a quantitative basis for interpreting the primary model's widest intervals, such as the eosinophil estimate, with caution, and for treating the Firth, multiple imputation, and larger-sample sensitivity analyses as the more stable estimates of effect size.</w:t>
      </w:r>
    </w:p>
    <w:p w14:paraId="4AB32C4A" w14:textId="77777777" w:rsidR="004F50C5" w:rsidRDefault="004F50C5" w:rsidP="004F50C5">
      <w:pPr>
        <w:spacing w:before="280" w:after="140"/>
      </w:pPr>
      <w:r>
        <w:rPr>
          <w:b/>
          <w:bCs/>
        </w:rPr>
        <w:t>S2.3 Sensitivity Model Excluding FEV1 and Pro-BNP</w:t>
      </w:r>
    </w:p>
    <w:p w14:paraId="56B6ECF2" w14:textId="77777777" w:rsidR="004F50C5" w:rsidRDefault="004F50C5" w:rsidP="004F50C5">
      <w:pPr>
        <w:spacing w:after="180" w:line="360" w:lineRule="auto"/>
        <w:jc w:val="both"/>
      </w:pPr>
      <w:r>
        <w:t>To address selection bias arising from listwise deletion of patients with missing FEV1 and pro-BNP, the primary model was re-fit in the largest available sample with these two variables removed (n=348). All key associations were preserved and, in most cases, estimated with greater precision than in the primary model, consistent with the larger sample (Supplementary Table ST3).</w:t>
      </w:r>
    </w:p>
    <w:p w14:paraId="42ACE67E" w14:textId="77777777" w:rsidR="004F50C5" w:rsidRDefault="004F50C5" w:rsidP="004F50C5">
      <w:pPr>
        <w:spacing w:before="280" w:after="140"/>
      </w:pPr>
      <w:r>
        <w:rPr>
          <w:b/>
          <w:bCs/>
        </w:rPr>
        <w:t>S2.4 Multiple Imputation Results</w:t>
      </w:r>
    </w:p>
    <w:p w14:paraId="7E133CCC" w14:textId="77777777" w:rsidR="004F50C5" w:rsidRDefault="004F50C5" w:rsidP="004F50C5">
      <w:pPr>
        <w:spacing w:after="180" w:line="360" w:lineRule="auto"/>
        <w:jc w:val="both"/>
      </w:pPr>
      <w:r>
        <w:t xml:space="preserve">Under multiple imputation (m=20, n=352), estimates for the five predictors of primary interest were consistent in direction and statistical significance with the complete-case and Firth models (Supplementary Table ST4). Fraction of missing information was 0.50 for FEV₁ and 0.28 for log(pro-BNP); all other parameters had FMI below 0.07. ICS addition (aOR 0.127, 95% CI 0.035–0.457; p=0.002) </w:t>
      </w:r>
      <w:r>
        <w:lastRenderedPageBreak/>
        <w:t>and male sex (aOR 1.92, 95% CI 1.06–3.48; p=0.033) reached significance under imputation, while discharge triple therapy did not retain significance.</w:t>
      </w:r>
    </w:p>
    <w:p w14:paraId="431053D2" w14:textId="77777777" w:rsidR="004F50C5" w:rsidRDefault="004F50C5" w:rsidP="004F50C5">
      <w:pPr>
        <w:spacing w:before="280" w:after="140"/>
      </w:pPr>
      <w:r>
        <w:rPr>
          <w:b/>
          <w:bCs/>
        </w:rPr>
        <w:t>S2.5 Per-100-Cell Eosinophil Odds Ratio</w:t>
      </w:r>
    </w:p>
    <w:p w14:paraId="646C86EA" w14:textId="77777777" w:rsidR="004F50C5" w:rsidRDefault="004F50C5" w:rsidP="004F50C5">
      <w:pPr>
        <w:spacing w:after="180" w:line="360" w:lineRule="auto"/>
        <w:jc w:val="both"/>
      </w:pPr>
      <w:r>
        <w:t>As a linear alternative to the categorical ≥300 cells/µL threshold, eosinophil count was modeled continuously. In univariate analysis (n=352), each 100 cells/µL increase was associated with an odds ratio of 2.85 (95% CI 2.13 to 3.80; p&lt;0.001). In the sensitivity model (n=348, excluding FEV1 and log-pro-BNP), the association was OR 4.85 (95% CI 3.14 to 7.49; p&lt;0.001). The continuous term did not converge reliably within the sparse primary model (n=135) and is not reported from that model; this instability is itself consistent with the primary model's limited events-per-variable ratio and supports interpreting the sensitivity model as the more reliable estimate of this association (Supplementary Table ST5).</w:t>
      </w:r>
    </w:p>
    <w:p w14:paraId="3280A0DE" w14:textId="77777777" w:rsidR="004F50C5" w:rsidRDefault="004F50C5" w:rsidP="004F50C5">
      <w:pPr>
        <w:spacing w:before="280" w:after="140"/>
      </w:pPr>
      <w:r>
        <w:rPr>
          <w:b/>
          <w:bCs/>
        </w:rPr>
        <w:t>S2.6 Readmission Characterization</w:t>
      </w:r>
    </w:p>
    <w:p w14:paraId="0BA820AB" w14:textId="77777777" w:rsidR="004F50C5" w:rsidRDefault="004F50C5" w:rsidP="004F50C5">
      <w:pPr>
        <w:spacing w:after="180" w:line="360" w:lineRule="auto"/>
        <w:jc w:val="both"/>
      </w:pPr>
      <w:r>
        <w:t>Respiratory failure was not treated as a standalone readmission diagnosis. Readmissions coded as respiratory failure were classified according to their underlying cause, and the resulting distribution is presented in Supplementary Table ST6. COPD exacerbation was the most common reason (109/150, 72.7%), followed by pneumonia (78/150, 52.0%), with 37 readmissions (24.7%) attributed to both. Median time to readmission was 10 days (IQR 5 to 18). ICU admission occurred in 59 of 149 readmissions (39.6%) and did not differ significantly between exacerbation and pneumonia readmissions (41.7% vs 44.2%). Mortality during the readmission encounter was 16.1% (24/149).</w:t>
      </w:r>
    </w:p>
    <w:p w14:paraId="4BFA068E" w14:textId="77777777" w:rsidR="004F50C5" w:rsidRDefault="004F50C5" w:rsidP="004F50C5">
      <w:pPr>
        <w:spacing w:before="280" w:after="140"/>
      </w:pPr>
      <w:r>
        <w:t>S2.7 GOLD-Aligned Discharge Regimen and Regimen Distribution</w:t>
      </w:r>
    </w:p>
    <w:p w14:paraId="51DA4589" w14:textId="77777777" w:rsidR="004F50C5" w:rsidRDefault="004F50C5" w:rsidP="004F50C5">
      <w:pPr>
        <w:spacing w:after="180" w:line="360" w:lineRule="auto"/>
        <w:jc w:val="both"/>
      </w:pPr>
      <w:r>
        <w:t>The post hoc GOLD-aligned discharge regimen was received by 31/150 cases (20.7%) and 44/202 controls (21.8%). It was not associated with case status (OR 0.94, 95% CI 0.56–1.57; p=0.80). This result indicates that the pre-specified inhaler step-up variable and the simplified guideline-alignment measure capture different constructs. Full home and discharge regimen distributions are presented in Supplementary Table ST7.</w:t>
      </w:r>
    </w:p>
    <w:p w14:paraId="3DAA6B57" w14:textId="77777777" w:rsidR="004F50C5" w:rsidRDefault="004F50C5" w:rsidP="004F50C5">
      <w:pPr>
        <w:spacing w:before="280" w:after="140"/>
      </w:pPr>
      <w:r>
        <w:rPr>
          <w:b/>
          <w:bCs/>
        </w:rPr>
        <w:t>S2.8 Cardiac Biomarkers</w:t>
      </w:r>
    </w:p>
    <w:p w14:paraId="4DE4C8E3" w14:textId="77777777" w:rsidR="004F50C5" w:rsidRDefault="004F50C5" w:rsidP="004F50C5">
      <w:pPr>
        <w:spacing w:after="180" w:line="360" w:lineRule="auto"/>
        <w:jc w:val="both"/>
      </w:pPr>
      <w:r>
        <w:t xml:space="preserve">Both HFpEF and log-transformed pro-BNP were significantly associated with readmission in univariate analysis, but neither retained significance after adjustment for FEV1, indicating that their prognostic information was substantially shared with spirometric severity. The HFpEF and elevated pro-BNP </w:t>
      </w:r>
      <w:r>
        <w:lastRenderedPageBreak/>
        <w:t>interaction term approached but did not reach significance (OR 10.46; p=0.079). Full results are presented in Supplementary Table ST8.</w:t>
      </w:r>
    </w:p>
    <w:p w14:paraId="5CFB95F6" w14:textId="77777777" w:rsidR="004F50C5" w:rsidRDefault="004F50C5" w:rsidP="004F50C5">
      <w:pPr>
        <w:spacing w:before="280" w:after="140"/>
      </w:pPr>
      <w:r>
        <w:rPr>
          <w:b/>
          <w:bCs/>
        </w:rPr>
        <w:t>S2.9 Prior Admission Burden</w:t>
      </w:r>
    </w:p>
    <w:p w14:paraId="3AB4F4FB" w14:textId="77777777" w:rsidR="004F50C5" w:rsidRDefault="004F50C5" w:rsidP="004F50C5">
      <w:pPr>
        <w:spacing w:after="180" w:line="360" w:lineRule="auto"/>
        <w:jc w:val="both"/>
      </w:pPr>
      <w:r>
        <w:t>A clear monotonic relationship was observed between prior admission burden and readmission risk across five ordinal tiers (Cochran-Armitage trend z=6.29; p&lt;0.001), with each additional prior admission associated with a 36% increase in readmission odds (OR 1.36, 95% CI 1.21 to 1.53; p&lt;0.001; Supplementary Table ST9).</w:t>
      </w:r>
    </w:p>
    <w:p w14:paraId="4B270944" w14:textId="77777777" w:rsidR="004F50C5" w:rsidRDefault="004F50C5" w:rsidP="004F50C5">
      <w:pPr>
        <w:spacing w:before="280" w:after="140"/>
      </w:pPr>
      <w:r>
        <w:rPr>
          <w:b/>
          <w:bCs/>
        </w:rPr>
        <w:t>S2.10 Eosinophil Tier Distribution and ICS Interaction</w:t>
      </w:r>
    </w:p>
    <w:p w14:paraId="339B4581" w14:textId="77777777" w:rsidR="004F50C5" w:rsidRDefault="004F50C5" w:rsidP="004F50C5">
      <w:pPr>
        <w:spacing w:after="180" w:line="360" w:lineRule="auto"/>
        <w:jc w:val="both"/>
      </w:pPr>
      <w:r>
        <w:t>Eosinophil count showed a markedly non-uniform tier distribution between groups: 60.4% of controls versus only 12.7% of cases had counts below 100 cells/µL, while 18.7% of cases had counts ≥300 cells/µL versus 6.9% of controls (chi-square p&lt;0.001). No statistically significant interaction was detected between ICS addition and eosinophil phenotype (p=0.718), though within the eosinophilic subgroup ICS addition was associated with markedly reduced readmission odds (aOR 0.006; p=0.020), an estimate that should be interpreted with extreme caution given the small subgroup size (n=25) and should not be treated as a reliable effect estimate. Tier distribution and interaction estimates are presented in main-text Table 3.</w:t>
      </w:r>
    </w:p>
    <w:p w14:paraId="66C62A7F" w14:textId="77777777" w:rsidR="004F50C5" w:rsidRDefault="004F50C5" w:rsidP="004F50C5">
      <w:pPr>
        <w:spacing w:before="280" w:after="140"/>
      </w:pPr>
      <w:r>
        <w:rPr>
          <w:b/>
          <w:bCs/>
        </w:rPr>
        <w:t>S2.11 Psychiatric Medication Sequential Adjustment</w:t>
      </w:r>
    </w:p>
    <w:p w14:paraId="5B5932A9" w14:textId="77777777" w:rsidR="004F50C5" w:rsidRDefault="004F50C5" w:rsidP="004F50C5">
      <w:pPr>
        <w:spacing w:after="180" w:line="360" w:lineRule="auto"/>
        <w:jc w:val="both"/>
      </w:pPr>
      <w:r>
        <w:t>Antidepressant and antipsychotic use each remained independently associated with readmission across all four sequential adjustment models, including full adjustment for disease severity, comorbidity burden, and prior admission history (antidepressants aOR 2.96, 95% CI 1.33 to 6.59; antipsychotics aOR 3.27, 95% CI 1.13 to 9.45). Full model sequence is presented in main-text Table 4.</w:t>
      </w:r>
    </w:p>
    <w:p w14:paraId="07F96626" w14:textId="77777777" w:rsidR="004F50C5" w:rsidRDefault="004F50C5" w:rsidP="004F50C5">
      <w:r>
        <w:br w:type="page"/>
      </w:r>
    </w:p>
    <w:p w14:paraId="05D070BD" w14:textId="77777777" w:rsidR="004F50C5" w:rsidRDefault="004F50C5" w:rsidP="004F50C5">
      <w:pPr>
        <w:spacing w:before="360" w:after="200"/>
      </w:pPr>
      <w:r>
        <w:rPr>
          <w:b/>
          <w:bCs/>
          <w:sz w:val="28"/>
          <w:szCs w:val="28"/>
        </w:rPr>
        <w:lastRenderedPageBreak/>
        <w:t>Supplementary Tables</w:t>
      </w:r>
    </w:p>
    <w:p w14:paraId="2881A73A" w14:textId="77777777" w:rsidR="004F50C5" w:rsidRDefault="004F50C5" w:rsidP="004F50C5">
      <w:pPr>
        <w:spacing w:before="300" w:after="100"/>
      </w:pPr>
      <w:r>
        <w:t>Supplementary Table ST1. Inverse probability weighting using propensity scores based on the original matching variables (age, sex, and calendar period).</w:t>
      </w:r>
    </w:p>
    <w:p w14:paraId="10F92820" w14:textId="77777777" w:rsidR="004F50C5" w:rsidRDefault="004F50C5" w:rsidP="004F50C5">
      <w:pPr>
        <w:spacing w:after="140"/>
      </w:pPr>
      <w:r>
        <w:t>Weighted complete-case logistic regression, n=184. Propensity scores ranged from 0.24 to 0.62 and stabilized weights from 0.67 to 1.58. All post-weighting absolute standardized mean differences were &lt;0.03. aOR = adjusted odds ratio; CI = confidence interval.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39"/>
        <w:gridCol w:w="4101"/>
        <w:gridCol w:w="1320"/>
      </w:tblGrid>
      <w:tr w:rsidR="004F50C5" w14:paraId="067F4507"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185151D" w14:textId="77777777" w:rsidR="004F50C5" w:rsidRDefault="004F50C5" w:rsidP="00C85BD5">
            <w:pPr>
              <w:jc w:val="center"/>
            </w:pPr>
            <w:r>
              <w:rPr>
                <w:b/>
                <w:bCs/>
                <w:color w:val="FFFFFF"/>
                <w:sz w:val="18"/>
                <w:szCs w:val="18"/>
              </w:rPr>
              <w:t>Predictor</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987C9EF" w14:textId="77777777" w:rsidR="004F50C5" w:rsidRDefault="004F50C5" w:rsidP="00C85BD5">
            <w:pPr>
              <w:jc w:val="center"/>
            </w:pPr>
            <w:r>
              <w:rPr>
                <w:b/>
                <w:bCs/>
                <w:color w:val="FFFFFF"/>
                <w:sz w:val="18"/>
                <w:szCs w:val="18"/>
              </w:rPr>
              <w:t>Weighted aOR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595AABD7" w14:textId="77777777" w:rsidR="004F50C5" w:rsidRDefault="004F50C5" w:rsidP="00C85BD5">
            <w:pPr>
              <w:jc w:val="center"/>
            </w:pPr>
            <w:r>
              <w:rPr>
                <w:b/>
                <w:bCs/>
                <w:color w:val="FFFFFF"/>
                <w:sz w:val="18"/>
                <w:szCs w:val="18"/>
              </w:rPr>
              <w:t>p</w:t>
            </w:r>
          </w:p>
        </w:tc>
      </w:tr>
      <w:tr w:rsidR="004F50C5" w14:paraId="527E1928"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B87E2ED" w14:textId="77777777" w:rsidR="004F50C5" w:rsidRDefault="004F50C5" w:rsidP="00C85BD5">
            <w:r>
              <w:rPr>
                <w:sz w:val="18"/>
                <w:szCs w:val="18"/>
              </w:rPr>
              <w:t>Eosinophil ≥300 cells/µL</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7197F95" w14:textId="77777777" w:rsidR="004F50C5" w:rsidRDefault="004F50C5" w:rsidP="00C85BD5">
            <w:r>
              <w:rPr>
                <w:sz w:val="18"/>
                <w:szCs w:val="18"/>
              </w:rPr>
              <w:t>7.36 (2.31 to 23.47)</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84036AA" w14:textId="77777777" w:rsidR="004F50C5" w:rsidRDefault="004F50C5" w:rsidP="00C85BD5">
            <w:r>
              <w:rPr>
                <w:b/>
                <w:bCs/>
                <w:sz w:val="18"/>
                <w:szCs w:val="18"/>
              </w:rPr>
              <w:t>&lt;0.001</w:t>
            </w:r>
          </w:p>
        </w:tc>
      </w:tr>
      <w:tr w:rsidR="004F50C5" w14:paraId="2C039EA4"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4A98080B" w14:textId="77777777" w:rsidR="004F50C5" w:rsidRDefault="004F50C5" w:rsidP="00C85BD5">
            <w:r>
              <w:rPr>
                <w:sz w:val="18"/>
                <w:szCs w:val="18"/>
              </w:rPr>
              <w:t>Antidepressant use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45797925" w14:textId="77777777" w:rsidR="004F50C5" w:rsidRDefault="004F50C5" w:rsidP="00C85BD5">
            <w:r>
              <w:rPr>
                <w:sz w:val="18"/>
                <w:szCs w:val="18"/>
              </w:rPr>
              <w:t>2.94 (1.32 to 6.54)</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029508A" w14:textId="77777777" w:rsidR="004F50C5" w:rsidRDefault="004F50C5" w:rsidP="00C85BD5">
            <w:r>
              <w:rPr>
                <w:b/>
                <w:bCs/>
                <w:sz w:val="18"/>
                <w:szCs w:val="18"/>
              </w:rPr>
              <w:t>0.008</w:t>
            </w:r>
          </w:p>
        </w:tc>
      </w:tr>
      <w:tr w:rsidR="004F50C5" w14:paraId="22F36FD3"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1E9D19F" w14:textId="77777777" w:rsidR="004F50C5" w:rsidRDefault="004F50C5" w:rsidP="00C85BD5">
            <w:r>
              <w:rPr>
                <w:sz w:val="18"/>
                <w:szCs w:val="18"/>
              </w:rPr>
              <w:t>Inhaler step-up</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21B84A6" w14:textId="77777777" w:rsidR="004F50C5" w:rsidRDefault="004F50C5" w:rsidP="00C85BD5">
            <w:r>
              <w:rPr>
                <w:sz w:val="18"/>
                <w:szCs w:val="18"/>
              </w:rPr>
              <w:t>0.09 (0.04 to 0.23)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4BC9D83" w14:textId="77777777" w:rsidR="004F50C5" w:rsidRDefault="004F50C5" w:rsidP="00C85BD5">
            <w:r>
              <w:rPr>
                <w:b/>
                <w:bCs/>
                <w:sz w:val="18"/>
                <w:szCs w:val="18"/>
              </w:rPr>
              <w:t>&lt;0.001</w:t>
            </w:r>
          </w:p>
        </w:tc>
      </w:tr>
      <w:tr w:rsidR="004F50C5" w14:paraId="196A13C6"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015C532" w14:textId="77777777" w:rsidR="004F50C5" w:rsidRDefault="004F50C5" w:rsidP="00C85BD5">
            <w:r>
              <w:rPr>
                <w:sz w:val="18"/>
                <w:szCs w:val="18"/>
              </w:rPr>
              <w:t>Follow-up attendance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E3AFD50" w14:textId="77777777" w:rsidR="004F50C5" w:rsidRDefault="004F50C5" w:rsidP="00C85BD5">
            <w:r>
              <w:rPr>
                <w:sz w:val="18"/>
                <w:szCs w:val="18"/>
              </w:rPr>
              <w:t>0.10 (0.03 to 0.32)</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8149A24" w14:textId="77777777" w:rsidR="004F50C5" w:rsidRDefault="004F50C5" w:rsidP="00C85BD5">
            <w:r>
              <w:rPr>
                <w:b/>
                <w:bCs/>
                <w:sz w:val="18"/>
                <w:szCs w:val="18"/>
              </w:rPr>
              <w:t>&lt;0.001</w:t>
            </w:r>
          </w:p>
        </w:tc>
      </w:tr>
      <w:tr w:rsidR="004F50C5" w14:paraId="222D8904"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5854B5B" w14:textId="77777777" w:rsidR="004F50C5" w:rsidRDefault="004F50C5" w:rsidP="00C85BD5">
            <w:r>
              <w:rPr>
                <w:sz w:val="18"/>
                <w:szCs w:val="18"/>
              </w:rPr>
              <w:t>FEV1 (per 1% predicted)</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5A88CEB" w14:textId="77777777" w:rsidR="004F50C5" w:rsidRDefault="004F50C5" w:rsidP="00C85BD5">
            <w:r>
              <w:rPr>
                <w:sz w:val="18"/>
                <w:szCs w:val="18"/>
              </w:rPr>
              <w:t>0.96 (0.93 to 0.99)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E32E951" w14:textId="77777777" w:rsidR="004F50C5" w:rsidRDefault="004F50C5" w:rsidP="00C85BD5">
            <w:r>
              <w:rPr>
                <w:b/>
                <w:bCs/>
                <w:sz w:val="18"/>
                <w:szCs w:val="18"/>
              </w:rPr>
              <w:t>0.004</w:t>
            </w:r>
          </w:p>
        </w:tc>
      </w:tr>
    </w:tbl>
    <w:p w14:paraId="47EE27F5" w14:textId="77777777" w:rsidR="004F50C5" w:rsidRDefault="004F50C5" w:rsidP="004F50C5">
      <w:pPr>
        <w:spacing w:before="300" w:after="100"/>
      </w:pPr>
      <w:r>
        <w:rPr>
          <w:b/>
          <w:bCs/>
          <w:sz w:val="22"/>
          <w:szCs w:val="22"/>
        </w:rPr>
        <w:t xml:space="preserve">Supplementary Table ST2. </w:t>
      </w:r>
      <w:r>
        <w:rPr>
          <w:sz w:val="22"/>
          <w:szCs w:val="22"/>
        </w:rPr>
        <w:t>Overfitting diagnostics: variance inflation factors and Firth penalized regression compared with the standard primary model.</w:t>
      </w:r>
    </w:p>
    <w:p w14:paraId="167FC31D" w14:textId="2A559718" w:rsidR="004F50C5" w:rsidRDefault="004F50C5" w:rsidP="004F50C5">
      <w:pPr>
        <w:spacing w:after="140"/>
      </w:pPr>
      <w:r>
        <w:rPr>
          <w:i/>
          <w:iCs/>
          <w:sz w:val="16"/>
          <w:szCs w:val="16"/>
        </w:rPr>
        <w:t>Bold p-values indicate p&lt;0.05. Model as specified in Methods Section 2.4, n=135.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0"/>
        <w:gridCol w:w="2549"/>
        <w:gridCol w:w="1272"/>
        <w:gridCol w:w="2194"/>
        <w:gridCol w:w="875"/>
      </w:tblGrid>
      <w:tr w:rsidR="004F50C5" w14:paraId="6F471936"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3E6CF299" w14:textId="77777777" w:rsidR="004F50C5" w:rsidRDefault="004F50C5" w:rsidP="00C85BD5">
            <w:pPr>
              <w:jc w:val="center"/>
            </w:pPr>
            <w:r>
              <w:rPr>
                <w:b/>
                <w:bCs/>
                <w:color w:val="FFFFFF"/>
                <w:sz w:val="18"/>
                <w:szCs w:val="18"/>
              </w:rPr>
              <w:t>Predictor</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74A3A0DC" w14:textId="77777777" w:rsidR="004F50C5" w:rsidRDefault="004F50C5" w:rsidP="00C85BD5">
            <w:pPr>
              <w:jc w:val="center"/>
            </w:pPr>
            <w:r>
              <w:rPr>
                <w:b/>
                <w:bCs/>
                <w:color w:val="FFFFFF"/>
                <w:sz w:val="18"/>
                <w:szCs w:val="18"/>
              </w:rPr>
              <w:t>Standard aOR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45F0A7D" w14:textId="77777777" w:rsidR="004F50C5" w:rsidRDefault="004F50C5" w:rsidP="00C85BD5">
            <w:pPr>
              <w:jc w:val="center"/>
            </w:pPr>
            <w:r>
              <w:rPr>
                <w:b/>
                <w:bCs/>
                <w:color w:val="FFFFFF"/>
                <w:sz w:val="18"/>
                <w:szCs w:val="18"/>
              </w:rPr>
              <w:t>Standard p</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0D222CEA" w14:textId="77777777" w:rsidR="004F50C5" w:rsidRDefault="004F50C5" w:rsidP="00C85BD5">
            <w:pPr>
              <w:jc w:val="center"/>
            </w:pPr>
            <w:r>
              <w:rPr>
                <w:b/>
                <w:bCs/>
                <w:color w:val="FFFFFF"/>
                <w:sz w:val="18"/>
                <w:szCs w:val="18"/>
              </w:rPr>
              <w:t>Firth aOR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7321B5C4" w14:textId="77777777" w:rsidR="004F50C5" w:rsidRDefault="004F50C5" w:rsidP="00C85BD5">
            <w:pPr>
              <w:jc w:val="center"/>
            </w:pPr>
            <w:r>
              <w:rPr>
                <w:b/>
                <w:bCs/>
                <w:color w:val="FFFFFF"/>
                <w:sz w:val="18"/>
                <w:szCs w:val="18"/>
              </w:rPr>
              <w:t>Firth p</w:t>
            </w:r>
          </w:p>
        </w:tc>
      </w:tr>
      <w:tr w:rsidR="004F50C5" w14:paraId="3160BDDA"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59F13F2" w14:textId="77777777" w:rsidR="004F50C5" w:rsidRDefault="004F50C5" w:rsidP="00C85BD5">
            <w:r>
              <w:rPr>
                <w:sz w:val="18"/>
                <w:szCs w:val="18"/>
              </w:rPr>
              <w:t>Eosinophil ≥300 cells/µL</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2CCF0FA" w14:textId="1CDCA271" w:rsidR="004F50C5" w:rsidRDefault="004F50C5" w:rsidP="00C85BD5">
            <w:r>
              <w:rPr>
                <w:sz w:val="18"/>
                <w:szCs w:val="18"/>
              </w:rPr>
              <w:t>38.01 (3.51 to 411.9)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B4553ED" w14:textId="77777777" w:rsidR="004F50C5" w:rsidRDefault="004F50C5" w:rsidP="00C85BD5">
            <w:r>
              <w:rPr>
                <w:b/>
                <w:bCs/>
                <w:sz w:val="18"/>
                <w:szCs w:val="18"/>
              </w:rPr>
              <w:t>0.003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DB19247" w14:textId="77777777" w:rsidR="004F50C5" w:rsidRDefault="004F50C5" w:rsidP="00C85BD5">
            <w:r>
              <w:rPr>
                <w:sz w:val="18"/>
                <w:szCs w:val="18"/>
              </w:rPr>
              <w:t>12.82 (2.21 to 110.60)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04565D6" w14:textId="77777777" w:rsidR="004F50C5" w:rsidRDefault="004F50C5" w:rsidP="00C85BD5">
            <w:r>
              <w:rPr>
                <w:b/>
                <w:bCs/>
                <w:sz w:val="18"/>
                <w:szCs w:val="18"/>
              </w:rPr>
              <w:t>0.004</w:t>
            </w:r>
          </w:p>
        </w:tc>
      </w:tr>
      <w:tr w:rsidR="004F50C5" w14:paraId="4191340B"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7601874" w14:textId="77777777" w:rsidR="004F50C5" w:rsidRDefault="004F50C5" w:rsidP="00C85BD5">
            <w:r>
              <w:rPr>
                <w:sz w:val="18"/>
                <w:szCs w:val="18"/>
              </w:rPr>
              <w:t>Antidepressant use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C97062F" w14:textId="3A39F2F5" w:rsidR="004F50C5" w:rsidRDefault="004F50C5" w:rsidP="00C85BD5">
            <w:r>
              <w:rPr>
                <w:sz w:val="18"/>
                <w:szCs w:val="18"/>
              </w:rPr>
              <w:t>4.61 (1.28 to 16.62)</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8D5366D" w14:textId="77777777" w:rsidR="004F50C5" w:rsidRDefault="004F50C5" w:rsidP="00C85BD5">
            <w:r>
              <w:rPr>
                <w:b/>
                <w:bCs/>
                <w:sz w:val="18"/>
                <w:szCs w:val="18"/>
              </w:rPr>
              <w:t>0.020</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695EF75" w14:textId="77777777" w:rsidR="004F50C5" w:rsidRDefault="004F50C5" w:rsidP="00C85BD5">
            <w:r>
              <w:rPr>
                <w:sz w:val="18"/>
                <w:szCs w:val="18"/>
              </w:rPr>
              <w:t>3.21 (1.07 to 10.36)</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11018B8" w14:textId="77777777" w:rsidR="004F50C5" w:rsidRDefault="004F50C5" w:rsidP="00C85BD5">
            <w:r>
              <w:rPr>
                <w:b/>
                <w:bCs/>
                <w:sz w:val="18"/>
                <w:szCs w:val="18"/>
              </w:rPr>
              <w:t>0.037</w:t>
            </w:r>
          </w:p>
        </w:tc>
      </w:tr>
      <w:tr w:rsidR="004F50C5" w14:paraId="19EF4D68"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A8664BB" w14:textId="77777777" w:rsidR="004F50C5" w:rsidRDefault="004F50C5" w:rsidP="00C85BD5">
            <w:r>
              <w:rPr>
                <w:sz w:val="18"/>
                <w:szCs w:val="18"/>
              </w:rPr>
              <w:t>Inhaler step-up</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0D358DE" w14:textId="481055EA" w:rsidR="004F50C5" w:rsidRDefault="004F50C5" w:rsidP="00C85BD5">
            <w:r>
              <w:rPr>
                <w:sz w:val="18"/>
                <w:szCs w:val="18"/>
              </w:rPr>
              <w:t>0.06 (0.01 to 0.39)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704E4BD" w14:textId="256106F7" w:rsidR="004F50C5" w:rsidRDefault="004F50C5" w:rsidP="00C85BD5">
            <w:r>
              <w:rPr>
                <w:b/>
                <w:bCs/>
                <w:sz w:val="18"/>
                <w:szCs w:val="18"/>
              </w:rPr>
              <w:t>0.003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1C7E0F5" w14:textId="77777777" w:rsidR="004F50C5" w:rsidRDefault="004F50C5" w:rsidP="00C85BD5">
            <w:r>
              <w:rPr>
                <w:sz w:val="18"/>
                <w:szCs w:val="18"/>
              </w:rPr>
              <w:t>0.119 (0.02 to 0.54)</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C0DD69E" w14:textId="77777777" w:rsidR="004F50C5" w:rsidRDefault="004F50C5" w:rsidP="00C85BD5">
            <w:r>
              <w:rPr>
                <w:b/>
                <w:bCs/>
                <w:sz w:val="18"/>
                <w:szCs w:val="18"/>
              </w:rPr>
              <w:t>0.005</w:t>
            </w:r>
          </w:p>
        </w:tc>
      </w:tr>
      <w:tr w:rsidR="004F50C5" w14:paraId="18F92C0B"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C7958BD" w14:textId="77777777" w:rsidR="004F50C5" w:rsidRDefault="004F50C5" w:rsidP="00C85BD5">
            <w:r>
              <w:rPr>
                <w:sz w:val="18"/>
                <w:szCs w:val="18"/>
              </w:rPr>
              <w:t>FEV1 (per 1% predicted)</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64E08DA" w14:textId="1D90AC97" w:rsidR="004F50C5" w:rsidRDefault="004F50C5" w:rsidP="00C85BD5">
            <w:r>
              <w:rPr>
                <w:sz w:val="18"/>
                <w:szCs w:val="18"/>
              </w:rPr>
              <w:t>0.933 (0.89 to 0.98)</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AB663E5" w14:textId="671DA705" w:rsidR="004F50C5" w:rsidRDefault="004F50C5" w:rsidP="00C85BD5">
            <w:r>
              <w:rPr>
                <w:b/>
                <w:bCs/>
                <w:sz w:val="18"/>
                <w:szCs w:val="18"/>
              </w:rPr>
              <w:t>0.005</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22313B8" w14:textId="77777777" w:rsidR="004F50C5" w:rsidRDefault="004F50C5" w:rsidP="00C85BD5">
            <w:r>
              <w:rPr>
                <w:sz w:val="18"/>
                <w:szCs w:val="18"/>
              </w:rPr>
              <w:t>0.951 (0.91 to 0.99)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6B85747" w14:textId="77777777" w:rsidR="004F50C5" w:rsidRDefault="004F50C5" w:rsidP="00C85BD5">
            <w:r>
              <w:rPr>
                <w:b/>
                <w:bCs/>
                <w:sz w:val="18"/>
                <w:szCs w:val="18"/>
              </w:rPr>
              <w:t>0.010</w:t>
            </w:r>
          </w:p>
        </w:tc>
      </w:tr>
      <w:tr w:rsidR="004F50C5" w14:paraId="696567C6"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A1B4F2E" w14:textId="77777777" w:rsidR="004F50C5" w:rsidRDefault="004F50C5" w:rsidP="00C85BD5">
            <w:r>
              <w:rPr>
                <w:sz w:val="18"/>
                <w:szCs w:val="18"/>
              </w:rPr>
              <w:t>Follow-up attendance</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4B95F7D" w14:textId="69DAF61F" w:rsidR="004F50C5" w:rsidRDefault="004F50C5" w:rsidP="00C85BD5">
            <w:r>
              <w:rPr>
                <w:sz w:val="18"/>
                <w:szCs w:val="18"/>
              </w:rPr>
              <w:t>0.154 (0.03 to 0.79)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6913F11" w14:textId="593EEF90" w:rsidR="004F50C5" w:rsidRDefault="004F50C5" w:rsidP="00C85BD5">
            <w:r>
              <w:rPr>
                <w:b/>
                <w:bCs/>
                <w:sz w:val="18"/>
                <w:szCs w:val="18"/>
              </w:rPr>
              <w:t>0.025</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D2D1E02" w14:textId="77777777" w:rsidR="004F50C5" w:rsidRDefault="004F50C5" w:rsidP="00C85BD5">
            <w:r>
              <w:rPr>
                <w:sz w:val="18"/>
                <w:szCs w:val="18"/>
              </w:rPr>
              <w:t>0.232 (0.05 to 0.88)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6E4FA5C" w14:textId="77777777" w:rsidR="004F50C5" w:rsidRDefault="004F50C5" w:rsidP="00C85BD5">
            <w:r>
              <w:rPr>
                <w:b/>
                <w:bCs/>
                <w:sz w:val="18"/>
                <w:szCs w:val="18"/>
              </w:rPr>
              <w:t>0.031</w:t>
            </w:r>
          </w:p>
        </w:tc>
      </w:tr>
      <w:tr w:rsidR="004F50C5" w14:paraId="408AA129" w14:textId="77777777" w:rsidTr="00C85BD5">
        <w:tc>
          <w:tcPr>
            <w:tcW w:w="0" w:type="auto"/>
            <w:gridSpan w:val="5"/>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24AF44A" w14:textId="77777777" w:rsidR="004F50C5" w:rsidRDefault="004F50C5" w:rsidP="00C85BD5">
            <w:r>
              <w:rPr>
                <w:b/>
                <w:bCs/>
                <w:sz w:val="18"/>
                <w:szCs w:val="18"/>
              </w:rPr>
              <w:t>Model collinearity: maximum VIF 5.16 (home triple therapy); all other predictors &lt;2.6; mean VIF 1.89</w:t>
            </w:r>
          </w:p>
        </w:tc>
      </w:tr>
    </w:tbl>
    <w:p w14:paraId="2155797D" w14:textId="77777777" w:rsidR="004F50C5" w:rsidRDefault="004F50C5" w:rsidP="004F50C5">
      <w:pPr>
        <w:spacing w:before="300" w:after="100"/>
      </w:pPr>
      <w:r>
        <w:rPr>
          <w:b/>
          <w:bCs/>
          <w:sz w:val="22"/>
          <w:szCs w:val="22"/>
        </w:rPr>
        <w:t xml:space="preserve">Supplementary Table ST3. </w:t>
      </w:r>
      <w:r>
        <w:rPr>
          <w:sz w:val="22"/>
          <w:szCs w:val="22"/>
        </w:rPr>
        <w:t>Sensitivity analysis: multivariable model excluding FEV1 and log(pro-BNP), fit in the largest available sample.</w:t>
      </w:r>
    </w:p>
    <w:p w14:paraId="672270D9" w14:textId="77777777" w:rsidR="004F50C5" w:rsidRDefault="004F50C5" w:rsidP="004F50C5">
      <w:pPr>
        <w:spacing w:after="140"/>
      </w:pPr>
      <w:r>
        <w:rPr>
          <w:i/>
          <w:iCs/>
          <w:sz w:val="16"/>
          <w:szCs w:val="16"/>
        </w:rPr>
        <w:t>Multivariable logistic regression, n=348. Bold p-values indicate p&lt;0.05. aOR = adjusted odds ratio; CI = confidence interval.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88"/>
        <w:gridCol w:w="3501"/>
        <w:gridCol w:w="1471"/>
      </w:tblGrid>
      <w:tr w:rsidR="004F50C5" w14:paraId="5A29BADB"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F5016C4" w14:textId="77777777" w:rsidR="004F50C5" w:rsidRDefault="004F50C5" w:rsidP="00C85BD5">
            <w:pPr>
              <w:jc w:val="center"/>
            </w:pPr>
            <w:r>
              <w:rPr>
                <w:b/>
                <w:bCs/>
                <w:color w:val="FFFFFF"/>
                <w:sz w:val="18"/>
                <w:szCs w:val="18"/>
              </w:rPr>
              <w:t>Predictor</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E862031" w14:textId="77777777" w:rsidR="004F50C5" w:rsidRDefault="004F50C5" w:rsidP="00C85BD5">
            <w:pPr>
              <w:jc w:val="center"/>
            </w:pPr>
            <w:r>
              <w:rPr>
                <w:b/>
                <w:bCs/>
                <w:color w:val="FFFFFF"/>
                <w:sz w:val="18"/>
                <w:szCs w:val="18"/>
              </w:rPr>
              <w:t>aOR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6A8DBA1C" w14:textId="77777777" w:rsidR="004F50C5" w:rsidRDefault="004F50C5" w:rsidP="00C85BD5">
            <w:pPr>
              <w:jc w:val="center"/>
            </w:pPr>
            <w:r>
              <w:rPr>
                <w:b/>
                <w:bCs/>
                <w:color w:val="FFFFFF"/>
                <w:sz w:val="18"/>
                <w:szCs w:val="18"/>
              </w:rPr>
              <w:t>p</w:t>
            </w:r>
          </w:p>
        </w:tc>
      </w:tr>
      <w:tr w:rsidR="004F50C5" w14:paraId="7CA56935"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DF258F9" w14:textId="77777777" w:rsidR="004F50C5" w:rsidRDefault="004F50C5" w:rsidP="00C85BD5">
            <w:r>
              <w:rPr>
                <w:sz w:val="18"/>
                <w:szCs w:val="18"/>
              </w:rPr>
              <w:t>Eosinophil ≥300 cells/µL</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54C1423" w14:textId="77777777" w:rsidR="004F50C5" w:rsidRDefault="004F50C5" w:rsidP="00C85BD5">
            <w:r>
              <w:rPr>
                <w:sz w:val="18"/>
                <w:szCs w:val="18"/>
              </w:rPr>
              <w:t>8.97 (3.30 to 24.34)</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2AD47B9" w14:textId="77777777" w:rsidR="004F50C5" w:rsidRDefault="004F50C5" w:rsidP="00C85BD5">
            <w:r>
              <w:rPr>
                <w:b/>
                <w:bCs/>
                <w:sz w:val="18"/>
                <w:szCs w:val="18"/>
              </w:rPr>
              <w:t>&lt;0.001</w:t>
            </w:r>
          </w:p>
        </w:tc>
      </w:tr>
      <w:tr w:rsidR="004F50C5" w14:paraId="1D938E3D"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0C210C2" w14:textId="77777777" w:rsidR="004F50C5" w:rsidRDefault="004F50C5" w:rsidP="00C85BD5">
            <w:r>
              <w:rPr>
                <w:sz w:val="18"/>
                <w:szCs w:val="18"/>
              </w:rPr>
              <w:t>Antidepressant use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009E214" w14:textId="77777777" w:rsidR="004F50C5" w:rsidRDefault="004F50C5" w:rsidP="00C85BD5">
            <w:r>
              <w:rPr>
                <w:sz w:val="18"/>
                <w:szCs w:val="18"/>
              </w:rPr>
              <w:t>2.15 (1.16 to 3.97)</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632FFFD" w14:textId="77777777" w:rsidR="004F50C5" w:rsidRDefault="004F50C5" w:rsidP="00C85BD5">
            <w:r>
              <w:rPr>
                <w:b/>
                <w:bCs/>
                <w:sz w:val="18"/>
                <w:szCs w:val="18"/>
              </w:rPr>
              <w:t>0.015</w:t>
            </w:r>
          </w:p>
        </w:tc>
      </w:tr>
      <w:tr w:rsidR="004F50C5" w14:paraId="77B66D50"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0C4816B" w14:textId="77777777" w:rsidR="004F50C5" w:rsidRDefault="004F50C5" w:rsidP="00C85BD5">
            <w:r>
              <w:rPr>
                <w:sz w:val="18"/>
                <w:szCs w:val="18"/>
              </w:rPr>
              <w:t>Inhaler step-up</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DA5B5BF" w14:textId="77777777" w:rsidR="004F50C5" w:rsidRDefault="004F50C5" w:rsidP="00C85BD5">
            <w:r>
              <w:rPr>
                <w:sz w:val="18"/>
                <w:szCs w:val="18"/>
              </w:rPr>
              <w:t>0.16 (0.07 to 0.35)</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93A2BFD" w14:textId="77777777" w:rsidR="004F50C5" w:rsidRDefault="004F50C5" w:rsidP="00C85BD5">
            <w:r>
              <w:rPr>
                <w:b/>
                <w:bCs/>
                <w:sz w:val="18"/>
                <w:szCs w:val="18"/>
              </w:rPr>
              <w:t>&lt;0.001</w:t>
            </w:r>
          </w:p>
        </w:tc>
      </w:tr>
      <w:tr w:rsidR="004F50C5" w14:paraId="0AD3365F"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C8C7F30" w14:textId="77777777" w:rsidR="004F50C5" w:rsidRDefault="004F50C5" w:rsidP="00C85BD5">
            <w:r>
              <w:rPr>
                <w:sz w:val="18"/>
                <w:szCs w:val="18"/>
              </w:rPr>
              <w:t>Follow-up attendance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4F82849" w14:textId="77777777" w:rsidR="004F50C5" w:rsidRDefault="004F50C5" w:rsidP="00C85BD5">
            <w:r>
              <w:rPr>
                <w:sz w:val="18"/>
                <w:szCs w:val="18"/>
              </w:rPr>
              <w:t>0.32 (0.16 to 0.67)</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5F2E35CF" w14:textId="77777777" w:rsidR="004F50C5" w:rsidRDefault="004F50C5" w:rsidP="00C85BD5">
            <w:r>
              <w:rPr>
                <w:b/>
                <w:bCs/>
                <w:sz w:val="18"/>
                <w:szCs w:val="18"/>
              </w:rPr>
              <w:t>0.002</w:t>
            </w:r>
          </w:p>
        </w:tc>
      </w:tr>
      <w:tr w:rsidR="004F50C5" w14:paraId="161030D3"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3D98AC4" w14:textId="77777777" w:rsidR="004F50C5" w:rsidRDefault="004F50C5" w:rsidP="00C85BD5">
            <w:r>
              <w:rPr>
                <w:sz w:val="18"/>
                <w:szCs w:val="18"/>
              </w:rPr>
              <w:t>ICS addition at discharge</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BAD5A25" w14:textId="77777777" w:rsidR="004F50C5" w:rsidRDefault="004F50C5" w:rsidP="00C85BD5">
            <w:r>
              <w:rPr>
                <w:sz w:val="18"/>
                <w:szCs w:val="18"/>
              </w:rPr>
              <w:t>0.13 (0.04 to 0.45)</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4680839" w14:textId="77777777" w:rsidR="004F50C5" w:rsidRDefault="004F50C5" w:rsidP="00C85BD5">
            <w:r>
              <w:rPr>
                <w:b/>
                <w:bCs/>
                <w:sz w:val="18"/>
                <w:szCs w:val="18"/>
              </w:rPr>
              <w:t>0.001</w:t>
            </w:r>
          </w:p>
        </w:tc>
      </w:tr>
      <w:tr w:rsidR="004F50C5" w14:paraId="1577DA78"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62DD863" w14:textId="77777777" w:rsidR="004F50C5" w:rsidRDefault="004F50C5" w:rsidP="00C85BD5">
            <w:r>
              <w:rPr>
                <w:sz w:val="18"/>
                <w:szCs w:val="18"/>
              </w:rPr>
              <w:t>Sex (male)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7D2F741" w14:textId="77777777" w:rsidR="004F50C5" w:rsidRDefault="004F50C5" w:rsidP="00C85BD5">
            <w:r>
              <w:rPr>
                <w:sz w:val="18"/>
                <w:szCs w:val="18"/>
              </w:rPr>
              <w:t>2.00 (1.12 to 3.55)</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3642F4F" w14:textId="77777777" w:rsidR="004F50C5" w:rsidRDefault="004F50C5" w:rsidP="00C85BD5">
            <w:r>
              <w:rPr>
                <w:b/>
                <w:bCs/>
                <w:sz w:val="18"/>
                <w:szCs w:val="18"/>
              </w:rPr>
              <w:t>0.018</w:t>
            </w:r>
          </w:p>
        </w:tc>
      </w:tr>
    </w:tbl>
    <w:p w14:paraId="3204EF3B" w14:textId="77777777" w:rsidR="004F50C5" w:rsidRDefault="004F50C5" w:rsidP="004F50C5">
      <w:pPr>
        <w:spacing w:before="300" w:after="100"/>
      </w:pPr>
      <w:r>
        <w:rPr>
          <w:b/>
          <w:bCs/>
          <w:sz w:val="22"/>
          <w:szCs w:val="22"/>
        </w:rPr>
        <w:t xml:space="preserve">Supplementary Table ST4. </w:t>
      </w:r>
      <w:r>
        <w:rPr>
          <w:sz w:val="22"/>
          <w:szCs w:val="22"/>
        </w:rPr>
        <w:t>Multiple imputation by chained equations (m=20), pooled by Rubin's rules, compared with the complete-case primary model.</w:t>
      </w:r>
    </w:p>
    <w:p w14:paraId="025A88C6" w14:textId="77777777" w:rsidR="004F50C5" w:rsidRDefault="004F50C5" w:rsidP="004F50C5">
      <w:pPr>
        <w:spacing w:after="140"/>
      </w:pPr>
      <w:r>
        <w:rPr>
          <w:i/>
          <w:iCs/>
          <w:sz w:val="16"/>
          <w:szCs w:val="16"/>
        </w:rPr>
        <w:t>FMI = fraction of missing information. Bold p-values indicate p&lt;0.05. A dash indicates a value not applicable or not directly comparable.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957"/>
        <w:gridCol w:w="2584"/>
        <w:gridCol w:w="805"/>
        <w:gridCol w:w="614"/>
      </w:tblGrid>
      <w:tr w:rsidR="004F50C5" w14:paraId="3FE20A99"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663DBB57" w14:textId="77777777" w:rsidR="004F50C5" w:rsidRDefault="004F50C5" w:rsidP="00C85BD5">
            <w:pPr>
              <w:jc w:val="center"/>
            </w:pPr>
            <w:r>
              <w:rPr>
                <w:b/>
                <w:bCs/>
                <w:color w:val="FFFFFF"/>
                <w:sz w:val="18"/>
                <w:szCs w:val="18"/>
              </w:rPr>
              <w:lastRenderedPageBreak/>
              <w:t>Predictor</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6948E746" w14:textId="77777777" w:rsidR="004F50C5" w:rsidRDefault="004F50C5" w:rsidP="00C85BD5">
            <w:pPr>
              <w:jc w:val="center"/>
            </w:pPr>
            <w:r>
              <w:rPr>
                <w:b/>
                <w:bCs/>
                <w:color w:val="FFFFFF"/>
                <w:sz w:val="18"/>
                <w:szCs w:val="18"/>
              </w:rPr>
              <w:t>Complete-case aOR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CDD6423" w14:textId="77777777" w:rsidR="004F50C5" w:rsidRDefault="004F50C5" w:rsidP="00C85BD5">
            <w:pPr>
              <w:jc w:val="center"/>
            </w:pPr>
            <w:r>
              <w:rPr>
                <w:b/>
                <w:bCs/>
                <w:color w:val="FFFFFF"/>
                <w:sz w:val="18"/>
                <w:szCs w:val="18"/>
              </w:rPr>
              <w:t>MI-pooled aOR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4576848" w14:textId="77777777" w:rsidR="004F50C5" w:rsidRDefault="004F50C5" w:rsidP="00C85BD5">
            <w:pPr>
              <w:jc w:val="center"/>
            </w:pPr>
            <w:r>
              <w:rPr>
                <w:b/>
                <w:bCs/>
                <w:color w:val="FFFFFF"/>
                <w:sz w:val="18"/>
                <w:szCs w:val="18"/>
              </w:rPr>
              <w:t>MI p</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68487CA1" w14:textId="77777777" w:rsidR="004F50C5" w:rsidRDefault="004F50C5" w:rsidP="00C85BD5">
            <w:pPr>
              <w:jc w:val="center"/>
            </w:pPr>
            <w:r>
              <w:rPr>
                <w:b/>
                <w:bCs/>
                <w:color w:val="FFFFFF"/>
                <w:sz w:val="18"/>
                <w:szCs w:val="18"/>
              </w:rPr>
              <w:t>FMI</w:t>
            </w:r>
          </w:p>
        </w:tc>
      </w:tr>
      <w:tr w:rsidR="004F50C5" w14:paraId="2F4CAF41"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DBD6ED0" w14:textId="77777777" w:rsidR="004F50C5" w:rsidRDefault="004F50C5" w:rsidP="00C85BD5">
            <w:r>
              <w:rPr>
                <w:sz w:val="18"/>
                <w:szCs w:val="18"/>
              </w:rPr>
              <w:t>Eosinophil ≥300 cells/µL</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7511C98" w14:textId="77777777" w:rsidR="004F50C5" w:rsidRDefault="004F50C5" w:rsidP="00C85BD5">
            <w:r>
              <w:rPr>
                <w:sz w:val="18"/>
                <w:szCs w:val="18"/>
              </w:rPr>
              <w:t>38.01 (3.51 to 411.88)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DC2D6CD" w14:textId="77777777" w:rsidR="004F50C5" w:rsidRDefault="004F50C5" w:rsidP="00C85BD5">
            <w:r>
              <w:rPr>
                <w:sz w:val="18"/>
                <w:szCs w:val="18"/>
              </w:rPr>
              <w:t>11.77 (4.05 to 34.24)</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6B73950" w14:textId="77777777" w:rsidR="004F50C5" w:rsidRDefault="004F50C5" w:rsidP="00C85BD5">
            <w:r>
              <w:rPr>
                <w:b/>
                <w:bCs/>
                <w:sz w:val="18"/>
                <w:szCs w:val="18"/>
              </w:rPr>
              <w:t>&lt;0.001</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E1E6670" w14:textId="77777777" w:rsidR="004F50C5" w:rsidRDefault="004F50C5" w:rsidP="00C85BD5">
            <w:r>
              <w:rPr>
                <w:sz w:val="18"/>
                <w:szCs w:val="18"/>
              </w:rPr>
              <w:t>0.09</w:t>
            </w:r>
          </w:p>
        </w:tc>
      </w:tr>
      <w:tr w:rsidR="004F50C5" w14:paraId="378032CE"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BEC1EEA" w14:textId="77777777" w:rsidR="004F50C5" w:rsidRDefault="004F50C5" w:rsidP="00C85BD5">
            <w:r>
              <w:rPr>
                <w:sz w:val="18"/>
                <w:szCs w:val="18"/>
              </w:rPr>
              <w:t>Antidepressant use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C6AC9BB" w14:textId="77777777" w:rsidR="004F50C5" w:rsidRDefault="004F50C5" w:rsidP="00C85BD5">
            <w:r>
              <w:rPr>
                <w:sz w:val="18"/>
                <w:szCs w:val="18"/>
              </w:rPr>
              <w:t>4.61 (1.28 to 16.62)</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47C9D2CA" w14:textId="77777777" w:rsidR="004F50C5" w:rsidRDefault="004F50C5" w:rsidP="00C85BD5">
            <w:r>
              <w:rPr>
                <w:sz w:val="18"/>
                <w:szCs w:val="18"/>
              </w:rPr>
              <w:t>2.22 (1.17 to 4.21)</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4A870A4" w14:textId="77777777" w:rsidR="004F50C5" w:rsidRDefault="004F50C5" w:rsidP="00C85BD5">
            <w:r>
              <w:rPr>
                <w:b/>
                <w:bCs/>
                <w:sz w:val="18"/>
                <w:szCs w:val="18"/>
              </w:rPr>
              <w:t>0.014</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CF61493" w14:textId="77777777" w:rsidR="004F50C5" w:rsidRDefault="004F50C5" w:rsidP="00C85BD5">
            <w:r>
              <w:rPr>
                <w:sz w:val="18"/>
                <w:szCs w:val="18"/>
              </w:rPr>
              <w:t>0.05</w:t>
            </w:r>
          </w:p>
        </w:tc>
      </w:tr>
      <w:tr w:rsidR="004F50C5" w14:paraId="6AC43104"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C29D5C9" w14:textId="77777777" w:rsidR="004F50C5" w:rsidRDefault="004F50C5" w:rsidP="00C85BD5">
            <w:r>
              <w:rPr>
                <w:sz w:val="18"/>
                <w:szCs w:val="18"/>
              </w:rPr>
              <w:t>Inhaler step-up</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BFB6EC3" w14:textId="77777777" w:rsidR="004F50C5" w:rsidRDefault="004F50C5" w:rsidP="00C85BD5">
            <w:r>
              <w:rPr>
                <w:sz w:val="18"/>
                <w:szCs w:val="18"/>
              </w:rPr>
              <w:t>0.061 (0.010 to 0.388)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7D51A82" w14:textId="77777777" w:rsidR="004F50C5" w:rsidRDefault="004F50C5" w:rsidP="00C85BD5">
            <w:r>
              <w:rPr>
                <w:sz w:val="18"/>
                <w:szCs w:val="18"/>
              </w:rPr>
              <w:t>0.162 (0.071 to 0.367)</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566EE2E" w14:textId="77777777" w:rsidR="004F50C5" w:rsidRDefault="004F50C5" w:rsidP="00C85BD5">
            <w:r>
              <w:rPr>
                <w:b/>
                <w:bCs/>
                <w:sz w:val="18"/>
                <w:szCs w:val="18"/>
              </w:rPr>
              <w:t>&lt;0.001</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8CC256B" w14:textId="77777777" w:rsidR="004F50C5" w:rsidRDefault="004F50C5" w:rsidP="00C85BD5">
            <w:r>
              <w:rPr>
                <w:sz w:val="18"/>
                <w:szCs w:val="18"/>
              </w:rPr>
              <w:t>0.04</w:t>
            </w:r>
          </w:p>
        </w:tc>
      </w:tr>
      <w:tr w:rsidR="004F50C5" w14:paraId="0EAA64E1"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3995AAC" w14:textId="77777777" w:rsidR="004F50C5" w:rsidRDefault="004F50C5" w:rsidP="00C85BD5">
            <w:r>
              <w:rPr>
                <w:sz w:val="18"/>
                <w:szCs w:val="18"/>
              </w:rPr>
              <w:t>FEV1 (per 1% predicted)</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D382179" w14:textId="77777777" w:rsidR="004F50C5" w:rsidRDefault="004F50C5" w:rsidP="00C85BD5">
            <w:r>
              <w:rPr>
                <w:sz w:val="18"/>
                <w:szCs w:val="18"/>
              </w:rPr>
              <w:t>0.932 (0.887 to 0.979)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5D68E025" w14:textId="77777777" w:rsidR="004F50C5" w:rsidRDefault="004F50C5" w:rsidP="00C85BD5">
            <w:r>
              <w:rPr>
                <w:sz w:val="18"/>
                <w:szCs w:val="18"/>
              </w:rPr>
              <w:t>0.970 (0.943 to 0.998)</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B6BC655" w14:textId="77777777" w:rsidR="004F50C5" w:rsidRDefault="004F50C5" w:rsidP="00C85BD5">
            <w:r>
              <w:rPr>
                <w:b/>
                <w:bCs/>
                <w:sz w:val="18"/>
                <w:szCs w:val="18"/>
              </w:rPr>
              <w:t>0.034</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0A46B05" w14:textId="77777777" w:rsidR="004F50C5" w:rsidRDefault="004F50C5" w:rsidP="00C85BD5">
            <w:r>
              <w:rPr>
                <w:sz w:val="18"/>
                <w:szCs w:val="18"/>
              </w:rPr>
              <w:t>0.50</w:t>
            </w:r>
          </w:p>
        </w:tc>
      </w:tr>
      <w:tr w:rsidR="004F50C5" w14:paraId="3E6327E1"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9ECB8D9" w14:textId="77777777" w:rsidR="004F50C5" w:rsidRDefault="004F50C5" w:rsidP="00C85BD5">
            <w:r>
              <w:rPr>
                <w:sz w:val="18"/>
                <w:szCs w:val="18"/>
              </w:rPr>
              <w:t>Follow-up attendance</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97C1DA5" w14:textId="77777777" w:rsidR="004F50C5" w:rsidRDefault="004F50C5" w:rsidP="00C85BD5">
            <w:r>
              <w:rPr>
                <w:sz w:val="18"/>
                <w:szCs w:val="18"/>
              </w:rPr>
              <w:t>0.160 (0.033 to 0.791)</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98A215A" w14:textId="77777777" w:rsidR="004F50C5" w:rsidRDefault="004F50C5" w:rsidP="00C85BD5">
            <w:r>
              <w:rPr>
                <w:sz w:val="18"/>
                <w:szCs w:val="18"/>
              </w:rPr>
              <w:t>0.347 (0.161 to 0.747)</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32E4E71" w14:textId="77777777" w:rsidR="004F50C5" w:rsidRDefault="004F50C5" w:rsidP="00C85BD5">
            <w:r>
              <w:rPr>
                <w:b/>
                <w:bCs/>
                <w:sz w:val="18"/>
                <w:szCs w:val="18"/>
              </w:rPr>
              <w:t>0.007</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284093D" w14:textId="77777777" w:rsidR="004F50C5" w:rsidRDefault="004F50C5" w:rsidP="00C85BD5">
            <w:r>
              <w:rPr>
                <w:sz w:val="18"/>
                <w:szCs w:val="18"/>
              </w:rPr>
              <w:t>0.06</w:t>
            </w:r>
          </w:p>
        </w:tc>
      </w:tr>
      <w:tr w:rsidR="004F50C5" w14:paraId="06D7B818"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CFDAE7D" w14:textId="77777777" w:rsidR="004F50C5" w:rsidRDefault="004F50C5" w:rsidP="00C85BD5">
            <w:r>
              <w:rPr>
                <w:sz w:val="18"/>
                <w:szCs w:val="18"/>
              </w:rPr>
              <w:t>ICS addition at discharge</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B1BE3C1" w14:textId="77777777" w:rsidR="004F50C5" w:rsidRDefault="004F50C5" w:rsidP="00C85BD5">
            <w:r>
              <w:rPr>
                <w:sz w:val="18"/>
                <w:szCs w:val="18"/>
              </w:rPr>
              <w:t>not significant</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7FD1DC8" w14:textId="77777777" w:rsidR="004F50C5" w:rsidRDefault="004F50C5" w:rsidP="00C85BD5">
            <w:r>
              <w:rPr>
                <w:sz w:val="18"/>
                <w:szCs w:val="18"/>
              </w:rPr>
              <w:t>0.127 (0.035 to 0.457)</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46C641C" w14:textId="77777777" w:rsidR="004F50C5" w:rsidRDefault="004F50C5" w:rsidP="00C85BD5">
            <w:r>
              <w:rPr>
                <w:b/>
                <w:bCs/>
                <w:sz w:val="18"/>
                <w:szCs w:val="18"/>
              </w:rPr>
              <w:t>0.002</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D4979EF" w14:textId="77777777" w:rsidR="004F50C5" w:rsidRDefault="004F50C5" w:rsidP="00C85BD5">
            <w:r>
              <w:rPr>
                <w:sz w:val="18"/>
                <w:szCs w:val="18"/>
              </w:rPr>
              <w:t>0.06</w:t>
            </w:r>
          </w:p>
        </w:tc>
      </w:tr>
      <w:tr w:rsidR="004F50C5" w14:paraId="78C0B51A"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CBE2459" w14:textId="77777777" w:rsidR="004F50C5" w:rsidRDefault="004F50C5" w:rsidP="00C85BD5">
            <w:r>
              <w:rPr>
                <w:sz w:val="18"/>
                <w:szCs w:val="18"/>
              </w:rPr>
              <w:t>Sex (male)</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5852394" w14:textId="77777777" w:rsidR="004F50C5" w:rsidRDefault="004F50C5" w:rsidP="00C85BD5">
            <w:r>
              <w:rPr>
                <w:sz w:val="18"/>
                <w:szCs w:val="18"/>
              </w:rPr>
              <w:t>not significant</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FB2B5EA" w14:textId="77777777" w:rsidR="004F50C5" w:rsidRDefault="004F50C5" w:rsidP="00C85BD5">
            <w:r>
              <w:rPr>
                <w:sz w:val="18"/>
                <w:szCs w:val="18"/>
              </w:rPr>
              <w:t>1.92 (1.06 to 3.48)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5F9A0FC" w14:textId="77777777" w:rsidR="004F50C5" w:rsidRDefault="004F50C5" w:rsidP="00C85BD5">
            <w:r>
              <w:rPr>
                <w:b/>
                <w:bCs/>
                <w:sz w:val="18"/>
                <w:szCs w:val="18"/>
              </w:rPr>
              <w:t>0.033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4A1A841" w14:textId="77777777" w:rsidR="004F50C5" w:rsidRDefault="004F50C5" w:rsidP="00C85BD5">
            <w:r>
              <w:rPr>
                <w:sz w:val="18"/>
                <w:szCs w:val="18"/>
              </w:rPr>
              <w:t>0.03</w:t>
            </w:r>
          </w:p>
        </w:tc>
      </w:tr>
      <w:tr w:rsidR="004F50C5" w14:paraId="38829E95"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3F0B171" w14:textId="77777777" w:rsidR="004F50C5" w:rsidRDefault="004F50C5" w:rsidP="00C85BD5">
            <w:r>
              <w:rPr>
                <w:sz w:val="18"/>
                <w:szCs w:val="18"/>
              </w:rPr>
              <w:t>Discharge triple therapy</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3D3ED6E" w14:textId="77777777" w:rsidR="004F50C5" w:rsidRDefault="004F50C5" w:rsidP="00C85BD5">
            <w:r>
              <w:rPr>
                <w:sz w:val="18"/>
                <w:szCs w:val="18"/>
              </w:rPr>
              <w:t>significant</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44486356" w14:textId="77777777" w:rsidR="004F50C5" w:rsidRDefault="004F50C5" w:rsidP="00C85BD5">
            <w:r>
              <w:rPr>
                <w:sz w:val="18"/>
                <w:szCs w:val="18"/>
              </w:rPr>
              <w:t>not significant</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817B3EF"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05E9B90" w14:textId="77777777" w:rsidR="004F50C5" w:rsidRDefault="004F50C5" w:rsidP="00C85BD5">
            <w:r>
              <w:rPr>
                <w:sz w:val="18"/>
                <w:szCs w:val="18"/>
              </w:rPr>
              <w:t>0.07</w:t>
            </w:r>
          </w:p>
        </w:tc>
      </w:tr>
      <w:tr w:rsidR="004F50C5" w14:paraId="1A77F20A"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60A879C" w14:textId="77777777" w:rsidR="004F50C5" w:rsidRDefault="004F50C5" w:rsidP="00C85BD5">
            <w:r>
              <w:rPr>
                <w:sz w:val="18"/>
                <w:szCs w:val="18"/>
              </w:rPr>
              <w:t>log(pro-BNP)</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D01181A"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E0692A3"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D342DFD"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5D51448" w14:textId="77777777" w:rsidR="004F50C5" w:rsidRDefault="004F50C5" w:rsidP="00C85BD5">
            <w:r>
              <w:rPr>
                <w:sz w:val="18"/>
                <w:szCs w:val="18"/>
              </w:rPr>
              <w:t>0.28</w:t>
            </w:r>
          </w:p>
        </w:tc>
      </w:tr>
    </w:tbl>
    <w:p w14:paraId="068D21FC" w14:textId="77777777" w:rsidR="004F50C5" w:rsidRDefault="004F50C5" w:rsidP="004F50C5">
      <w:pPr>
        <w:spacing w:before="300" w:after="100"/>
      </w:pPr>
      <w:r>
        <w:rPr>
          <w:b/>
          <w:bCs/>
          <w:sz w:val="22"/>
          <w:szCs w:val="22"/>
        </w:rPr>
        <w:t xml:space="preserve">Supplementary Table ST5. </w:t>
      </w:r>
      <w:r>
        <w:rPr>
          <w:sz w:val="22"/>
          <w:szCs w:val="22"/>
        </w:rPr>
        <w:t>Blood eosinophil count modelled continuously (per 100 cells/µL increase) as a linear alternative to the ≥300 cells/µL threshold.</w:t>
      </w:r>
    </w:p>
    <w:p w14:paraId="6F5D646F" w14:textId="77777777" w:rsidR="004F50C5" w:rsidRDefault="004F50C5" w:rsidP="004F50C5">
      <w:pPr>
        <w:spacing w:after="140"/>
      </w:pPr>
      <w:r>
        <w:rPr>
          <w:i/>
          <w:iCs/>
          <w:sz w:val="16"/>
          <w:szCs w:val="16"/>
        </w:rPr>
        <w:t>Bold p-values indicate p&lt;0.05.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79"/>
        <w:gridCol w:w="2908"/>
        <w:gridCol w:w="787"/>
        <w:gridCol w:w="506"/>
        <w:gridCol w:w="3480"/>
      </w:tblGrid>
      <w:tr w:rsidR="004F50C5" w14:paraId="19081BA6"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6CE2F6C0" w14:textId="77777777" w:rsidR="004F50C5" w:rsidRDefault="004F50C5" w:rsidP="00C85BD5">
            <w:pPr>
              <w:jc w:val="center"/>
            </w:pPr>
            <w:r>
              <w:rPr>
                <w:b/>
                <w:bCs/>
                <w:color w:val="FFFFFF"/>
                <w:sz w:val="18"/>
                <w:szCs w:val="18"/>
              </w:rPr>
              <w:t>Model</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5A210A7A" w14:textId="77777777" w:rsidR="004F50C5" w:rsidRDefault="004F50C5" w:rsidP="00C85BD5">
            <w:pPr>
              <w:jc w:val="center"/>
            </w:pPr>
            <w:r>
              <w:rPr>
                <w:b/>
                <w:bCs/>
                <w:color w:val="FFFFFF"/>
                <w:sz w:val="18"/>
                <w:szCs w:val="18"/>
              </w:rPr>
              <w:t>OR per 100 cells/µL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09BC55C" w14:textId="77777777" w:rsidR="004F50C5" w:rsidRDefault="004F50C5" w:rsidP="00C85BD5">
            <w:pPr>
              <w:jc w:val="center"/>
            </w:pPr>
            <w:r>
              <w:rPr>
                <w:b/>
                <w:bCs/>
                <w:color w:val="FFFFFF"/>
                <w:sz w:val="18"/>
                <w:szCs w:val="18"/>
              </w:rPr>
              <w:t>p</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32EF2880" w14:textId="77777777" w:rsidR="004F50C5" w:rsidRDefault="004F50C5" w:rsidP="00C85BD5">
            <w:pPr>
              <w:jc w:val="center"/>
            </w:pPr>
            <w:r>
              <w:rPr>
                <w:b/>
                <w:bCs/>
                <w:color w:val="FFFFFF"/>
                <w:sz w:val="18"/>
                <w:szCs w:val="18"/>
              </w:rPr>
              <w:t>n</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1BF17452" w14:textId="77777777" w:rsidR="004F50C5" w:rsidRDefault="004F50C5" w:rsidP="00C85BD5">
            <w:pPr>
              <w:jc w:val="center"/>
            </w:pPr>
            <w:r>
              <w:rPr>
                <w:b/>
                <w:bCs/>
                <w:color w:val="FFFFFF"/>
                <w:sz w:val="18"/>
                <w:szCs w:val="18"/>
              </w:rPr>
              <w:t>Note</w:t>
            </w:r>
          </w:p>
        </w:tc>
      </w:tr>
      <w:tr w:rsidR="004F50C5" w14:paraId="21E53C4E"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7196913" w14:textId="77777777" w:rsidR="004F50C5" w:rsidRDefault="004F50C5" w:rsidP="00C85BD5">
            <w:r>
              <w:rPr>
                <w:sz w:val="18"/>
                <w:szCs w:val="18"/>
              </w:rPr>
              <w:t>Univariate</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4E0D977" w14:textId="77777777" w:rsidR="004F50C5" w:rsidRDefault="004F50C5" w:rsidP="00C85BD5">
            <w:r>
              <w:rPr>
                <w:sz w:val="18"/>
                <w:szCs w:val="18"/>
              </w:rPr>
              <w:t>2.85 (2.13 to 3.80)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10382B8" w14:textId="77777777" w:rsidR="004F50C5" w:rsidRDefault="004F50C5" w:rsidP="00C85BD5">
            <w:r>
              <w:rPr>
                <w:b/>
                <w:bCs/>
                <w:sz w:val="18"/>
                <w:szCs w:val="18"/>
              </w:rPr>
              <w:t>&lt;0.001</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EBABA8B" w14:textId="77777777" w:rsidR="004F50C5" w:rsidRDefault="004F50C5" w:rsidP="00C85BD5">
            <w:r>
              <w:rPr>
                <w:sz w:val="18"/>
                <w:szCs w:val="18"/>
              </w:rPr>
              <w:t>352</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C9316FA" w14:textId="77777777" w:rsidR="004F50C5" w:rsidRDefault="004F50C5" w:rsidP="00C85BD5">
            <w:r>
              <w:rPr>
                <w:sz w:val="18"/>
                <w:szCs w:val="18"/>
              </w:rPr>
              <w:t>Full cohort</w:t>
            </w:r>
          </w:p>
        </w:tc>
      </w:tr>
      <w:tr w:rsidR="004F50C5" w14:paraId="0A1220E9"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2473AC0" w14:textId="77777777" w:rsidR="004F50C5" w:rsidRDefault="004F50C5" w:rsidP="00C85BD5">
            <w:r>
              <w:rPr>
                <w:sz w:val="18"/>
                <w:szCs w:val="18"/>
              </w:rPr>
              <w:t>Sensitivity model</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1A5BD5B" w14:textId="77777777" w:rsidR="004F50C5" w:rsidRDefault="004F50C5" w:rsidP="00C85BD5">
            <w:r>
              <w:rPr>
                <w:sz w:val="18"/>
                <w:szCs w:val="18"/>
              </w:rPr>
              <w:t>4.85 (3.14 to 7.49)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E5E0B39" w14:textId="77777777" w:rsidR="004F50C5" w:rsidRDefault="004F50C5" w:rsidP="00C85BD5">
            <w:r>
              <w:rPr>
                <w:b/>
                <w:bCs/>
                <w:sz w:val="18"/>
                <w:szCs w:val="18"/>
              </w:rPr>
              <w:t>&lt;0.001</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8E16844" w14:textId="77777777" w:rsidR="004F50C5" w:rsidRDefault="004F50C5" w:rsidP="00C85BD5">
            <w:r>
              <w:rPr>
                <w:sz w:val="18"/>
                <w:szCs w:val="18"/>
              </w:rPr>
              <w:t>348</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A69DB62" w14:textId="77777777" w:rsidR="004F50C5" w:rsidRDefault="004F50C5" w:rsidP="00C85BD5">
            <w:r>
              <w:rPr>
                <w:sz w:val="18"/>
                <w:szCs w:val="18"/>
              </w:rPr>
              <w:t>Excludes FEV1, log(pro-BNP)</w:t>
            </w:r>
          </w:p>
        </w:tc>
      </w:tr>
      <w:tr w:rsidR="004F50C5" w14:paraId="74E9AD36"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4854A1B" w14:textId="77777777" w:rsidR="004F50C5" w:rsidRDefault="004F50C5" w:rsidP="00C85BD5">
            <w:r>
              <w:rPr>
                <w:sz w:val="18"/>
                <w:szCs w:val="18"/>
              </w:rPr>
              <w:t>Primary model</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878E83E" w14:textId="77777777" w:rsidR="004F50C5" w:rsidRDefault="004F50C5" w:rsidP="00C85BD5">
            <w:r>
              <w:rPr>
                <w:sz w:val="18"/>
                <w:szCs w:val="18"/>
              </w:rPr>
              <w:t>did not converge reliably</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17264DF"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C948A63" w14:textId="77777777" w:rsidR="004F50C5" w:rsidRDefault="004F50C5" w:rsidP="00C85BD5">
            <w:r>
              <w:rPr>
                <w:sz w:val="18"/>
                <w:szCs w:val="18"/>
              </w:rPr>
              <w:t>135</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98DEDD4" w14:textId="77777777" w:rsidR="004F50C5" w:rsidRDefault="004F50C5" w:rsidP="00C85BD5">
            <w:r>
              <w:rPr>
                <w:sz w:val="18"/>
                <w:szCs w:val="18"/>
              </w:rPr>
              <w:t>Consistent with low EPV; not reported</w:t>
            </w:r>
          </w:p>
        </w:tc>
      </w:tr>
    </w:tbl>
    <w:p w14:paraId="43A6F098" w14:textId="77777777" w:rsidR="004F50C5" w:rsidRDefault="004F50C5" w:rsidP="004F50C5">
      <w:pPr>
        <w:spacing w:before="300" w:after="100"/>
      </w:pPr>
      <w:r>
        <w:rPr>
          <w:b/>
          <w:bCs/>
          <w:sz w:val="22"/>
          <w:szCs w:val="22"/>
        </w:rPr>
        <w:t xml:space="preserve">Supplementary Table ST6. </w:t>
      </w:r>
      <w:r>
        <w:rPr>
          <w:sz w:val="22"/>
          <w:szCs w:val="22"/>
        </w:rPr>
        <w:t>Characterization of 30-day respiratory readmissions among cases.</w:t>
      </w:r>
    </w:p>
    <w:p w14:paraId="7668DA59" w14:textId="77777777" w:rsidR="004F50C5" w:rsidRDefault="004F50C5" w:rsidP="004F50C5">
      <w:pPr>
        <w:spacing w:after="140"/>
      </w:pPr>
      <w:r>
        <w:rPr>
          <w:i/>
          <w:iCs/>
          <w:sz w:val="16"/>
          <w:szCs w:val="16"/>
        </w:rPr>
        <w:t>n=150 cases; overlap between causes was permitted, so percentages sum to more than 100%. Respiratory failure was not treated as a standalone diagnosis; such readmissions were classified by their underlying cause. ICU and mortality denominators are 149 owing to one missing record. IQR = interquartile range.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335"/>
        <w:gridCol w:w="1735"/>
        <w:gridCol w:w="1290"/>
      </w:tblGrid>
      <w:tr w:rsidR="004F50C5" w14:paraId="1BD92A7C"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F8D6E16" w14:textId="77777777" w:rsidR="004F50C5" w:rsidRDefault="004F50C5" w:rsidP="00C85BD5">
            <w:pPr>
              <w:jc w:val="center"/>
            </w:pPr>
            <w:r>
              <w:rPr>
                <w:b/>
                <w:bCs/>
                <w:color w:val="FFFFFF"/>
                <w:sz w:val="18"/>
                <w:szCs w:val="18"/>
              </w:rPr>
              <w:t>Characteristic</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5FC50F3E" w14:textId="77777777" w:rsidR="004F50C5" w:rsidRDefault="004F50C5" w:rsidP="00C85BD5">
            <w:pPr>
              <w:jc w:val="center"/>
            </w:pPr>
            <w:r>
              <w:rPr>
                <w:b/>
                <w:bCs/>
                <w:color w:val="FFFFFF"/>
                <w:sz w:val="18"/>
                <w:szCs w:val="18"/>
              </w:rPr>
              <w:t>n / total</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5E6A1C8" w14:textId="77777777" w:rsidR="004F50C5" w:rsidRDefault="004F50C5" w:rsidP="00C85BD5">
            <w:pPr>
              <w:jc w:val="center"/>
            </w:pPr>
            <w:r>
              <w:rPr>
                <w:b/>
                <w:bCs/>
                <w:color w:val="FFFFFF"/>
                <w:sz w:val="18"/>
                <w:szCs w:val="18"/>
              </w:rPr>
              <w:t>%</w:t>
            </w:r>
          </w:p>
        </w:tc>
      </w:tr>
      <w:tr w:rsidR="004F50C5" w14:paraId="2205649A" w14:textId="77777777" w:rsidTr="00C85BD5">
        <w:tc>
          <w:tcPr>
            <w:tcW w:w="0" w:type="auto"/>
            <w:gridSpan w:val="3"/>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53F8CB1" w14:textId="77777777" w:rsidR="004F50C5" w:rsidRDefault="004F50C5" w:rsidP="00C85BD5">
            <w:r>
              <w:rPr>
                <w:b/>
                <w:bCs/>
                <w:sz w:val="18"/>
                <w:szCs w:val="18"/>
              </w:rPr>
              <w:t>Readmission cause</w:t>
            </w:r>
          </w:p>
        </w:tc>
      </w:tr>
      <w:tr w:rsidR="004F50C5" w14:paraId="76DF7F8C"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3F13CFD" w14:textId="77777777" w:rsidR="004F50C5" w:rsidRDefault="004F50C5" w:rsidP="00C85BD5">
            <w:r>
              <w:rPr>
                <w:sz w:val="18"/>
                <w:szCs w:val="18"/>
              </w:rPr>
              <w:t>COPD exacerbation</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8BD95F9" w14:textId="77777777" w:rsidR="004F50C5" w:rsidRDefault="004F50C5" w:rsidP="00C85BD5">
            <w:r>
              <w:rPr>
                <w:sz w:val="18"/>
                <w:szCs w:val="18"/>
              </w:rPr>
              <w:t>109 / 150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C2F1FB0" w14:textId="77777777" w:rsidR="004F50C5" w:rsidRDefault="004F50C5" w:rsidP="00C85BD5">
            <w:r>
              <w:rPr>
                <w:sz w:val="18"/>
                <w:szCs w:val="18"/>
              </w:rPr>
              <w:t>72.7%</w:t>
            </w:r>
          </w:p>
        </w:tc>
      </w:tr>
      <w:tr w:rsidR="004F50C5" w14:paraId="1FE5A894"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72D0B2D" w14:textId="77777777" w:rsidR="004F50C5" w:rsidRDefault="004F50C5" w:rsidP="00C85BD5">
            <w:r>
              <w:rPr>
                <w:sz w:val="18"/>
                <w:szCs w:val="18"/>
              </w:rPr>
              <w:t>Pneumonia</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612BE27" w14:textId="77777777" w:rsidR="004F50C5" w:rsidRDefault="004F50C5" w:rsidP="00C85BD5">
            <w:r>
              <w:rPr>
                <w:sz w:val="18"/>
                <w:szCs w:val="18"/>
              </w:rPr>
              <w:t>78 / 150</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8159AEF" w14:textId="77777777" w:rsidR="004F50C5" w:rsidRDefault="004F50C5" w:rsidP="00C85BD5">
            <w:r>
              <w:rPr>
                <w:sz w:val="18"/>
                <w:szCs w:val="18"/>
              </w:rPr>
              <w:t>52.0%</w:t>
            </w:r>
          </w:p>
        </w:tc>
      </w:tr>
      <w:tr w:rsidR="004F50C5" w14:paraId="04F75F29"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88102DE" w14:textId="77777777" w:rsidR="004F50C5" w:rsidRDefault="004F50C5" w:rsidP="00C85BD5">
            <w:r>
              <w:rPr>
                <w:sz w:val="18"/>
                <w:szCs w:val="18"/>
              </w:rPr>
              <w:t>Both exacerbation and pneumonia</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857D4F8" w14:textId="77777777" w:rsidR="004F50C5" w:rsidRDefault="004F50C5" w:rsidP="00C85BD5">
            <w:r>
              <w:rPr>
                <w:sz w:val="18"/>
                <w:szCs w:val="18"/>
              </w:rPr>
              <w:t>37 / 150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C91EB28" w14:textId="77777777" w:rsidR="004F50C5" w:rsidRDefault="004F50C5" w:rsidP="00C85BD5">
            <w:r>
              <w:rPr>
                <w:sz w:val="18"/>
                <w:szCs w:val="18"/>
              </w:rPr>
              <w:t>24.7%</w:t>
            </w:r>
          </w:p>
        </w:tc>
      </w:tr>
      <w:tr w:rsidR="004F50C5" w14:paraId="26C48D26" w14:textId="77777777" w:rsidTr="00C85BD5">
        <w:tc>
          <w:tcPr>
            <w:tcW w:w="0" w:type="auto"/>
            <w:gridSpan w:val="3"/>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10A64AA" w14:textId="77777777" w:rsidR="004F50C5" w:rsidRDefault="004F50C5" w:rsidP="00C85BD5">
            <w:r>
              <w:rPr>
                <w:b/>
                <w:bCs/>
                <w:sz w:val="18"/>
                <w:szCs w:val="18"/>
              </w:rPr>
              <w:t>Timing and severity</w:t>
            </w:r>
          </w:p>
        </w:tc>
      </w:tr>
      <w:tr w:rsidR="004F50C5" w14:paraId="7DD47202"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D67B7E8" w14:textId="77777777" w:rsidR="004F50C5" w:rsidRDefault="004F50C5" w:rsidP="00C85BD5">
            <w:r>
              <w:rPr>
                <w:sz w:val="18"/>
                <w:szCs w:val="18"/>
              </w:rPr>
              <w:t>Median time to readmission, days (IQR)</w:t>
            </w:r>
          </w:p>
        </w:tc>
        <w:tc>
          <w:tcPr>
            <w:tcW w:w="0" w:type="auto"/>
            <w:gridSpan w:val="2"/>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F071599" w14:textId="77777777" w:rsidR="004F50C5" w:rsidRDefault="004F50C5" w:rsidP="00C85BD5">
            <w:r>
              <w:rPr>
                <w:sz w:val="18"/>
                <w:szCs w:val="18"/>
              </w:rPr>
              <w:t>10 (5 to 18)</w:t>
            </w:r>
          </w:p>
        </w:tc>
      </w:tr>
      <w:tr w:rsidR="004F50C5" w14:paraId="763F6C31"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5A26B86D" w14:textId="77777777" w:rsidR="004F50C5" w:rsidRDefault="004F50C5" w:rsidP="00C85BD5">
            <w:r>
              <w:rPr>
                <w:sz w:val="18"/>
                <w:szCs w:val="18"/>
              </w:rPr>
              <w:t>ICU admission during readmission</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A7E17A0" w14:textId="77777777" w:rsidR="004F50C5" w:rsidRDefault="004F50C5" w:rsidP="00C85BD5">
            <w:r>
              <w:rPr>
                <w:sz w:val="18"/>
                <w:szCs w:val="18"/>
              </w:rPr>
              <w:t>59 / 149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25D096C" w14:textId="77777777" w:rsidR="004F50C5" w:rsidRDefault="004F50C5" w:rsidP="00C85BD5">
            <w:r>
              <w:rPr>
                <w:sz w:val="18"/>
                <w:szCs w:val="18"/>
              </w:rPr>
              <w:t>39.6%</w:t>
            </w:r>
          </w:p>
        </w:tc>
      </w:tr>
      <w:tr w:rsidR="004F50C5" w14:paraId="10747D83"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A268CA8" w14:textId="77777777" w:rsidR="004F50C5" w:rsidRDefault="004F50C5" w:rsidP="00C85BD5">
            <w:r>
              <w:rPr>
                <w:sz w:val="18"/>
                <w:szCs w:val="18"/>
              </w:rPr>
              <w:t xml:space="preserve">     among exacerbation readmissions</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3EF08C9"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430D551" w14:textId="77777777" w:rsidR="004F50C5" w:rsidRDefault="004F50C5" w:rsidP="00C85BD5">
            <w:r>
              <w:rPr>
                <w:sz w:val="18"/>
                <w:szCs w:val="18"/>
              </w:rPr>
              <w:t>41.7%</w:t>
            </w:r>
          </w:p>
        </w:tc>
      </w:tr>
      <w:tr w:rsidR="004F50C5" w14:paraId="77C17128"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5FFFD272" w14:textId="77777777" w:rsidR="004F50C5" w:rsidRDefault="004F50C5" w:rsidP="00C85BD5">
            <w:r>
              <w:rPr>
                <w:sz w:val="18"/>
                <w:szCs w:val="18"/>
              </w:rPr>
              <w:t xml:space="preserve">     among pneumonia readmissions</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43940AB" w14:textId="77777777" w:rsidR="004F50C5" w:rsidRDefault="004F50C5" w:rsidP="00C85BD5">
            <w:r>
              <w:rPr>
                <w:sz w:val="18"/>
                <w:szCs w:val="18"/>
              </w:rPr>
              <w:t>—</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5372D77B" w14:textId="77777777" w:rsidR="004F50C5" w:rsidRDefault="004F50C5" w:rsidP="00C85BD5">
            <w:r>
              <w:rPr>
                <w:sz w:val="18"/>
                <w:szCs w:val="18"/>
              </w:rPr>
              <w:t>44.2%</w:t>
            </w:r>
          </w:p>
        </w:tc>
      </w:tr>
      <w:tr w:rsidR="004F50C5" w14:paraId="2E5A9641"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31F05D0" w14:textId="77777777" w:rsidR="004F50C5" w:rsidRDefault="004F50C5" w:rsidP="00C85BD5">
            <w:r>
              <w:rPr>
                <w:sz w:val="18"/>
                <w:szCs w:val="18"/>
              </w:rPr>
              <w:t>Mortality during readmission encounter</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82EE72F" w14:textId="77777777" w:rsidR="004F50C5" w:rsidRDefault="004F50C5" w:rsidP="00C85BD5">
            <w:r>
              <w:rPr>
                <w:sz w:val="18"/>
                <w:szCs w:val="18"/>
              </w:rPr>
              <w:t>24 / 149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A67E21E" w14:textId="77777777" w:rsidR="004F50C5" w:rsidRDefault="004F50C5" w:rsidP="00C85BD5">
            <w:r>
              <w:rPr>
                <w:sz w:val="18"/>
                <w:szCs w:val="18"/>
              </w:rPr>
              <w:t>16.1%</w:t>
            </w:r>
          </w:p>
        </w:tc>
      </w:tr>
    </w:tbl>
    <w:p w14:paraId="64431108" w14:textId="77777777" w:rsidR="004F50C5" w:rsidRDefault="004F50C5" w:rsidP="004F50C5">
      <w:pPr>
        <w:spacing w:before="300" w:after="100"/>
      </w:pPr>
      <w:r>
        <w:t>Supplementary Table ST7. Home and discharge inhaler-regimen distribution by case-control status and post hoc GOLD-aligned discharge regimen.</w:t>
      </w:r>
    </w:p>
    <w:p w14:paraId="7BF13C70" w14:textId="77777777" w:rsidR="004F50C5" w:rsidRDefault="004F50C5" w:rsidP="004F50C5">
      <w:pPr>
        <w:spacing w:after="140"/>
      </w:pPr>
      <w:r>
        <w:t>GOLD-aligned discharge regimen was defined as LABA+LAMA, or LABA+LAMA+ICS when admission eosinophils were ≥300 cells/µL. LABA = long-acting beta-agonist; LAMA = long-acting muscarinic antagonist; ICS = inhaled corticosteroid.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54"/>
        <w:gridCol w:w="1347"/>
        <w:gridCol w:w="1599"/>
        <w:gridCol w:w="1361"/>
        <w:gridCol w:w="1599"/>
      </w:tblGrid>
      <w:tr w:rsidR="004F50C5" w14:paraId="290E4992" w14:textId="77777777" w:rsidTr="00C85BD5">
        <w:trPr>
          <w:tblHeader/>
        </w:trPr>
        <w:tc>
          <w:tcPr>
            <w:tcW w:w="0" w:type="auto"/>
            <w:vMerge w:val="restart"/>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70A8A166" w14:textId="77777777" w:rsidR="004F50C5" w:rsidRDefault="004F50C5" w:rsidP="00C85BD5">
            <w:pPr>
              <w:jc w:val="center"/>
            </w:pPr>
            <w:r>
              <w:rPr>
                <w:b/>
                <w:bCs/>
                <w:color w:val="FFFFFF"/>
                <w:sz w:val="18"/>
                <w:szCs w:val="18"/>
              </w:rPr>
              <w:lastRenderedPageBreak/>
              <w:t>Inhaler regimen</w:t>
            </w:r>
          </w:p>
        </w:tc>
        <w:tc>
          <w:tcPr>
            <w:tcW w:w="0" w:type="auto"/>
            <w:gridSpan w:val="2"/>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1044CB0E" w14:textId="77777777" w:rsidR="004F50C5" w:rsidRDefault="004F50C5" w:rsidP="00C85BD5">
            <w:pPr>
              <w:jc w:val="center"/>
            </w:pPr>
            <w:r>
              <w:rPr>
                <w:b/>
                <w:bCs/>
                <w:color w:val="FFFFFF"/>
                <w:sz w:val="18"/>
                <w:szCs w:val="18"/>
              </w:rPr>
              <w:t>Home (baseline)</w:t>
            </w:r>
          </w:p>
        </w:tc>
        <w:tc>
          <w:tcPr>
            <w:tcW w:w="0" w:type="auto"/>
            <w:gridSpan w:val="2"/>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3A2E9B72" w14:textId="77777777" w:rsidR="004F50C5" w:rsidRDefault="004F50C5" w:rsidP="00C85BD5">
            <w:pPr>
              <w:jc w:val="center"/>
            </w:pPr>
            <w:r>
              <w:rPr>
                <w:b/>
                <w:bCs/>
                <w:color w:val="FFFFFF"/>
                <w:sz w:val="18"/>
                <w:szCs w:val="18"/>
              </w:rPr>
              <w:t>Discharge</w:t>
            </w:r>
          </w:p>
        </w:tc>
      </w:tr>
      <w:tr w:rsidR="004F50C5" w14:paraId="7DCE43EA" w14:textId="77777777" w:rsidTr="00C85BD5">
        <w:tc>
          <w:tcPr>
            <w:tcW w:w="0" w:type="auto"/>
            <w:vMerge/>
            <w:tcBorders>
              <w:top w:val="single" w:sz="4" w:space="0" w:color="808080"/>
              <w:left w:val="single" w:sz="4" w:space="0" w:color="808080"/>
              <w:bottom w:val="single" w:sz="4" w:space="0" w:color="808080"/>
              <w:right w:val="single" w:sz="4" w:space="0" w:color="808080"/>
            </w:tcBorders>
          </w:tcPr>
          <w:p w14:paraId="242921C2" w14:textId="77777777" w:rsidR="004F50C5" w:rsidRDefault="004F50C5" w:rsidP="00C85BD5"/>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5900E066" w14:textId="77777777" w:rsidR="004F50C5" w:rsidRDefault="004F50C5" w:rsidP="00C85BD5">
            <w:pPr>
              <w:jc w:val="center"/>
            </w:pPr>
            <w:r>
              <w:rPr>
                <w:b/>
                <w:bCs/>
                <w:color w:val="FFFFFF"/>
                <w:sz w:val="18"/>
                <w:szCs w:val="18"/>
              </w:rPr>
              <w:t>Cases n (%)</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11AD897E" w14:textId="77777777" w:rsidR="004F50C5" w:rsidRDefault="004F50C5" w:rsidP="00C85BD5">
            <w:pPr>
              <w:jc w:val="center"/>
            </w:pPr>
            <w:r>
              <w:rPr>
                <w:b/>
                <w:bCs/>
                <w:color w:val="FFFFFF"/>
                <w:sz w:val="18"/>
                <w:szCs w:val="18"/>
              </w:rPr>
              <w:t>Controls n (%)</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4980517B" w14:textId="77777777" w:rsidR="004F50C5" w:rsidRDefault="004F50C5" w:rsidP="00C85BD5">
            <w:pPr>
              <w:jc w:val="center"/>
            </w:pPr>
            <w:r>
              <w:rPr>
                <w:b/>
                <w:bCs/>
                <w:color w:val="FFFFFF"/>
                <w:sz w:val="18"/>
                <w:szCs w:val="18"/>
              </w:rPr>
              <w:t>Cases n (%)</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5AC2CA0D" w14:textId="77777777" w:rsidR="004F50C5" w:rsidRDefault="004F50C5" w:rsidP="00C85BD5">
            <w:pPr>
              <w:jc w:val="center"/>
            </w:pPr>
            <w:r>
              <w:rPr>
                <w:b/>
                <w:bCs/>
                <w:color w:val="FFFFFF"/>
                <w:sz w:val="18"/>
                <w:szCs w:val="18"/>
              </w:rPr>
              <w:t>Controls n (%)</w:t>
            </w:r>
          </w:p>
        </w:tc>
      </w:tr>
      <w:tr w:rsidR="004F50C5" w14:paraId="7BA1A7E6"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D105720" w14:textId="77777777" w:rsidR="004F50C5" w:rsidRDefault="004F50C5" w:rsidP="00C85BD5">
            <w:r>
              <w:rPr>
                <w:sz w:val="18"/>
                <w:szCs w:val="18"/>
              </w:rPr>
              <w:t>None</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6EB4EDA" w14:textId="77777777" w:rsidR="004F50C5" w:rsidRDefault="004F50C5" w:rsidP="00C85BD5">
            <w:r>
              <w:rPr>
                <w:sz w:val="18"/>
                <w:szCs w:val="18"/>
              </w:rPr>
              <w:t>44 (29.3%)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C3CCE26" w14:textId="77777777" w:rsidR="004F50C5" w:rsidRDefault="004F50C5" w:rsidP="00C85BD5">
            <w:r>
              <w:rPr>
                <w:sz w:val="18"/>
                <w:szCs w:val="18"/>
              </w:rPr>
              <w:t>70 (34.7%)</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3BD5030" w14:textId="77777777" w:rsidR="004F50C5" w:rsidRDefault="004F50C5" w:rsidP="00C85BD5">
            <w:r>
              <w:rPr>
                <w:sz w:val="18"/>
                <w:szCs w:val="18"/>
              </w:rPr>
              <w:t>21 (14.0%)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0BA06C0" w14:textId="77777777" w:rsidR="004F50C5" w:rsidRDefault="004F50C5" w:rsidP="00C85BD5">
            <w:r>
              <w:rPr>
                <w:sz w:val="18"/>
                <w:szCs w:val="18"/>
              </w:rPr>
              <w:t>5 (2.5%)</w:t>
            </w:r>
          </w:p>
        </w:tc>
      </w:tr>
      <w:tr w:rsidR="004F50C5" w14:paraId="06BAA47F"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3B30C95" w14:textId="77777777" w:rsidR="004F50C5" w:rsidRDefault="004F50C5" w:rsidP="00C85BD5">
            <w:r>
              <w:rPr>
                <w:sz w:val="18"/>
                <w:szCs w:val="18"/>
              </w:rPr>
              <w:t>LAMA (mono)</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6F6700C" w14:textId="77777777" w:rsidR="004F50C5" w:rsidRDefault="004F50C5" w:rsidP="00C85BD5">
            <w:r>
              <w:rPr>
                <w:sz w:val="18"/>
                <w:szCs w:val="18"/>
              </w:rPr>
              <w:t>11 (7.3%)</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7352D83" w14:textId="77777777" w:rsidR="004F50C5" w:rsidRDefault="004F50C5" w:rsidP="00C85BD5">
            <w:r>
              <w:rPr>
                <w:sz w:val="18"/>
                <w:szCs w:val="18"/>
              </w:rPr>
              <w:t>20 (9.9%)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E1FDA6D" w14:textId="77777777" w:rsidR="004F50C5" w:rsidRDefault="004F50C5" w:rsidP="00C85BD5">
            <w:r>
              <w:rPr>
                <w:sz w:val="18"/>
                <w:szCs w:val="18"/>
              </w:rPr>
              <w:t>12 (8.0%)</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70B4749" w14:textId="77777777" w:rsidR="004F50C5" w:rsidRDefault="004F50C5" w:rsidP="00C85BD5">
            <w:r>
              <w:rPr>
                <w:sz w:val="18"/>
                <w:szCs w:val="18"/>
              </w:rPr>
              <w:t>10 (5.0%)</w:t>
            </w:r>
          </w:p>
        </w:tc>
      </w:tr>
      <w:tr w:rsidR="004F50C5" w14:paraId="3CF84056"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145620C" w14:textId="77777777" w:rsidR="004F50C5" w:rsidRDefault="004F50C5" w:rsidP="00C85BD5">
            <w:r>
              <w:rPr>
                <w:sz w:val="18"/>
                <w:szCs w:val="18"/>
              </w:rPr>
              <w:t>LABA+LAMA</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DCF2BE5" w14:textId="77777777" w:rsidR="004F50C5" w:rsidRDefault="004F50C5" w:rsidP="00C85BD5">
            <w:r>
              <w:rPr>
                <w:sz w:val="18"/>
                <w:szCs w:val="18"/>
              </w:rPr>
              <w:t>12 (8.0%)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FD3B93F" w14:textId="77777777" w:rsidR="004F50C5" w:rsidRDefault="004F50C5" w:rsidP="00C85BD5">
            <w:r>
              <w:rPr>
                <w:sz w:val="18"/>
                <w:szCs w:val="18"/>
              </w:rPr>
              <w:t>16 (7.9%)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876838C" w14:textId="77777777" w:rsidR="004F50C5" w:rsidRDefault="004F50C5" w:rsidP="00C85BD5">
            <w:r>
              <w:rPr>
                <w:sz w:val="18"/>
                <w:szCs w:val="18"/>
              </w:rPr>
              <w:t>20 (13.3%)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5A16DA6" w14:textId="77777777" w:rsidR="004F50C5" w:rsidRDefault="004F50C5" w:rsidP="00C85BD5">
            <w:r>
              <w:rPr>
                <w:sz w:val="18"/>
                <w:szCs w:val="18"/>
              </w:rPr>
              <w:t>38 (18.8%)</w:t>
            </w:r>
          </w:p>
        </w:tc>
      </w:tr>
      <w:tr w:rsidR="004F50C5" w14:paraId="6481D017"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AC90494" w14:textId="77777777" w:rsidR="004F50C5" w:rsidRDefault="004F50C5" w:rsidP="00C85BD5">
            <w:r>
              <w:rPr>
                <w:sz w:val="18"/>
                <w:szCs w:val="18"/>
              </w:rPr>
              <w:t>LABA+ICS</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CC1535F" w14:textId="77777777" w:rsidR="004F50C5" w:rsidRDefault="004F50C5" w:rsidP="00C85BD5">
            <w:r>
              <w:rPr>
                <w:sz w:val="18"/>
                <w:szCs w:val="18"/>
              </w:rPr>
              <w:t>19 (12.7%)</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FA8206F" w14:textId="77777777" w:rsidR="004F50C5" w:rsidRDefault="004F50C5" w:rsidP="00C85BD5">
            <w:r>
              <w:rPr>
                <w:sz w:val="18"/>
                <w:szCs w:val="18"/>
              </w:rPr>
              <w:t>25 (12.4%)</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3FF0E94A" w14:textId="77777777" w:rsidR="004F50C5" w:rsidRDefault="004F50C5" w:rsidP="00C85BD5">
            <w:r>
              <w:rPr>
                <w:sz w:val="18"/>
                <w:szCs w:val="18"/>
              </w:rPr>
              <w:t>15 (10.0%)</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83280BF" w14:textId="77777777" w:rsidR="004F50C5" w:rsidRDefault="004F50C5" w:rsidP="00C85BD5">
            <w:r>
              <w:rPr>
                <w:sz w:val="18"/>
                <w:szCs w:val="18"/>
              </w:rPr>
              <w:t>38 (18.8%)</w:t>
            </w:r>
          </w:p>
        </w:tc>
      </w:tr>
      <w:tr w:rsidR="004F50C5" w14:paraId="56A56A30"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318DEBE" w14:textId="77777777" w:rsidR="004F50C5" w:rsidRDefault="004F50C5" w:rsidP="00C85BD5">
            <w:r>
              <w:rPr>
                <w:sz w:val="18"/>
                <w:szCs w:val="18"/>
              </w:rPr>
              <w:t>Triple therapy (LABA+LAMA+ICS)</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C25F770" w14:textId="77777777" w:rsidR="004F50C5" w:rsidRDefault="004F50C5" w:rsidP="00C85BD5">
            <w:r>
              <w:rPr>
                <w:sz w:val="18"/>
                <w:szCs w:val="18"/>
              </w:rPr>
              <w:t>51 (34.0%)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7926A69" w14:textId="77777777" w:rsidR="004F50C5" w:rsidRDefault="004F50C5" w:rsidP="00C85BD5">
            <w:r>
              <w:rPr>
                <w:sz w:val="18"/>
                <w:szCs w:val="18"/>
              </w:rPr>
              <w:t>49 (24.3%)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7093F78" w14:textId="77777777" w:rsidR="004F50C5" w:rsidRDefault="004F50C5" w:rsidP="00C85BD5">
            <w:r>
              <w:rPr>
                <w:b/>
                <w:bCs/>
                <w:sz w:val="18"/>
                <w:szCs w:val="18"/>
              </w:rPr>
              <w:t>54 (36.0%)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8D4CC11" w14:textId="77777777" w:rsidR="004F50C5" w:rsidRDefault="004F50C5" w:rsidP="00C85BD5">
            <w:r>
              <w:rPr>
                <w:b/>
                <w:bCs/>
                <w:sz w:val="18"/>
                <w:szCs w:val="18"/>
              </w:rPr>
              <w:t>107 (53.0%)</w:t>
            </w:r>
          </w:p>
        </w:tc>
      </w:tr>
      <w:tr w:rsidR="004F50C5" w14:paraId="73ED4984"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2E78E41" w14:textId="77777777" w:rsidR="004F50C5" w:rsidRDefault="004F50C5" w:rsidP="00C85BD5">
            <w:r>
              <w:rPr>
                <w:sz w:val="18"/>
                <w:szCs w:val="18"/>
              </w:rPr>
              <w:t>Nebulisers</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8490CC9" w14:textId="77777777" w:rsidR="004F50C5" w:rsidRDefault="004F50C5" w:rsidP="00C85BD5">
            <w:r>
              <w:rPr>
                <w:sz w:val="18"/>
                <w:szCs w:val="18"/>
              </w:rPr>
              <w:t>13 (8.7%)</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57C4534" w14:textId="77777777" w:rsidR="004F50C5" w:rsidRDefault="004F50C5" w:rsidP="00C85BD5">
            <w:r>
              <w:rPr>
                <w:sz w:val="18"/>
                <w:szCs w:val="18"/>
              </w:rPr>
              <w:t>22 (10.9%)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5B77889F" w14:textId="77777777" w:rsidR="004F50C5" w:rsidRDefault="004F50C5" w:rsidP="00C85BD5">
            <w:r>
              <w:rPr>
                <w:sz w:val="18"/>
                <w:szCs w:val="18"/>
              </w:rPr>
              <w:t>28 (18.7%)</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3C12676" w14:textId="77777777" w:rsidR="004F50C5" w:rsidRDefault="004F50C5" w:rsidP="00C85BD5">
            <w:r>
              <w:rPr>
                <w:sz w:val="18"/>
                <w:szCs w:val="18"/>
              </w:rPr>
              <w:t>4 (2.0%)</w:t>
            </w:r>
          </w:p>
        </w:tc>
      </w:tr>
      <w:tr w:rsidR="004F50C5" w14:paraId="7DD37560" w14:textId="77777777" w:rsidTr="00C85BD5">
        <w:tc>
          <w:tcPr>
            <w:tcW w:w="0" w:type="auto"/>
            <w:gridSpan w:val="5"/>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12A462F" w14:textId="77777777" w:rsidR="004F50C5" w:rsidRDefault="004F50C5" w:rsidP="00C85BD5">
            <w:r>
              <w:t>Post hoc GOLD-aligned discharge regimen — cases 31/150 (20.7%); controls 44/202 (21.8%); OR 0.94 (95% CI 0.56–1.57); p=0.80</w:t>
            </w:r>
          </w:p>
        </w:tc>
      </w:tr>
    </w:tbl>
    <w:p w14:paraId="344AF144" w14:textId="77777777" w:rsidR="004F50C5" w:rsidRDefault="004F50C5" w:rsidP="004F50C5">
      <w:pPr>
        <w:spacing w:before="300" w:after="100"/>
      </w:pPr>
      <w:r>
        <w:rPr>
          <w:b/>
          <w:bCs/>
          <w:sz w:val="22"/>
          <w:szCs w:val="22"/>
        </w:rPr>
        <w:t xml:space="preserve">Supplementary Table ST8. </w:t>
      </w:r>
      <w:r>
        <w:rPr>
          <w:sz w:val="22"/>
          <w:szCs w:val="22"/>
        </w:rPr>
        <w:t>Cardiac biomarkers and readmission: univariate associations and estimates after adjustment for FEV1.</w:t>
      </w:r>
    </w:p>
    <w:p w14:paraId="3A168E40" w14:textId="77777777" w:rsidR="004F50C5" w:rsidRDefault="004F50C5" w:rsidP="004F50C5">
      <w:pPr>
        <w:spacing w:after="140"/>
      </w:pPr>
      <w:r>
        <w:rPr>
          <w:i/>
          <w:iCs/>
          <w:sz w:val="16"/>
          <w:szCs w:val="16"/>
        </w:rPr>
        <w:t>Univariate n=352 for HFpEF and n=245 for log(pro-BNP); adjusted model n=136. Bold p-values indicate p&lt;0.05. HFpEF = heart failure with preserved ejection fraction.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87"/>
        <w:gridCol w:w="2277"/>
        <w:gridCol w:w="858"/>
        <w:gridCol w:w="2338"/>
      </w:tblGrid>
      <w:tr w:rsidR="004F50C5" w14:paraId="7581EC5D"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0E5C1135" w14:textId="77777777" w:rsidR="004F50C5" w:rsidRDefault="004F50C5" w:rsidP="00C85BD5">
            <w:pPr>
              <w:jc w:val="center"/>
            </w:pPr>
            <w:r>
              <w:rPr>
                <w:b/>
                <w:bCs/>
                <w:color w:val="FFFFFF"/>
                <w:sz w:val="18"/>
                <w:szCs w:val="18"/>
              </w:rPr>
              <w:t>Marker</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7D0CDD91" w14:textId="77777777" w:rsidR="004F50C5" w:rsidRDefault="004F50C5" w:rsidP="00C85BD5">
            <w:pPr>
              <w:jc w:val="center"/>
            </w:pPr>
            <w:r>
              <w:rPr>
                <w:b/>
                <w:bCs/>
                <w:color w:val="FFFFFF"/>
                <w:sz w:val="18"/>
                <w:szCs w:val="18"/>
              </w:rPr>
              <w:t>OR (95% CI)</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719CF02B" w14:textId="77777777" w:rsidR="004F50C5" w:rsidRDefault="004F50C5" w:rsidP="00C85BD5">
            <w:pPr>
              <w:jc w:val="center"/>
            </w:pPr>
            <w:r>
              <w:rPr>
                <w:b/>
                <w:bCs/>
                <w:color w:val="FFFFFF"/>
                <w:sz w:val="18"/>
                <w:szCs w:val="18"/>
              </w:rPr>
              <w:t>p</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2CB6A26D" w14:textId="77777777" w:rsidR="004F50C5" w:rsidRDefault="004F50C5" w:rsidP="00C85BD5">
            <w:pPr>
              <w:jc w:val="center"/>
            </w:pPr>
            <w:r>
              <w:rPr>
                <w:b/>
                <w:bCs/>
                <w:color w:val="FFFFFF"/>
                <w:sz w:val="18"/>
                <w:szCs w:val="18"/>
              </w:rPr>
              <w:t>Model</w:t>
            </w:r>
          </w:p>
        </w:tc>
      </w:tr>
      <w:tr w:rsidR="004F50C5" w14:paraId="4B682A66"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455918A" w14:textId="77777777" w:rsidR="004F50C5" w:rsidRDefault="004F50C5" w:rsidP="00C85BD5">
            <w:r>
              <w:rPr>
                <w:sz w:val="18"/>
                <w:szCs w:val="18"/>
              </w:rPr>
              <w:t>HFpEF</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1BD2863" w14:textId="77777777" w:rsidR="004F50C5" w:rsidRDefault="004F50C5" w:rsidP="00C85BD5">
            <w:r>
              <w:rPr>
                <w:sz w:val="18"/>
                <w:szCs w:val="18"/>
              </w:rPr>
              <w:t>2.00 (1.20 to 3.32)</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40C31BDB" w14:textId="77777777" w:rsidR="004F50C5" w:rsidRDefault="004F50C5" w:rsidP="00C85BD5">
            <w:r>
              <w:rPr>
                <w:b/>
                <w:bCs/>
                <w:sz w:val="18"/>
                <w:szCs w:val="18"/>
              </w:rPr>
              <w:t>0.007</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18107BC0" w14:textId="77777777" w:rsidR="004F50C5" w:rsidRDefault="004F50C5" w:rsidP="00C85BD5">
            <w:r>
              <w:rPr>
                <w:sz w:val="18"/>
                <w:szCs w:val="18"/>
              </w:rPr>
              <w:t>Univariate</w:t>
            </w:r>
          </w:p>
        </w:tc>
      </w:tr>
      <w:tr w:rsidR="004F50C5" w14:paraId="4BE232EB"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62F66FD" w14:textId="77777777" w:rsidR="004F50C5" w:rsidRDefault="004F50C5" w:rsidP="00C85BD5">
            <w:r>
              <w:rPr>
                <w:sz w:val="18"/>
                <w:szCs w:val="18"/>
              </w:rPr>
              <w:t>HFpEF</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38EF33F" w14:textId="77777777" w:rsidR="004F50C5" w:rsidRDefault="004F50C5" w:rsidP="00C85BD5">
            <w:r>
              <w:rPr>
                <w:sz w:val="18"/>
                <w:szCs w:val="18"/>
              </w:rPr>
              <w:t>1.44 (0.54 to 3.83)</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E166AC3" w14:textId="77777777" w:rsidR="004F50C5" w:rsidRDefault="004F50C5" w:rsidP="00C85BD5">
            <w:r>
              <w:rPr>
                <w:sz w:val="18"/>
                <w:szCs w:val="18"/>
              </w:rPr>
              <w:t>0.469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D0AA17D" w14:textId="77777777" w:rsidR="004F50C5" w:rsidRDefault="004F50C5" w:rsidP="00C85BD5">
            <w:r>
              <w:rPr>
                <w:sz w:val="18"/>
                <w:szCs w:val="18"/>
              </w:rPr>
              <w:t>Adjusted for FEV1</w:t>
            </w:r>
          </w:p>
        </w:tc>
      </w:tr>
      <w:tr w:rsidR="004F50C5" w14:paraId="1F5B84B4"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FC83A9C" w14:textId="77777777" w:rsidR="004F50C5" w:rsidRDefault="004F50C5" w:rsidP="00C85BD5">
            <w:r>
              <w:rPr>
                <w:sz w:val="18"/>
                <w:szCs w:val="18"/>
              </w:rPr>
              <w:t>log(pro-BNP)</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F7D5952" w14:textId="77777777" w:rsidR="004F50C5" w:rsidRDefault="004F50C5" w:rsidP="00C85BD5">
            <w:r>
              <w:rPr>
                <w:sz w:val="18"/>
                <w:szCs w:val="18"/>
              </w:rPr>
              <w:t>1.27 (1.09 to 1.48)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6D89927" w14:textId="77777777" w:rsidR="004F50C5" w:rsidRDefault="004F50C5" w:rsidP="00C85BD5">
            <w:r>
              <w:rPr>
                <w:b/>
                <w:bCs/>
                <w:sz w:val="18"/>
                <w:szCs w:val="18"/>
              </w:rPr>
              <w:t>0.002</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E78121C" w14:textId="77777777" w:rsidR="004F50C5" w:rsidRDefault="004F50C5" w:rsidP="00C85BD5">
            <w:r>
              <w:rPr>
                <w:sz w:val="18"/>
                <w:szCs w:val="18"/>
              </w:rPr>
              <w:t>Univariate</w:t>
            </w:r>
          </w:p>
        </w:tc>
      </w:tr>
      <w:tr w:rsidR="004F50C5" w14:paraId="0C13AA66"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14FEC0A4" w14:textId="77777777" w:rsidR="004F50C5" w:rsidRDefault="004F50C5" w:rsidP="00C85BD5">
            <w:r>
              <w:rPr>
                <w:sz w:val="18"/>
                <w:szCs w:val="18"/>
              </w:rPr>
              <w:t>log(pro-BNP)</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C30FF7D" w14:textId="77777777" w:rsidR="004F50C5" w:rsidRDefault="004F50C5" w:rsidP="00C85BD5">
            <w:r>
              <w:rPr>
                <w:sz w:val="18"/>
                <w:szCs w:val="18"/>
              </w:rPr>
              <w:t>1.22 (0.94 to 1.59)</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4EC622D2" w14:textId="77777777" w:rsidR="004F50C5" w:rsidRDefault="004F50C5" w:rsidP="00C85BD5">
            <w:r>
              <w:rPr>
                <w:sz w:val="18"/>
                <w:szCs w:val="18"/>
              </w:rPr>
              <w:t>0.138</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2232A5E9" w14:textId="77777777" w:rsidR="004F50C5" w:rsidRDefault="004F50C5" w:rsidP="00C85BD5">
            <w:r>
              <w:rPr>
                <w:sz w:val="18"/>
                <w:szCs w:val="18"/>
              </w:rPr>
              <w:t>Adjusted for FEV1</w:t>
            </w:r>
          </w:p>
        </w:tc>
      </w:tr>
      <w:tr w:rsidR="004F50C5" w14:paraId="000B5ABA"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97CBADB" w14:textId="77777777" w:rsidR="004F50C5" w:rsidRDefault="004F50C5" w:rsidP="00C85BD5">
            <w:r>
              <w:rPr>
                <w:sz w:val="18"/>
                <w:szCs w:val="18"/>
              </w:rPr>
              <w:t>HFpEF × pro-BNP ≥1000 pg/mL</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1195F6A" w14:textId="77777777" w:rsidR="004F50C5" w:rsidRDefault="004F50C5" w:rsidP="00C85BD5">
            <w:r>
              <w:rPr>
                <w:sz w:val="18"/>
                <w:szCs w:val="18"/>
              </w:rPr>
              <w:t>10.46</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756E4902" w14:textId="77777777" w:rsidR="004F50C5" w:rsidRDefault="004F50C5" w:rsidP="00C85BD5">
            <w:r>
              <w:rPr>
                <w:sz w:val="18"/>
                <w:szCs w:val="18"/>
              </w:rPr>
              <w:t>0.079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2F3DA53" w14:textId="77777777" w:rsidR="004F50C5" w:rsidRDefault="004F50C5" w:rsidP="00C85BD5">
            <w:r>
              <w:rPr>
                <w:sz w:val="18"/>
                <w:szCs w:val="18"/>
              </w:rPr>
              <w:t>Interaction term</w:t>
            </w:r>
          </w:p>
        </w:tc>
      </w:tr>
    </w:tbl>
    <w:p w14:paraId="4EA44A5E" w14:textId="77777777" w:rsidR="004F50C5" w:rsidRDefault="004F50C5" w:rsidP="004F50C5">
      <w:pPr>
        <w:spacing w:before="300" w:after="100"/>
      </w:pPr>
      <w:r>
        <w:rPr>
          <w:b/>
          <w:bCs/>
          <w:sz w:val="22"/>
          <w:szCs w:val="22"/>
        </w:rPr>
        <w:t xml:space="preserve">Supplementary Table ST9. </w:t>
      </w:r>
      <w:r>
        <w:rPr>
          <w:sz w:val="22"/>
          <w:szCs w:val="22"/>
        </w:rPr>
        <w:t>Prior hospitalization burden and 30-day respiratory readmission: dose-response across ordinal tiers.</w:t>
      </w:r>
    </w:p>
    <w:p w14:paraId="0FC5C5DB" w14:textId="77777777" w:rsidR="004F50C5" w:rsidRDefault="004F50C5" w:rsidP="004F50C5">
      <w:pPr>
        <w:spacing w:after="140"/>
      </w:pPr>
      <w:r>
        <w:rPr>
          <w:i/>
          <w:iCs/>
          <w:sz w:val="16"/>
          <w:szCs w:val="16"/>
        </w:rPr>
        <w:t>Case rate = cases / (cases + controls) within each tier. Cochran-Armitage test for linear trend z=6.29; p&lt;0.001. Continuous odds ratio per additional prior admission 1.36 (95% CI 1.21 to 1.53); p&lt;0.001.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3"/>
        <w:gridCol w:w="1839"/>
        <w:gridCol w:w="1424"/>
        <w:gridCol w:w="1594"/>
      </w:tblGrid>
      <w:tr w:rsidR="004F50C5" w14:paraId="1A4DEE9E" w14:textId="77777777" w:rsidTr="00C85BD5">
        <w:trPr>
          <w:tblHeader/>
        </w:trPr>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31440B2C" w14:textId="77777777" w:rsidR="004F50C5" w:rsidRDefault="004F50C5" w:rsidP="00C85BD5">
            <w:pPr>
              <w:jc w:val="center"/>
            </w:pPr>
            <w:r>
              <w:rPr>
                <w:b/>
                <w:bCs/>
                <w:color w:val="FFFFFF"/>
                <w:sz w:val="18"/>
                <w:szCs w:val="18"/>
              </w:rPr>
              <w:t>Prior admissions in index year</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1A6D5BB2" w14:textId="77777777" w:rsidR="004F50C5" w:rsidRDefault="004F50C5" w:rsidP="00C85BD5">
            <w:pPr>
              <w:jc w:val="center"/>
            </w:pPr>
            <w:r>
              <w:rPr>
                <w:b/>
                <w:bCs/>
                <w:color w:val="FFFFFF"/>
                <w:sz w:val="18"/>
                <w:szCs w:val="18"/>
              </w:rPr>
              <w:t>Controls, n</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706384CB" w14:textId="77777777" w:rsidR="004F50C5" w:rsidRDefault="004F50C5" w:rsidP="00C85BD5">
            <w:pPr>
              <w:jc w:val="center"/>
            </w:pPr>
            <w:r>
              <w:rPr>
                <w:b/>
                <w:bCs/>
                <w:color w:val="FFFFFF"/>
                <w:sz w:val="18"/>
                <w:szCs w:val="18"/>
              </w:rPr>
              <w:t>Cases, n</w:t>
            </w:r>
          </w:p>
        </w:tc>
        <w:tc>
          <w:tcPr>
            <w:tcW w:w="0" w:type="auto"/>
            <w:tcBorders>
              <w:top w:val="single" w:sz="4" w:space="0" w:color="808080"/>
              <w:left w:val="single" w:sz="4" w:space="0" w:color="808080"/>
              <w:bottom w:val="single" w:sz="4" w:space="0" w:color="808080"/>
              <w:right w:val="single" w:sz="4" w:space="0" w:color="808080"/>
            </w:tcBorders>
            <w:shd w:val="clear" w:color="auto" w:fill="1F3864"/>
            <w:tcMar>
              <w:top w:w="60" w:type="dxa"/>
              <w:left w:w="80" w:type="dxa"/>
              <w:bottom w:w="60" w:type="dxa"/>
              <w:right w:w="80" w:type="dxa"/>
            </w:tcMar>
            <w:vAlign w:val="center"/>
          </w:tcPr>
          <w:p w14:paraId="34EA4460" w14:textId="77777777" w:rsidR="004F50C5" w:rsidRDefault="004F50C5" w:rsidP="00C85BD5">
            <w:pPr>
              <w:jc w:val="center"/>
            </w:pPr>
            <w:r>
              <w:rPr>
                <w:b/>
                <w:bCs/>
                <w:color w:val="FFFFFF"/>
                <w:sz w:val="18"/>
                <w:szCs w:val="18"/>
              </w:rPr>
              <w:t>Case rate</w:t>
            </w:r>
          </w:p>
        </w:tc>
      </w:tr>
      <w:tr w:rsidR="004F50C5" w14:paraId="1C7CE10B"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AC7F1C6" w14:textId="77777777" w:rsidR="004F50C5" w:rsidRDefault="004F50C5" w:rsidP="00C85BD5">
            <w:r>
              <w:rPr>
                <w:sz w:val="18"/>
                <w:szCs w:val="18"/>
              </w:rPr>
              <w:t>0</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393129F" w14:textId="77777777" w:rsidR="004F50C5" w:rsidRDefault="004F50C5" w:rsidP="00C85BD5">
            <w:r>
              <w:rPr>
                <w:sz w:val="18"/>
                <w:szCs w:val="18"/>
              </w:rPr>
              <w:t>72</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C3E217F" w14:textId="77777777" w:rsidR="004F50C5" w:rsidRDefault="004F50C5" w:rsidP="00C85BD5">
            <w:r>
              <w:rPr>
                <w:sz w:val="18"/>
                <w:szCs w:val="18"/>
              </w:rPr>
              <w:t>22</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697E6C4" w14:textId="77777777" w:rsidR="004F50C5" w:rsidRDefault="004F50C5" w:rsidP="00C85BD5">
            <w:r>
              <w:rPr>
                <w:sz w:val="18"/>
                <w:szCs w:val="18"/>
              </w:rPr>
              <w:t>23.4%</w:t>
            </w:r>
          </w:p>
        </w:tc>
      </w:tr>
      <w:tr w:rsidR="004F50C5" w14:paraId="1622FEBA"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DD235CA" w14:textId="77777777" w:rsidR="004F50C5" w:rsidRDefault="004F50C5" w:rsidP="00C85BD5">
            <w:r>
              <w:rPr>
                <w:sz w:val="18"/>
                <w:szCs w:val="18"/>
              </w:rPr>
              <w:t>1</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4667B93" w14:textId="77777777" w:rsidR="004F50C5" w:rsidRDefault="004F50C5" w:rsidP="00C85BD5">
            <w:r>
              <w:rPr>
                <w:sz w:val="18"/>
                <w:szCs w:val="18"/>
              </w:rPr>
              <w:t>48</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6A9F6D2C" w14:textId="77777777" w:rsidR="004F50C5" w:rsidRDefault="004F50C5" w:rsidP="00C85BD5">
            <w:r>
              <w:rPr>
                <w:sz w:val="18"/>
                <w:szCs w:val="18"/>
              </w:rPr>
              <w:t>22</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12C28B9" w14:textId="77777777" w:rsidR="004F50C5" w:rsidRDefault="004F50C5" w:rsidP="00C85BD5">
            <w:r>
              <w:rPr>
                <w:sz w:val="18"/>
                <w:szCs w:val="18"/>
              </w:rPr>
              <w:t>31.4%</w:t>
            </w:r>
          </w:p>
        </w:tc>
      </w:tr>
      <w:tr w:rsidR="004F50C5" w14:paraId="1C47508D"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792DDEB" w14:textId="77777777" w:rsidR="004F50C5" w:rsidRDefault="004F50C5" w:rsidP="00C85BD5">
            <w:r>
              <w:rPr>
                <w:sz w:val="18"/>
                <w:szCs w:val="18"/>
              </w:rPr>
              <w:t>2</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8585621" w14:textId="77777777" w:rsidR="004F50C5" w:rsidRDefault="004F50C5" w:rsidP="00C85BD5">
            <w:r>
              <w:rPr>
                <w:sz w:val="18"/>
                <w:szCs w:val="18"/>
              </w:rPr>
              <w:t>39</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2FECF260" w14:textId="77777777" w:rsidR="004F50C5" w:rsidRDefault="004F50C5" w:rsidP="00C85BD5">
            <w:r>
              <w:rPr>
                <w:sz w:val="18"/>
                <w:szCs w:val="18"/>
              </w:rPr>
              <w:t>23</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301B242B" w14:textId="77777777" w:rsidR="004F50C5" w:rsidRDefault="004F50C5" w:rsidP="00C85BD5">
            <w:r>
              <w:rPr>
                <w:sz w:val="18"/>
                <w:szCs w:val="18"/>
              </w:rPr>
              <w:t>37.1%</w:t>
            </w:r>
          </w:p>
        </w:tc>
      </w:tr>
      <w:tr w:rsidR="004F50C5" w14:paraId="62CCCEA5" w14:textId="77777777" w:rsidTr="00C85BD5">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76E9FD46" w14:textId="77777777" w:rsidR="004F50C5" w:rsidRDefault="004F50C5" w:rsidP="00C85BD5">
            <w:r>
              <w:rPr>
                <w:sz w:val="18"/>
                <w:szCs w:val="18"/>
              </w:rPr>
              <w:t>3 to 4</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9A64E49" w14:textId="77777777" w:rsidR="004F50C5" w:rsidRDefault="004F50C5" w:rsidP="00C85BD5">
            <w:r>
              <w:rPr>
                <w:sz w:val="18"/>
                <w:szCs w:val="18"/>
              </w:rPr>
              <w:t>25</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4C15F0B4" w14:textId="77777777" w:rsidR="004F50C5" w:rsidRDefault="004F50C5" w:rsidP="00C85BD5">
            <w:r>
              <w:rPr>
                <w:sz w:val="18"/>
                <w:szCs w:val="18"/>
              </w:rPr>
              <w:t>55</w:t>
            </w:r>
          </w:p>
        </w:tc>
        <w:tc>
          <w:tcPr>
            <w:tcW w:w="0" w:type="auto"/>
            <w:tcBorders>
              <w:top w:val="single" w:sz="4" w:space="0" w:color="808080"/>
              <w:left w:val="single" w:sz="4" w:space="0" w:color="808080"/>
              <w:bottom w:val="single" w:sz="4" w:space="0" w:color="808080"/>
              <w:right w:val="single" w:sz="4" w:space="0" w:color="808080"/>
            </w:tcBorders>
            <w:shd w:val="clear" w:color="auto" w:fill="EBF0F8"/>
            <w:tcMar>
              <w:top w:w="50" w:type="dxa"/>
              <w:left w:w="80" w:type="dxa"/>
              <w:bottom w:w="50" w:type="dxa"/>
              <w:right w:w="80" w:type="dxa"/>
            </w:tcMar>
          </w:tcPr>
          <w:p w14:paraId="00C00D59" w14:textId="77777777" w:rsidR="004F50C5" w:rsidRDefault="004F50C5" w:rsidP="00C85BD5">
            <w:r>
              <w:rPr>
                <w:sz w:val="18"/>
                <w:szCs w:val="18"/>
              </w:rPr>
              <w:t>68.8%</w:t>
            </w:r>
          </w:p>
        </w:tc>
      </w:tr>
      <w:tr w:rsidR="004F50C5" w14:paraId="53678CE2" w14:textId="77777777" w:rsidTr="00C85BD5">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66207C70" w14:textId="77777777" w:rsidR="004F50C5" w:rsidRDefault="004F50C5" w:rsidP="00C85BD5">
            <w:r>
              <w:rPr>
                <w:sz w:val="18"/>
                <w:szCs w:val="18"/>
              </w:rPr>
              <w:t>≥5</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752BA98" w14:textId="77777777" w:rsidR="004F50C5" w:rsidRDefault="004F50C5" w:rsidP="00C85BD5">
            <w:r>
              <w:rPr>
                <w:sz w:val="18"/>
                <w:szCs w:val="18"/>
              </w:rPr>
              <w:t>18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0BCD0DE6" w14:textId="77777777" w:rsidR="004F50C5" w:rsidRDefault="004F50C5" w:rsidP="00C85BD5">
            <w:r>
              <w:rPr>
                <w:sz w:val="18"/>
                <w:szCs w:val="18"/>
              </w:rPr>
              <w:t>28</w:t>
            </w:r>
          </w:p>
        </w:tc>
        <w:tc>
          <w:tcPr>
            <w:tcW w:w="0" w:type="auto"/>
            <w:tcBorders>
              <w:top w:val="single" w:sz="4" w:space="0" w:color="808080"/>
              <w:left w:val="single" w:sz="4" w:space="0" w:color="808080"/>
              <w:bottom w:val="single" w:sz="4" w:space="0" w:color="808080"/>
              <w:right w:val="single" w:sz="4" w:space="0" w:color="808080"/>
            </w:tcBorders>
            <w:tcMar>
              <w:top w:w="50" w:type="dxa"/>
              <w:left w:w="80" w:type="dxa"/>
              <w:bottom w:w="50" w:type="dxa"/>
              <w:right w:w="80" w:type="dxa"/>
            </w:tcMar>
          </w:tcPr>
          <w:p w14:paraId="549AD844" w14:textId="77777777" w:rsidR="004F50C5" w:rsidRDefault="004F50C5" w:rsidP="00C85BD5">
            <w:r>
              <w:rPr>
                <w:sz w:val="18"/>
                <w:szCs w:val="18"/>
              </w:rPr>
              <w:t>60.9%</w:t>
            </w:r>
          </w:p>
        </w:tc>
      </w:tr>
    </w:tbl>
    <w:p w14:paraId="46948E52" w14:textId="77777777" w:rsidR="004F50C5" w:rsidRDefault="004F50C5" w:rsidP="004F50C5"/>
    <w:p w14:paraId="1490A7D9" w14:textId="77777777" w:rsidR="00BD12B2" w:rsidRDefault="00BD12B2"/>
    <w:sectPr w:rsidR="00BD12B2" w:rsidSect="004F50C5">
      <w:pgSz w:w="12240" w:h="15840"/>
      <w:pgMar w:top="1440" w:right="1080" w:bottom="144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C5F"/>
    <w:rsid w:val="00447AFD"/>
    <w:rsid w:val="004F50C5"/>
    <w:rsid w:val="00614CA0"/>
    <w:rsid w:val="00693FBA"/>
    <w:rsid w:val="00833C5F"/>
    <w:rsid w:val="008A7D1A"/>
    <w:rsid w:val="008E5535"/>
    <w:rsid w:val="00A72468"/>
    <w:rsid w:val="00B834C4"/>
    <w:rsid w:val="00BD1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DC95A"/>
  <w15:chartTrackingRefBased/>
  <w15:docId w15:val="{D7037EEC-025B-457D-A0C6-CBAC08736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0C5"/>
    <w:pPr>
      <w:spacing w:after="0" w:line="240" w:lineRule="auto"/>
    </w:pPr>
    <w:rPr>
      <w:rFonts w:ascii="Times New Roman" w:eastAsia="Times New Roman" w:hAnsi="Times New Roman" w:cs="Times New Roman"/>
      <w:color w:val="000000"/>
      <w:kern w:val="0"/>
      <w14:ligatures w14:val="none"/>
    </w:rPr>
  </w:style>
  <w:style w:type="paragraph" w:styleId="Heading1">
    <w:name w:val="heading 1"/>
    <w:basedOn w:val="Normal"/>
    <w:next w:val="Normal"/>
    <w:link w:val="Heading1Char"/>
    <w:uiPriority w:val="9"/>
    <w:qFormat/>
    <w:rsid w:val="00833C5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33C5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33C5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33C5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33C5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33C5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33C5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33C5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33C5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C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C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C5F"/>
    <w:rPr>
      <w:rFonts w:eastAsiaTheme="majorEastAsia" w:cstheme="majorBidi"/>
      <w:color w:val="272727" w:themeColor="text1" w:themeTint="D8"/>
    </w:rPr>
  </w:style>
  <w:style w:type="paragraph" w:styleId="Title">
    <w:name w:val="Title"/>
    <w:basedOn w:val="Normal"/>
    <w:next w:val="Normal"/>
    <w:link w:val="TitleChar"/>
    <w:uiPriority w:val="10"/>
    <w:qFormat/>
    <w:rsid w:val="00833C5F"/>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833C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C5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33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C5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33C5F"/>
    <w:rPr>
      <w:i/>
      <w:iCs/>
      <w:color w:val="404040" w:themeColor="text1" w:themeTint="BF"/>
    </w:rPr>
  </w:style>
  <w:style w:type="paragraph" w:styleId="ListParagraph">
    <w:name w:val="List Paragraph"/>
    <w:basedOn w:val="Normal"/>
    <w:uiPriority w:val="34"/>
    <w:qFormat/>
    <w:rsid w:val="00833C5F"/>
    <w:pPr>
      <w:spacing w:after="160" w:line="278" w:lineRule="auto"/>
      <w:ind w:left="720"/>
      <w:contextualSpacing/>
    </w:pPr>
    <w:rPr>
      <w:rFonts w:asciiTheme="minorHAnsi" w:eastAsiaTheme="minorHAnsi" w:hAnsiTheme="minorHAnsi" w:cstheme="minorBidi"/>
      <w:color w:val="auto"/>
      <w:kern w:val="2"/>
      <w14:ligatures w14:val="standardContextual"/>
    </w:rPr>
  </w:style>
  <w:style w:type="character" w:styleId="IntenseEmphasis">
    <w:name w:val="Intense Emphasis"/>
    <w:basedOn w:val="DefaultParagraphFont"/>
    <w:uiPriority w:val="21"/>
    <w:qFormat/>
    <w:rsid w:val="00833C5F"/>
    <w:rPr>
      <w:i/>
      <w:iCs/>
      <w:color w:val="0F4761" w:themeColor="accent1" w:themeShade="BF"/>
    </w:rPr>
  </w:style>
  <w:style w:type="paragraph" w:styleId="IntenseQuote">
    <w:name w:val="Intense Quote"/>
    <w:basedOn w:val="Normal"/>
    <w:next w:val="Normal"/>
    <w:link w:val="IntenseQuoteChar"/>
    <w:uiPriority w:val="30"/>
    <w:qFormat/>
    <w:rsid w:val="00833C5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833C5F"/>
    <w:rPr>
      <w:i/>
      <w:iCs/>
      <w:color w:val="0F4761" w:themeColor="accent1" w:themeShade="BF"/>
    </w:rPr>
  </w:style>
  <w:style w:type="character" w:styleId="IntenseReference">
    <w:name w:val="Intense Reference"/>
    <w:basedOn w:val="DefaultParagraphFont"/>
    <w:uiPriority w:val="32"/>
    <w:qFormat/>
    <w:rsid w:val="00833C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3090</Words>
  <Characters>17617</Characters>
  <Application>Microsoft Office Word</Application>
  <DocSecurity>0</DocSecurity>
  <Lines>146</Lines>
  <Paragraphs>41</Paragraphs>
  <ScaleCrop>false</ScaleCrop>
  <Company/>
  <LinksUpToDate>false</LinksUpToDate>
  <CharactersWithSpaces>20666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Bahaa El Deen Wehbeh</dc:creator>
  <cp:keywords/>
  <dc:description/>
  <cp:lastModifiedBy>Bahaa El Deen Wehbeh</cp:lastModifiedBy>
  <cp:revision>5</cp:revision>
  <dcterms:created xsi:type="dcterms:W3CDTF">2026-07-26T17:58:00Z</dcterms:created>
  <dcterms:modified xsi:type="dcterms:W3CDTF">2026-08-20T08:34:00Z</dcterms:modified>
</cp:coreProperties>
</file>