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21BCC" w14:textId="77777777" w:rsidR="00087CF2" w:rsidRDefault="00087CF2" w:rsidP="00087CF2">
      <w:pPr>
        <w:rPr>
          <w:rFonts w:ascii="Times New Roman" w:hAnsi="Times New Roman" w:cs="Times New Roman"/>
          <w:sz w:val="20"/>
          <w:szCs w:val="20"/>
          <w:lang w:eastAsia="ja-JP"/>
        </w:rPr>
      </w:pPr>
      <w:r w:rsidRPr="0084014D">
        <w:rPr>
          <w:rFonts w:ascii="Times New Roman" w:hAnsi="Times New Roman" w:cs="Times New Roman"/>
          <w:sz w:val="20"/>
          <w:szCs w:val="20"/>
          <w:lang w:eastAsia="ja-JP"/>
        </w:rPr>
        <w:t>Table S</w:t>
      </w:r>
      <w:r>
        <w:rPr>
          <w:rFonts w:ascii="Times New Roman" w:hAnsi="Times New Roman" w:cs="Times New Roman" w:hint="eastAsia"/>
          <w:sz w:val="20"/>
          <w:szCs w:val="20"/>
          <w:lang w:eastAsia="ja-JP"/>
        </w:rPr>
        <w:t>2</w:t>
      </w:r>
      <w:r w:rsidRPr="0084014D">
        <w:rPr>
          <w:rFonts w:ascii="Times New Roman" w:hAnsi="Times New Roman" w:cs="Times New Roman"/>
          <w:sz w:val="20"/>
          <w:szCs w:val="20"/>
          <w:lang w:eastAsia="ja-JP"/>
        </w:rPr>
        <w:t xml:space="preserve"> Characteristics of patients by ramucirumab concentration in the </w:t>
      </w:r>
      <w:r>
        <w:rPr>
          <w:rFonts w:ascii="Times New Roman" w:hAnsi="Times New Roman" w:cs="Times New Roman" w:hint="eastAsia"/>
          <w:sz w:val="20"/>
          <w:szCs w:val="20"/>
          <w:lang w:eastAsia="ja-JP"/>
        </w:rPr>
        <w:t>erlotinib</w:t>
      </w:r>
      <w:r w:rsidRPr="0084014D">
        <w:rPr>
          <w:rFonts w:ascii="Times New Roman" w:hAnsi="Times New Roman" w:cs="Times New Roman"/>
          <w:sz w:val="20"/>
          <w:szCs w:val="20"/>
          <w:lang w:eastAsia="ja-JP"/>
        </w:rPr>
        <w:t xml:space="preserve"> group</w:t>
      </w:r>
    </w:p>
    <w:p w14:paraId="068139E7" w14:textId="77777777" w:rsidR="00087CF2" w:rsidRDefault="00087CF2" w:rsidP="00087CF2">
      <w:pPr>
        <w:rPr>
          <w:rFonts w:ascii="Times New Roman" w:hAnsi="Times New Roman" w:cs="Times New Roman"/>
          <w:sz w:val="20"/>
          <w:szCs w:val="20"/>
          <w:lang w:eastAsia="ja-JP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35"/>
        <w:gridCol w:w="1976"/>
        <w:gridCol w:w="1976"/>
      </w:tblGrid>
      <w:tr w:rsidR="00087CF2" w:rsidRPr="00600548" w14:paraId="31A16CEB" w14:textId="77777777" w:rsidTr="004665BF">
        <w:trPr>
          <w:trHeight w:hRule="exact" w:val="510"/>
          <w:tblHeader/>
          <w:jc w:val="center"/>
        </w:trPr>
        <w:tc>
          <w:tcPr>
            <w:tcW w:w="383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0FC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9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4723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Q2-4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6</w:t>
            </w:r>
          </w:p>
        </w:tc>
        <w:tc>
          <w:tcPr>
            <w:tcW w:w="19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DD78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  <w:t>Q1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br/>
              <w:t>N = 2</w:t>
            </w:r>
          </w:p>
        </w:tc>
      </w:tr>
      <w:tr w:rsidR="00087CF2" w:rsidRPr="00600548" w14:paraId="25744E15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534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976" w:type="dxa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3B7D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76(69-83)</w:t>
            </w:r>
          </w:p>
        </w:tc>
        <w:tc>
          <w:tcPr>
            <w:tcW w:w="1976" w:type="dxa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8B6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65(59-71)</w:t>
            </w:r>
          </w:p>
        </w:tc>
      </w:tr>
      <w:tr w:rsidR="00087CF2" w:rsidRPr="00600548" w14:paraId="60CEC37A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36A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436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13F1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0A46DBC4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02E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284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1AC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(33.3%)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38D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140F14DA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962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284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1B5C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(66.7%)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415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06B1F3E5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A0C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ody height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(cm)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956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157.6 (±8.1)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7EAA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169.0 (±8.5)</w:t>
            </w:r>
          </w:p>
        </w:tc>
      </w:tr>
      <w:tr w:rsidR="00087CF2" w:rsidRPr="00600548" w14:paraId="6CB6964E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48E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ody weight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(kg)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559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54.6 (±12.8)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E74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69.6 (±13.8)</w:t>
            </w:r>
          </w:p>
        </w:tc>
      </w:tr>
      <w:tr w:rsidR="00087CF2" w:rsidRPr="00600548" w14:paraId="0316D614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12B8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ody surface area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(m2)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03B0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1.54 (±0.19)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4D7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1.79 (±0.09)</w:t>
            </w:r>
          </w:p>
        </w:tc>
      </w:tr>
      <w:tr w:rsidR="00087CF2" w:rsidRPr="00600548" w14:paraId="6B361874" w14:textId="77777777" w:rsidTr="004665BF">
        <w:trPr>
          <w:trHeight w:hRule="exact" w:val="397"/>
          <w:jc w:val="center"/>
        </w:trPr>
        <w:tc>
          <w:tcPr>
            <w:tcW w:w="38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F7CE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ody mass index</w:t>
            </w: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(kg/m2)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6A5B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21.8 (±3.4)</w:t>
            </w:r>
          </w:p>
        </w:tc>
        <w:tc>
          <w:tcPr>
            <w:tcW w:w="197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715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24.7 (±7.3)</w:t>
            </w:r>
          </w:p>
        </w:tc>
      </w:tr>
      <w:tr w:rsidR="00087CF2" w:rsidRPr="00600548" w14:paraId="25DCB8F7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5120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Stage</w:t>
            </w:r>
          </w:p>
        </w:tc>
        <w:tc>
          <w:tcPr>
            <w:tcW w:w="19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161F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94A1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25CE831A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966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A98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(33.3%)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D3F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2D03E01D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84F63" w14:textId="77777777" w:rsidR="00087CF2" w:rsidRPr="006D1FA9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rec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urrent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8C1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(66.7%)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D236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78DB25B6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98D2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Tumor histology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81E9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DE3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78EDF614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2B97F" w14:textId="77777777" w:rsidR="00087CF2" w:rsidRPr="006D1FA9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ja-JP"/>
              </w:rPr>
              <w:t>enocarcinoma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F2B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(100.0%)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051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13C21C0E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5C5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1783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(50.0%)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53B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78A46D23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B06E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EGFR mutation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3854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D070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4939D950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DBB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del19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BD9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(33.3%)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B6B8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  <w:tr w:rsidR="00087CF2" w:rsidRPr="00600548" w14:paraId="37035C12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2AAC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L858R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708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(66.7%)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DBE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  <w:tr w:rsidR="00087CF2" w:rsidRPr="00600548" w14:paraId="17596E83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FF8C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PDL1 TPS (%)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D24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D3F7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7A13DCFA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51B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715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DA7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  <w:tr w:rsidR="00087CF2" w:rsidRPr="00600548" w14:paraId="49D8B2F5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4E6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326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FAA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  <w:tr w:rsidR="00087CF2" w:rsidRPr="00600548" w14:paraId="0315650C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362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1-49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2A4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(66.7%)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295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18C29345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40C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C97D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149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1DF3159A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756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ECOG PS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2C7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(50.0%)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D47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60F708B2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812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treatment courses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5E3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C59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25D7DFE6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5828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&lt;2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9A0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 (66.7%)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FDF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61FE84C3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34F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0E8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(33.3%)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10F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38F7CC85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1849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ICI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947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(100.0%)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575D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39626B84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E25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anti-VEGF/VEGFR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A74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4AE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77E40688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7A8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EGFR-TKI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F484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(50.0%)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CC7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  <w:tr w:rsidR="00087CF2" w:rsidRPr="00600548" w14:paraId="2F5A266A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767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taxan</w:t>
            </w:r>
            <w:r w:rsidRPr="00600548"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  <w:t>e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50D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A5EF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75A82979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06D9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Prior response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7BA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0BB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43700520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02A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096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(50.0%)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7F8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5A4AA3B0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7C3C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NonCR</w:t>
            </w:r>
            <w:proofErr w:type="spellEnd"/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NonPD</w:t>
            </w:r>
            <w:proofErr w:type="spellEnd"/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DAF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744E4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1A992FDC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6E00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6F8B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B63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4E17327C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BB6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25E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9CD5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42539713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9B9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897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125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43039C12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921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RAM infusions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3C32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E1AB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87CF2" w:rsidRPr="00600548" w14:paraId="75E99D9B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74437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DE79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(100.0%)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C8C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50CE07AD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292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Pleural effusion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6F7DD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 (100.0%)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F8C1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1D621F87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4FF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Edema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D819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(33.3%)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1C9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78C25659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5A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Proteinuria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6A5D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 (50.0%)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5F48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087CF2" w:rsidRPr="00600548" w14:paraId="6A8D292E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84A6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Albumin (g/dl)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8B8E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3.85 (±0.55)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807E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4.45 (±0.35)</w:t>
            </w:r>
          </w:p>
        </w:tc>
      </w:tr>
      <w:tr w:rsidR="00087CF2" w:rsidRPr="00600548" w14:paraId="0C2F301B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1A78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 reactive protein (mg/dl)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4830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0.06 (0.04-0.18)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3FBCA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0.69 (0.53-0.84)</w:t>
            </w:r>
          </w:p>
        </w:tc>
      </w:tr>
      <w:tr w:rsidR="00087CF2" w:rsidRPr="00600548" w14:paraId="6E79E7E5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5265F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Modified Glasgow prognostic score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C49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5933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 (100.0%)</w:t>
            </w:r>
          </w:p>
        </w:tc>
      </w:tr>
      <w:tr w:rsidR="00087CF2" w:rsidRPr="00600548" w14:paraId="4A4DEDA3" w14:textId="77777777" w:rsidTr="004665BF">
        <w:trPr>
          <w:trHeight w:hRule="exact" w:val="397"/>
          <w:jc w:val="center"/>
        </w:trPr>
        <w:tc>
          <w:tcPr>
            <w:tcW w:w="383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2B75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Cachexia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1DAB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(16.7%)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EDC1" w14:textId="77777777" w:rsidR="00087CF2" w:rsidRPr="00600548" w:rsidRDefault="00087CF2" w:rsidP="004665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60054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 (50.0%)</w:t>
            </w:r>
          </w:p>
        </w:tc>
      </w:tr>
    </w:tbl>
    <w:p w14:paraId="2AA26EF7" w14:textId="77777777" w:rsidR="00087CF2" w:rsidRDefault="00087CF2" w:rsidP="00087CF2">
      <w:pPr>
        <w:rPr>
          <w:rFonts w:ascii="Times New Roman" w:hAnsi="Times New Roman" w:cs="Times New Roman"/>
          <w:sz w:val="20"/>
          <w:szCs w:val="20"/>
          <w:lang w:eastAsia="ja-JP"/>
        </w:rPr>
      </w:pPr>
    </w:p>
    <w:p w14:paraId="3487D106" w14:textId="77777777" w:rsidR="00087CF2" w:rsidRPr="00200D8E" w:rsidRDefault="00087CF2" w:rsidP="00087CF2">
      <w:pPr>
        <w:spacing w:line="480" w:lineRule="auto"/>
        <w:rPr>
          <w:rFonts w:ascii="Times New Roman" w:hAnsi="Times New Roman" w:cs="Times New Roman"/>
          <w:sz w:val="20"/>
          <w:szCs w:val="20"/>
          <w:lang w:eastAsia="ja-JP"/>
        </w:rPr>
      </w:pPr>
      <w:r w:rsidRPr="00095B3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Abbreviations: </w:t>
      </w:r>
      <w:r w:rsidRPr="00095B39">
        <w:rPr>
          <w:rFonts w:ascii="Times New Roman" w:hAnsi="Times New Roman" w:cs="Times New Roman" w:hint="eastAsia"/>
          <w:sz w:val="20"/>
          <w:szCs w:val="20"/>
        </w:rPr>
        <w:t>RAM; ramucirumab, DTX; docetaxel, ERL; erlotinib</w:t>
      </w:r>
      <w:r>
        <w:rPr>
          <w:rFonts w:ascii="Times New Roman" w:hAnsi="Times New Roman" w:cs="Times New Roman" w:hint="eastAsia"/>
          <w:sz w:val="20"/>
          <w:szCs w:val="20"/>
        </w:rPr>
        <w:t>, EGFR;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Epidermal Growth Factor Receptor</w:t>
      </w:r>
      <w:r>
        <w:rPr>
          <w:rFonts w:ascii="Times New Roman" w:hAnsi="Times New Roman" w:cs="Times New Roman" w:hint="eastAsia"/>
          <w:sz w:val="20"/>
          <w:szCs w:val="20"/>
        </w:rPr>
        <w:t>, PD-L1;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Programmed Death-Ligand 1</w:t>
      </w:r>
      <w:r>
        <w:rPr>
          <w:rFonts w:ascii="Times New Roman" w:hAnsi="Times New Roman" w:cs="Times New Roman" w:hint="eastAsia"/>
          <w:sz w:val="20"/>
          <w:szCs w:val="20"/>
        </w:rPr>
        <w:t xml:space="preserve">, TPS; </w:t>
      </w:r>
      <w:r w:rsidRPr="0039263C">
        <w:rPr>
          <w:rFonts w:ascii="Times New Roman" w:hAnsi="Times New Roman" w:cs="Times New Roman"/>
          <w:sz w:val="20"/>
          <w:szCs w:val="20"/>
        </w:rPr>
        <w:t>Tumor Proportion Score</w:t>
      </w:r>
      <w:r>
        <w:rPr>
          <w:rFonts w:ascii="Times New Roman" w:hAnsi="Times New Roman" w:cs="Times New Roman" w:hint="eastAsia"/>
          <w:sz w:val="20"/>
          <w:szCs w:val="20"/>
        </w:rPr>
        <w:t>, ECOG-PS;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Eastern Cooperative Oncology Group Performance Status</w:t>
      </w:r>
      <w:r>
        <w:rPr>
          <w:rFonts w:ascii="Times New Roman" w:hAnsi="Times New Roman" w:cs="Times New Roman" w:hint="eastAsia"/>
          <w:sz w:val="20"/>
          <w:szCs w:val="20"/>
        </w:rPr>
        <w:t>, ICI;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Immune Checkpoint Inhibitor</w:t>
      </w:r>
      <w:r>
        <w:rPr>
          <w:rFonts w:ascii="Times New Roman" w:hAnsi="Times New Roman" w:cs="Times New Roman" w:hint="eastAsia"/>
          <w:sz w:val="20"/>
          <w:szCs w:val="20"/>
        </w:rPr>
        <w:t>, VEGF;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Vascular Endothelial Growth Factor</w:t>
      </w:r>
      <w:r>
        <w:rPr>
          <w:rFonts w:ascii="Times New Roman" w:hAnsi="Times New Roman" w:cs="Times New Roman" w:hint="eastAsia"/>
          <w:sz w:val="20"/>
          <w:szCs w:val="20"/>
        </w:rPr>
        <w:t>, VEGFR;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Vascular Endothelial Growth Factor</w:t>
      </w:r>
      <w:r>
        <w:rPr>
          <w:rFonts w:ascii="Times New Roman" w:hAnsi="Times New Roman" w:cs="Times New Roman" w:hint="eastAsia"/>
          <w:sz w:val="20"/>
          <w:szCs w:val="20"/>
        </w:rPr>
        <w:t xml:space="preserve"> Receptor, TKI;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Tyrosine Kinase Inhibitor</w:t>
      </w:r>
      <w:r>
        <w:rPr>
          <w:rFonts w:ascii="Times New Roman" w:hAnsi="Times New Roman" w:cs="Times New Roman" w:hint="eastAsia"/>
          <w:sz w:val="20"/>
          <w:szCs w:val="20"/>
        </w:rPr>
        <w:t>, PR;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Partial Response</w:t>
      </w:r>
      <w:r>
        <w:rPr>
          <w:rFonts w:ascii="Times New Roman" w:hAnsi="Times New Roman" w:cs="Times New Roman" w:hint="eastAsia"/>
          <w:sz w:val="20"/>
          <w:szCs w:val="20"/>
        </w:rPr>
        <w:t>, SD;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Stable Disease</w:t>
      </w:r>
      <w:r>
        <w:rPr>
          <w:rFonts w:ascii="Times New Roman" w:hAnsi="Times New Roman" w:cs="Times New Roman" w:hint="eastAsia"/>
          <w:sz w:val="20"/>
          <w:szCs w:val="20"/>
        </w:rPr>
        <w:t>, PD;</w:t>
      </w:r>
      <w:r w:rsidRPr="0039263C">
        <w:t xml:space="preserve"> </w:t>
      </w:r>
      <w:r w:rsidRPr="0039263C">
        <w:rPr>
          <w:rFonts w:ascii="Times New Roman" w:hAnsi="Times New Roman" w:cs="Times New Roman"/>
          <w:sz w:val="20"/>
          <w:szCs w:val="20"/>
        </w:rPr>
        <w:t>Progressive Disease</w:t>
      </w:r>
      <w:r>
        <w:rPr>
          <w:rFonts w:ascii="Times New Roman" w:hAnsi="Times New Roman" w:cs="Times New Roman" w:hint="eastAsia"/>
          <w:sz w:val="20"/>
          <w:szCs w:val="20"/>
        </w:rPr>
        <w:t xml:space="preserve">, NE; </w:t>
      </w:r>
      <w:r w:rsidRPr="0039263C">
        <w:rPr>
          <w:rFonts w:ascii="Times New Roman" w:hAnsi="Times New Roman" w:cs="Times New Roman"/>
          <w:sz w:val="20"/>
          <w:szCs w:val="20"/>
        </w:rPr>
        <w:t>Not Evaluable</w:t>
      </w:r>
    </w:p>
    <w:p w14:paraId="21DED071" w14:textId="77777777" w:rsidR="00C40F49" w:rsidRDefault="00C40F49"/>
    <w:sectPr w:rsidR="00C40F49" w:rsidSect="00087C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593C" w14:textId="77777777" w:rsidR="00FB5F48" w:rsidRDefault="00FB5F48" w:rsidP="00F95B91">
      <w:r>
        <w:separator/>
      </w:r>
    </w:p>
  </w:endnote>
  <w:endnote w:type="continuationSeparator" w:id="0">
    <w:p w14:paraId="2D18813E" w14:textId="77777777" w:rsidR="00FB5F48" w:rsidRDefault="00FB5F48" w:rsidP="00F9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867A" w14:textId="77777777" w:rsidR="00FB5F48" w:rsidRDefault="00FB5F48" w:rsidP="00F95B91">
      <w:r>
        <w:separator/>
      </w:r>
    </w:p>
  </w:footnote>
  <w:footnote w:type="continuationSeparator" w:id="0">
    <w:p w14:paraId="44AE57E5" w14:textId="77777777" w:rsidR="00FB5F48" w:rsidRDefault="00FB5F48" w:rsidP="00F95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F2"/>
    <w:rsid w:val="00087CF2"/>
    <w:rsid w:val="004663BB"/>
    <w:rsid w:val="009B65CD"/>
    <w:rsid w:val="00C40F49"/>
    <w:rsid w:val="00F95B91"/>
    <w:rsid w:val="00FA7F04"/>
    <w:rsid w:val="00FB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3FE95"/>
  <w15:chartTrackingRefBased/>
  <w15:docId w15:val="{002267C3-84F5-482F-B093-9327DC95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CF2"/>
    <w:pPr>
      <w:jc w:val="left"/>
    </w:pPr>
    <w:rPr>
      <w:kern w:val="0"/>
      <w:sz w:val="24"/>
      <w:szCs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7CF2"/>
    <w:pPr>
      <w:keepNext/>
      <w:keepLines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CF2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CF2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CF2"/>
    <w:pPr>
      <w:keepNext/>
      <w:keepLines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CF2"/>
    <w:pPr>
      <w:keepNext/>
      <w:keepLines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CF2"/>
    <w:pPr>
      <w:keepNext/>
      <w:keepLines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CF2"/>
    <w:pPr>
      <w:keepNext/>
      <w:keepLines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CF2"/>
    <w:pPr>
      <w:keepNext/>
      <w:keepLines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CF2"/>
    <w:pPr>
      <w:keepNext/>
      <w:keepLines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7C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7C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7CF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7C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7C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87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C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87C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7CF2"/>
    <w:pPr>
      <w:spacing w:before="160" w:after="160"/>
      <w:jc w:val="center"/>
    </w:pPr>
    <w:rPr>
      <w:i/>
      <w:iCs/>
      <w:color w:val="404040" w:themeColor="text1" w:themeTint="BF"/>
      <w:kern w:val="2"/>
      <w:sz w:val="21"/>
      <w:szCs w:val="21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87C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7CF2"/>
    <w:pPr>
      <w:ind w:left="720"/>
      <w:contextualSpacing/>
      <w:jc w:val="both"/>
    </w:pPr>
    <w:rPr>
      <w:kern w:val="2"/>
      <w:sz w:val="21"/>
      <w:szCs w:val="21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087C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7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  <w:szCs w:val="21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87C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7CF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95B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5B91"/>
    <w:rPr>
      <w:kern w:val="0"/>
      <w:sz w:val="24"/>
      <w:szCs w:val="24"/>
      <w:lang w:eastAsia="en-US"/>
      <w14:ligatures w14:val="none"/>
    </w:rPr>
  </w:style>
  <w:style w:type="paragraph" w:styleId="ac">
    <w:name w:val="footer"/>
    <w:basedOn w:val="a"/>
    <w:link w:val="ad"/>
    <w:uiPriority w:val="99"/>
    <w:unhideWhenUsed/>
    <w:rsid w:val="00F95B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95B91"/>
    <w:rPr>
      <w:kern w:val="0"/>
      <w:sz w:val="24"/>
      <w:szCs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1591</Characters>
  <Application>Microsoft Office Word</Application>
  <DocSecurity>0</DocSecurity>
  <Lines>148</Lines>
  <Paragraphs>124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和優 赤城</dc:creator>
  <cp:keywords/>
  <dc:description/>
  <cp:lastModifiedBy>和優 赤城</cp:lastModifiedBy>
  <cp:revision>2</cp:revision>
  <dcterms:created xsi:type="dcterms:W3CDTF">2026-01-25T10:02:00Z</dcterms:created>
  <dcterms:modified xsi:type="dcterms:W3CDTF">2026-01-25T10:05:00Z</dcterms:modified>
</cp:coreProperties>
</file>