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FF7F5">
      <w:pPr>
        <w:spacing w:after="150" w:afterAutospacing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Supplementary Table S1</w:t>
      </w:r>
    </w:p>
    <w:p w14:paraId="3CF275F5">
      <w:pPr>
        <w:spacing w:after="150" w:afterAutospacing="0"/>
        <w:jc w:val="left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Comparison of Baseline Characteristics Between Included Patients (n=70) and Excluded Patients Due to Postoperative Complications (n=11)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2270"/>
        <w:gridCol w:w="1875"/>
        <w:gridCol w:w="1069"/>
        <w:gridCol w:w="719"/>
      </w:tblGrid>
      <w:tr w14:paraId="3341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DB894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Characteristic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ab/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C049DA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Included Patients (n=70)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703FE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Excluded Patients (n=11)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192E1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Statistical Value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E181E8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Value</w:t>
            </w:r>
          </w:p>
        </w:tc>
      </w:tr>
      <w:tr w14:paraId="17BB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4478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Age (years), mean ± SD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331E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62.3 ± 7.8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4346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68.5 ± 6.2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7715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 = 2.52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5867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0.04</w:t>
            </w:r>
          </w:p>
        </w:tc>
      </w:tr>
      <w:tr w14:paraId="057BD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95BD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Gender, n (%)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9FB52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4761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BD76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χ² = 0.18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01E9C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0.67</w:t>
            </w:r>
          </w:p>
        </w:tc>
      </w:tr>
      <w:tr w14:paraId="5310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49872C7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Male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47D98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40 (57.1%)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739B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7 (63.6%)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E9EF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5EFF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7911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4FEFBAC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Female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5D586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30 (42.9%)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3286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 (36.4%)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7961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3778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455F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CC91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Smoking history, n (%)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ab/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191AF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E6C4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6CC2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χ² = 0.31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5416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0.58</w:t>
            </w:r>
          </w:p>
        </w:tc>
      </w:tr>
      <w:tr w14:paraId="1E05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31DBA24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6398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35 (50.0%)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5F9B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 (54.5%)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CB9E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41AB1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0E567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0B7E12DC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E348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35 (50.0%)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BFED9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5 (45.5%)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8913B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1A26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5C65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DB06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Pathological type, n (%)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3100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2358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2F86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χ² = 0.02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38FD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0.89</w:t>
            </w:r>
          </w:p>
        </w:tc>
      </w:tr>
      <w:tr w14:paraId="2499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648D3F8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Adenocarcinoma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6A49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40 (57.1%)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E3FB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 (54.5%)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9691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302D5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1737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1BDC211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Squamous cell carcinoma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2A9F4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30 (42.9%)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5B20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5 (45.5%)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5DFA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81A48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2A202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C2840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TNM stage, n (%)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3A0A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E16D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B458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χ² = 4.72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5DED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0.03</w:t>
            </w:r>
          </w:p>
        </w:tc>
      </w:tr>
      <w:tr w14:paraId="7C83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19DBD99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I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B52A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24 (34.3%)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879E0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 (18.2%)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35A6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704B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5033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3E1DD95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II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5FC36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28 (40.0%)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9C161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 (27.3%)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1D12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F003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41B5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4AE6D9E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Stage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III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5473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18 (25.7%)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F450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 (54.5%)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F1EEF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1EC3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7BDC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86E94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Lymph node metastasis, n (%)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FE56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E021B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7E1E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χ² = 3.12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26D1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0.08</w:t>
            </w:r>
          </w:p>
        </w:tc>
      </w:tr>
      <w:tr w14:paraId="4E12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237427F6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CFBD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46 (65.7%)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A53D5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5 (45.5%)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6570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6445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44769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58C5255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3EA9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24 (34.3%)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B922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 (54.5%)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C85C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522F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262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801B1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Preoperative (T0) SAA2 (μg/mL), median (IQR)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6D5CE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18.6 (12.4–26.8)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51C8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28.4 (20.1–35.2)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FA1F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Z = 2.33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2009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0.02</w:t>
            </w:r>
          </w:p>
        </w:tc>
      </w:tr>
      <w:tr w14:paraId="4FC51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9F06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Postoperative complications, n (%)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A6D7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48C73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CB9D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D20B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11DA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1410E9B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Prolonged air leak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8BA6F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—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21C0F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 (36.4%)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24C6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1658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04B08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6C8C5AA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Pneumonia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3A77F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—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F58B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 (27.3%)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0130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D4B35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5778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7BED16B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Atrial fibrillation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433C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—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40CB6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 (18.2%)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9D54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5025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36060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65FEFED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Wound infection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21A9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—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64FDA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 (9.1%)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9EF9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C7536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  <w:tr w14:paraId="26FC0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300" w:type="dxa"/>
              <w:bottom w:w="120" w:type="dxa"/>
              <w:right w:w="120" w:type="dxa"/>
            </w:tcMar>
            <w:vAlign w:val="center"/>
          </w:tcPr>
          <w:p w14:paraId="59F94DE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Pulmonary embolism</w:t>
            </w:r>
          </w:p>
        </w:tc>
        <w:tc>
          <w:tcPr>
            <w:tcW w:w="139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74FE5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—</w:t>
            </w:r>
          </w:p>
        </w:tc>
        <w:tc>
          <w:tcPr>
            <w:tcW w:w="115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57AB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 (9.1%)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6B3E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B6E4A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</w:t>
            </w:r>
          </w:p>
        </w:tc>
      </w:tr>
    </w:tbl>
    <w:p w14:paraId="5ADA5F84">
      <w:pPr>
        <w:spacing w:after="150" w:afterAutospacing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Abbreviations: SD, standard deviation; IQR, interquartile range; TNM, tumor-node-metastasis; SAA2, serum amyloid A2.</w:t>
      </w:r>
    </w:p>
    <w:p w14:paraId="132A5AB8">
      <w:pPr>
        <w:spacing w:after="150" w:afterAutospacing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 w14:paraId="3D738605">
      <w:pPr>
        <w:spacing w:after="150" w:afterAutospacing="0"/>
        <w:jc w:val="left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Supplementary Table S3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Spearman Correlation Coefficients Between SAA2 and CRP at Each Perioperative Time Point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2513"/>
        <w:gridCol w:w="2199"/>
        <w:gridCol w:w="1324"/>
        <w:gridCol w:w="1074"/>
      </w:tblGrid>
      <w:tr w14:paraId="6A36A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8CFF5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Time Point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48A15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Description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E9324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Spearman's rho (r)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24B1A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95% CI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7C97D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P Value</w:t>
            </w:r>
          </w:p>
        </w:tc>
      </w:tr>
      <w:tr w14:paraId="3543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56DAC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7E9F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1 day before surgery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2AEE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3CD8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0.18–0.56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6C9ED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0.001</w:t>
            </w:r>
          </w:p>
        </w:tc>
      </w:tr>
      <w:tr w14:paraId="7C27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C955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47AB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1 day after surgery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9047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0.51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E330A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0.33–0.66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00FB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68DC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0A5E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D3F0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7 days after surgery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037E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0.44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BB34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0.25–0.60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519C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44B8D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EABE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7B2C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unset" w:cs="Times New Roman"/>
                <w:color w:val="auto"/>
                <w:sz w:val="21"/>
                <w:szCs w:val="21"/>
              </w:rPr>
              <w:t>1 month after surgery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BCDAB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3A69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0.29–0.63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B2073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</w:tbl>
    <w:p w14:paraId="715D40AE">
      <w:pPr>
        <w:spacing w:after="150" w:afterAutospacing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Abbreviations: SAA2, serum amyloid A2; CRP, C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reactive protein; CI, confidence interval.</w:t>
      </w:r>
    </w:p>
    <w:p w14:paraId="6F1CCF34">
      <w:pPr>
        <w:spacing w:after="150" w:afterAutospacing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 w14:paraId="1800E6F5">
      <w:pPr>
        <w:spacing w:after="150" w:afterAutospacing="0"/>
        <w:jc w:val="left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Supplementary Table S4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Multivariable Cox Regression Analysis of T3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SAA2 for DFS After Excluding Patients with Recurrence Within 6 Months (n = 62)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783"/>
        <w:gridCol w:w="713"/>
        <w:gridCol w:w="1096"/>
        <w:gridCol w:w="816"/>
        <w:gridCol w:w="608"/>
        <w:gridCol w:w="1185"/>
      </w:tblGrid>
      <w:tr w14:paraId="71FA9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61993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Variable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66B94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B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AE766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SE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5E633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Wald（χ²）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7AD90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D816F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HR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9AC71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95% CI</w:t>
            </w:r>
          </w:p>
        </w:tc>
      </w:tr>
      <w:tr w14:paraId="6026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AB90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Age (&gt;65 vs. ≤65 years)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46B2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0.113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1AC64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0.462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5A28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0.060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07CE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0.806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FF1E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1.12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A55A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0.45–2.78</w:t>
            </w:r>
          </w:p>
        </w:tc>
      </w:tr>
      <w:tr w14:paraId="61CE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DD7F4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Gender (Male vs. Female)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35B2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-0.051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7485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0.467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9723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0.012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3056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0.913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FC84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0.95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D581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0.38–2.35</w:t>
            </w:r>
          </w:p>
        </w:tc>
      </w:tr>
      <w:tr w14:paraId="13D0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7A80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Pathological type (Squamous vs. Adenocarcinoma)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34DD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-0.248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ADAB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0.449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722B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0.305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5AA96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0.581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D50A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0.78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2DB6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0.32–1.88</w:t>
            </w:r>
          </w:p>
        </w:tc>
      </w:tr>
      <w:tr w14:paraId="1D9E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E562D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TNM stage (III vs. I/II)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1116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0.372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4E2D9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0.469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C5A5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0.629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4BCE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0.428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D73B2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1.45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DA30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0.58–3.62</w:t>
            </w:r>
          </w:p>
        </w:tc>
      </w:tr>
      <w:tr w14:paraId="323E7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DDF4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Lymph node metastasis (Yes vs. No)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9EAA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1.573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A34B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0.588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51F4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7.158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7872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0.008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E4292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4.82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3622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1.52–15.28</w:t>
            </w:r>
          </w:p>
        </w:tc>
      </w:tr>
      <w:tr w14:paraId="15BA8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FB14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T3‑SAA2 level (≥18.3 vs. &lt;18.3 μg/mL)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CD108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0.762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33444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0.282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F952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7.308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8C55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BFA4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2.14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FC348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1.23–3.72</w:t>
            </w:r>
          </w:p>
        </w:tc>
      </w:tr>
    </w:tbl>
    <w:p w14:paraId="03820DF9">
      <w:pPr>
        <w:jc w:val="left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Abbreviations: SAA2, serum amyloid A2; DFS, disease‑free survival; B, regression coefficient; SE, standard error; HR, hazard ratio; CI, confidence interval; TNM, tumor‑node‑metastasis.</w:t>
      </w:r>
    </w:p>
    <w:p w14:paraId="1878BF44">
      <w:pPr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 w14:paraId="240747D3">
      <w:pPr>
        <w:widowControl w:val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  <w:tab/>
      </w:r>
    </w:p>
    <w:p w14:paraId="1C328326">
      <w:pPr>
        <w:spacing w:after="150" w:afterAutospacing="0"/>
        <w:jc w:val="left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Supplementary Table S5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Spearman Correlation Matrix Between SAA2, CRP, and NLR at All Four Perioperative Time Points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1571"/>
        <w:gridCol w:w="1843"/>
        <w:gridCol w:w="1350"/>
        <w:gridCol w:w="900"/>
      </w:tblGrid>
      <w:tr w14:paraId="2925F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6E9F5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Time Point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6A8A7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Biomarker Pair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297EAE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Spearman's rho (r)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4D82D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95% CI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0CDE3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P Value</w:t>
            </w:r>
          </w:p>
        </w:tc>
      </w:tr>
      <w:tr w14:paraId="5EEE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0153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T0（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Preoperative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3FFC1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CRP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B4075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DED1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0.18–0.56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CFE7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0.001</w:t>
            </w:r>
          </w:p>
        </w:tc>
      </w:tr>
      <w:tr w14:paraId="008B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E0F11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C0A6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7480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81A5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0.01–0.41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315B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0.048</w:t>
            </w:r>
          </w:p>
        </w:tc>
      </w:tr>
      <w:tr w14:paraId="7538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9D93A9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4794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CRP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FD38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7B097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0.10–0.49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4793F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0.009</w:t>
            </w:r>
          </w:p>
        </w:tc>
      </w:tr>
      <w:tr w14:paraId="0F2B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6B0A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T1（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Postoperative Day 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84A06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CRP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50FE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  <w:t>0.51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9F4C8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0.33–0.66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6069B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7DD7A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D09F1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8EF1F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D9DB1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8885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0.07–0.46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7D55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0.018</w:t>
            </w:r>
          </w:p>
        </w:tc>
      </w:tr>
      <w:tr w14:paraId="79F9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8F338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D3AF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CRP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B1EF6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D1EE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0.22–0.57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7165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6FBF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C79BA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T2（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Postoperative Day 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01566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CRP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523D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0.44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5F2B7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0.25–0.60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23DB2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1B8E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12962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512E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C9D7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0933F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-0.01 to 0.40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4DC1A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0.065</w:t>
            </w:r>
          </w:p>
        </w:tc>
      </w:tr>
      <w:tr w14:paraId="3986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6503A3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9F3A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CRP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F5FF9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004D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0.15–0.53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9EF53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0.003</w:t>
            </w:r>
          </w:p>
        </w:tc>
      </w:tr>
      <w:tr w14:paraId="2B2E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040F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T3（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1 Month Postoperative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F10A1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CRP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D0A3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0.48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8D1C25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0.29–0.63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4A06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&lt;0.001</w:t>
            </w:r>
          </w:p>
        </w:tc>
      </w:tr>
      <w:tr w14:paraId="7D27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0343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94CB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SAA2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4755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75580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0.14–0.53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E6815B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0.003</w:t>
            </w:r>
          </w:p>
        </w:tc>
      </w:tr>
      <w:tr w14:paraId="4AD9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7AEAE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D3B72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CRP vs. NLR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4A26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0.38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3D9F7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0.18–0.55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435FD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0.001</w:t>
            </w:r>
          </w:p>
        </w:tc>
      </w:tr>
    </w:tbl>
    <w:p w14:paraId="6487E9DD">
      <w:pPr>
        <w:widowControl w:val="0"/>
        <w:ind w:leftChars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Abbreviations: SAA2, serum amyloid A2; CRP, C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reactive protein; NLR, neutrophil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to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lymphocyte ratio; CI, confidence interval; T0, 1 day before surgery; T1, 1 day after surgery; T2, 7 days after surgery; T3, 1 month after surgery.</w:t>
      </w:r>
    </w:p>
    <w:p w14:paraId="6B6E11F1">
      <w:pPr>
        <w:widowControl w:val="0"/>
        <w:ind w:leftChars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 w14:paraId="075C6A00">
      <w:pPr>
        <w:widowControl w:val="0"/>
        <w:ind w:leftChars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unse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B0F9D"/>
    <w:rsid w:val="0B9A495D"/>
    <w:rsid w:val="0F3D4059"/>
    <w:rsid w:val="1C2344FA"/>
    <w:rsid w:val="25E67F26"/>
    <w:rsid w:val="270F6A4A"/>
    <w:rsid w:val="274A22FC"/>
    <w:rsid w:val="278A3680"/>
    <w:rsid w:val="53486019"/>
    <w:rsid w:val="56B5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531</Words>
  <Characters>2637</Characters>
  <Lines>0</Lines>
  <Paragraphs>0</Paragraphs>
  <TotalTime>14</TotalTime>
  <ScaleCrop>false</ScaleCrop>
  <LinksUpToDate>false</LinksUpToDate>
  <CharactersWithSpaces>2987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2026-08-17T05:38:00Z</dcterms:created>
  <dc:creator>Lenovo</dc:creator>
  <cp:lastModifiedBy>唐海成</cp:lastModifiedBy>
  <dcterms:modified xsi:type="dcterms:W3CDTF">2026-08-18T13:02:45Z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eyJoZGlkIjoiYTNkZTI0N2VkZDYwZTNjODU3OWJlN2FmODJlMDBjZDIiLCJ1c2VySWQiOiIyODM5OTEzMjMifQ==</vt:lpwstr>
  </property>
  <property fmtid="{D5CDD505-2E9C-101B-9397-08002B2CF9AE}" pid="4" name="ICV">
    <vt:lpwstr>560279D298CC4F03B6DF48BF500875E6_12</vt:lpwstr>
  </property>
</Properties>
</file>