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7641" w14:textId="77777777" w:rsidR="002544EE" w:rsidRDefault="00000000">
      <w:pPr>
        <w:spacing w:line="252" w:lineRule="auto"/>
        <w:rPr>
          <w:b/>
          <w:bCs/>
        </w:rPr>
      </w:pPr>
      <w:r>
        <w:t>S</w:t>
      </w:r>
      <w:r>
        <w:rPr>
          <w:b/>
          <w:bCs/>
        </w:rPr>
        <w:t>upplementary Materials</w:t>
      </w:r>
    </w:p>
    <w:p w14:paraId="30047EB6" w14:textId="77777777" w:rsidR="002544EE" w:rsidRDefault="002544EE">
      <w:pPr>
        <w:spacing w:line="252" w:lineRule="auto"/>
      </w:pPr>
    </w:p>
    <w:p w14:paraId="62D84ED1" w14:textId="77777777" w:rsidR="002544EE" w:rsidRDefault="00000000">
      <w:pPr>
        <w:spacing w:line="252" w:lineRule="auto"/>
        <w:rPr>
          <w:b/>
          <w:bCs/>
        </w:rPr>
      </w:pPr>
      <w:r>
        <w:rPr>
          <w:b/>
          <w:bCs/>
        </w:rPr>
        <w:t>Supplementary Figure S1. Genotyping verification and peripheral blood cell profile analysis of myeloid cell-specific</w:t>
      </w:r>
      <w:r>
        <w:rPr>
          <w:b/>
          <w:bCs/>
          <w:i/>
          <w:iCs/>
        </w:rPr>
        <w:t xml:space="preserve"> Egr1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cKO</w:t>
      </w:r>
      <w:proofErr w:type="spellEnd"/>
      <w:r>
        <w:rPr>
          <w:b/>
          <w:bCs/>
        </w:rPr>
        <w:t xml:space="preserve"> mice.</w:t>
      </w:r>
    </w:p>
    <w:p w14:paraId="2224E57F" w14:textId="7590AF5A" w:rsidR="002544EE" w:rsidRDefault="006D06BD">
      <w:pPr>
        <w:spacing w:line="252" w:lineRule="auto"/>
      </w:pPr>
      <w:r>
        <w:rPr>
          <w:noProof/>
        </w:rPr>
        <w:drawing>
          <wp:inline distT="0" distB="0" distL="0" distR="0" wp14:anchorId="1708C26F" wp14:editId="723406C7">
            <wp:extent cx="5133975" cy="2686050"/>
            <wp:effectExtent l="0" t="0" r="9525" b="0"/>
            <wp:docPr id="4662420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242076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Legend:</w:t>
      </w:r>
      <w:r>
        <w:br/>
        <w:t xml:space="preserve">(A) PCR genotyping results of wild-type C57BL/6J mice, </w:t>
      </w:r>
      <w:bookmarkStart w:id="0" w:name="OLE_LINK27"/>
      <w:r>
        <w:rPr>
          <w:i/>
          <w:iCs/>
        </w:rPr>
        <w:t>Egr1</w:t>
      </w:r>
      <w:r>
        <w:rPr>
          <w:vertAlign w:val="superscript"/>
        </w:rPr>
        <w:t>flox/</w:t>
      </w:r>
      <w:proofErr w:type="spellStart"/>
      <w:r>
        <w:rPr>
          <w:vertAlign w:val="superscript"/>
        </w:rPr>
        <w:t>flox</w:t>
      </w:r>
      <w:bookmarkEnd w:id="0"/>
      <w:proofErr w:type="spellEnd"/>
      <w:r>
        <w:t xml:space="preserve"> mice</w:t>
      </w:r>
      <w:r>
        <w:rPr>
          <w:rFonts w:hint="eastAsia"/>
        </w:rPr>
        <w:t xml:space="preserve"> </w:t>
      </w:r>
      <w:r>
        <w:t>and</w:t>
      </w:r>
      <w:r>
        <w:rPr>
          <w:i/>
          <w:iCs/>
        </w:rPr>
        <w:t xml:space="preserve"> Egr1</w:t>
      </w:r>
    </w:p>
    <w:p w14:paraId="1F5487C3" w14:textId="77777777" w:rsidR="002544EE" w:rsidRDefault="00000000">
      <w:pPr>
        <w:spacing w:line="252" w:lineRule="auto"/>
      </w:pPr>
      <w:proofErr w:type="spellStart"/>
      <w:r>
        <w:t>cKO</w:t>
      </w:r>
      <w:proofErr w:type="spellEnd"/>
      <w:r>
        <w:t xml:space="preserve"> (Lyz2-Cre</w:t>
      </w:r>
      <w:r>
        <w:rPr>
          <w:vertAlign w:val="superscript"/>
        </w:rPr>
        <w:t>+</w:t>
      </w:r>
      <w:r>
        <w:t xml:space="preserve">/ </w:t>
      </w:r>
      <w:r>
        <w:rPr>
          <w:i/>
          <w:iCs/>
        </w:rPr>
        <w:t>Egr1</w:t>
      </w:r>
      <w:r>
        <w:rPr>
          <w:vertAlign w:val="superscript"/>
        </w:rPr>
        <w:t>flox/</w:t>
      </w:r>
      <w:proofErr w:type="spellStart"/>
      <w:r>
        <w:rPr>
          <w:vertAlign w:val="superscript"/>
        </w:rPr>
        <w:t>flox</w:t>
      </w:r>
      <w:proofErr w:type="spellEnd"/>
      <w:r>
        <w:t xml:space="preserve">) mice. Marker: DNA marker; Lane 1: WT mouse (single band); Lanes 2–10: </w:t>
      </w:r>
      <w:r>
        <w:rPr>
          <w:i/>
          <w:iCs/>
        </w:rPr>
        <w:t>Egr1</w:t>
      </w:r>
      <w:r>
        <w:rPr>
          <w:vertAlign w:val="superscript"/>
        </w:rPr>
        <w:t>flox/</w:t>
      </w:r>
      <w:proofErr w:type="spellStart"/>
      <w:r>
        <w:rPr>
          <w:vertAlign w:val="superscript"/>
        </w:rPr>
        <w:t>flox</w:t>
      </w:r>
      <w:proofErr w:type="spellEnd"/>
      <w:r>
        <w:t xml:space="preserve"> mice (single band); Lanes 11–20: </w:t>
      </w:r>
      <w:bookmarkStart w:id="1" w:name="OLE_LINK28"/>
      <w:r>
        <w:rPr>
          <w:i/>
          <w:iCs/>
        </w:rPr>
        <w:t>Egr1</w:t>
      </w:r>
      <w:r>
        <w:t xml:space="preserve"> </w:t>
      </w:r>
      <w:bookmarkEnd w:id="1"/>
      <w:proofErr w:type="spellStart"/>
      <w:r>
        <w:t>cKO</w:t>
      </w:r>
      <w:proofErr w:type="spellEnd"/>
      <w:r>
        <w:t xml:space="preserve"> mice (two specific bands); Lane 21: negative control (no amplified band).</w:t>
      </w:r>
      <w:r>
        <w:rPr>
          <w:rFonts w:hint="eastAsia"/>
        </w:rPr>
        <w:t xml:space="preserve"> </w:t>
      </w:r>
      <w:r>
        <w:t xml:space="preserve">(B–D) Comparison of peripheral blood cell counts between </w:t>
      </w:r>
      <w:r>
        <w:rPr>
          <w:i/>
          <w:iCs/>
        </w:rPr>
        <w:t>Egr1</w:t>
      </w:r>
      <w:r>
        <w:t xml:space="preserve"> </w:t>
      </w:r>
      <w:proofErr w:type="spellStart"/>
      <w:r>
        <w:t>cKO</w:t>
      </w:r>
      <w:proofErr w:type="spellEnd"/>
      <w:r>
        <w:t xml:space="preserve"> mice and wild-type C57BL/6J control mice (</w:t>
      </w:r>
      <w:r>
        <w:rPr>
          <w:i/>
          <w:iCs/>
        </w:rPr>
        <w:t xml:space="preserve">n </w:t>
      </w:r>
      <w:r>
        <w:t>= 5 per group). (B) Total white blood cell (WBC) count (K/</w:t>
      </w:r>
      <w:proofErr w:type="spellStart"/>
      <w:r>
        <w:t>μL</w:t>
      </w:r>
      <w:proofErr w:type="spellEnd"/>
      <w:r>
        <w:t>); (C) red blood cell (RBC) count (M/</w:t>
      </w:r>
      <w:proofErr w:type="spellStart"/>
      <w:r>
        <w:t>μL</w:t>
      </w:r>
      <w:proofErr w:type="spellEnd"/>
      <w:r>
        <w:t>); (D) platelet count (K/</w:t>
      </w:r>
      <w:proofErr w:type="spellStart"/>
      <w:r>
        <w:t>μL</w:t>
      </w:r>
      <w:proofErr w:type="spellEnd"/>
      <w:r>
        <w:t xml:space="preserve">). Data are presented as mean ± SD. Statistical analysis was performed using an unpaired </w:t>
      </w:r>
      <w:r>
        <w:rPr>
          <w:i/>
          <w:iCs/>
        </w:rPr>
        <w:t>t</w:t>
      </w:r>
      <w:r>
        <w:t xml:space="preserve">-test (ns, not significant, </w:t>
      </w:r>
      <w:r>
        <w:rPr>
          <w:i/>
          <w:iCs/>
        </w:rPr>
        <w:t>p</w:t>
      </w:r>
      <w:r>
        <w:t xml:space="preserve"> &gt; 0.05).</w:t>
      </w:r>
    </w:p>
    <w:p w14:paraId="7F16B9AB" w14:textId="77777777" w:rsidR="002544EE" w:rsidRDefault="002544EE">
      <w:pPr>
        <w:spacing w:line="252" w:lineRule="auto"/>
      </w:pPr>
    </w:p>
    <w:p w14:paraId="08E90388" w14:textId="77777777" w:rsidR="002544EE" w:rsidRDefault="00000000">
      <w:pPr>
        <w:spacing w:line="252" w:lineRule="auto"/>
        <w:rPr>
          <w:b/>
          <w:bCs/>
        </w:rPr>
      </w:pPr>
      <w:r>
        <w:rPr>
          <w:b/>
          <w:bCs/>
        </w:rPr>
        <w:t xml:space="preserve">Peripheral Blood Cell Profile Analysis of </w:t>
      </w:r>
      <w:r>
        <w:rPr>
          <w:b/>
          <w:bCs/>
          <w:i/>
          <w:iCs/>
        </w:rPr>
        <w:t>Egr1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cKO</w:t>
      </w:r>
      <w:proofErr w:type="spellEnd"/>
      <w:r>
        <w:rPr>
          <w:b/>
          <w:bCs/>
        </w:rPr>
        <w:t xml:space="preserve"> Mice</w:t>
      </w:r>
    </w:p>
    <w:p w14:paraId="52D2EDCC" w14:textId="77777777" w:rsidR="002544EE" w:rsidRDefault="00000000">
      <w:pPr>
        <w:spacing w:line="252" w:lineRule="auto"/>
      </w:pPr>
      <w:r>
        <w:t xml:space="preserve">To exclude potential baseline hematopoietic abnormalities that might affect the interpretation of the </w:t>
      </w:r>
      <w:r>
        <w:rPr>
          <w:i/>
          <w:iCs/>
        </w:rPr>
        <w:t>S</w:t>
      </w:r>
      <w:r>
        <w:rPr>
          <w:rFonts w:hint="eastAsia"/>
          <w:i/>
          <w:iCs/>
        </w:rPr>
        <w:t>.</w:t>
      </w:r>
      <w:r>
        <w:rPr>
          <w:i/>
          <w:iCs/>
        </w:rPr>
        <w:t xml:space="preserve"> aureus</w:t>
      </w:r>
      <w:r>
        <w:t xml:space="preserve"> pneumonia model, peripheral blood samples were collected from 6–7-week-old male </w:t>
      </w:r>
      <w:r>
        <w:rPr>
          <w:i/>
          <w:iCs/>
        </w:rPr>
        <w:t>Egr1</w:t>
      </w:r>
      <w:r>
        <w:t xml:space="preserve"> </w:t>
      </w:r>
      <w:proofErr w:type="spellStart"/>
      <w:r>
        <w:t>cKO</w:t>
      </w:r>
      <w:proofErr w:type="spellEnd"/>
      <w:r>
        <w:t xml:space="preserve"> mice and age-matched wild-type C57BL/6J control mice (</w:t>
      </w:r>
      <w:r>
        <w:rPr>
          <w:i/>
          <w:iCs/>
        </w:rPr>
        <w:t>n</w:t>
      </w:r>
      <w:r>
        <w:t xml:space="preserve"> = 5 per group). Automated hematology analysis was performed to determine total WBC, RBC, and platelet counts. No significant differences were observed in these parameters between </w:t>
      </w:r>
      <w:r>
        <w:rPr>
          <w:i/>
          <w:iCs/>
        </w:rPr>
        <w:t>Egr1</w:t>
      </w:r>
      <w:r>
        <w:t xml:space="preserve"> </w:t>
      </w:r>
      <w:proofErr w:type="spellStart"/>
      <w:r>
        <w:t>cKO</w:t>
      </w:r>
      <w:proofErr w:type="spellEnd"/>
      <w:r>
        <w:t xml:space="preserve"> mice and WT control mice (all </w:t>
      </w:r>
      <w:r>
        <w:rPr>
          <w:i/>
          <w:iCs/>
        </w:rPr>
        <w:t>p</w:t>
      </w:r>
      <w:r>
        <w:t xml:space="preserve"> &gt; 0.05). These results indicate that myeloid-specific deletion of </w:t>
      </w:r>
      <w:r>
        <w:rPr>
          <w:i/>
          <w:iCs/>
        </w:rPr>
        <w:t>Egr1</w:t>
      </w:r>
      <w:r>
        <w:t xml:space="preserve"> does not cause overt abnormalities in peripheral blood cell composition under basal conditions, suggesting that the phenotypic differences observed in the subsequent </w:t>
      </w:r>
      <w:r>
        <w:rPr>
          <w:i/>
          <w:iCs/>
        </w:rPr>
        <w:t>S. aureus</w:t>
      </w:r>
      <w:r>
        <w:t xml:space="preserve"> pneumonia experiments are unlikely to be attributable to gross baseline hematologic abnormalities.</w:t>
      </w:r>
    </w:p>
    <w:p w14:paraId="55F29962" w14:textId="77777777" w:rsidR="006D06BD" w:rsidRDefault="006D06BD">
      <w:pPr>
        <w:spacing w:line="252" w:lineRule="auto"/>
      </w:pPr>
    </w:p>
    <w:p w14:paraId="40E100A7" w14:textId="77777777" w:rsidR="002544EE" w:rsidRDefault="00000000">
      <w:pPr>
        <w:spacing w:line="252" w:lineRule="auto"/>
      </w:pPr>
      <w:r>
        <w:rPr>
          <w:b/>
          <w:bCs/>
        </w:rPr>
        <w:t>Supplementary Figure S2. Flow cytometric gating strategy for the identification of pulmonary neutrophils.</w:t>
      </w:r>
    </w:p>
    <w:p w14:paraId="7A8D2AB4" w14:textId="4554979D" w:rsidR="002544EE" w:rsidRDefault="006D06BD">
      <w:pPr>
        <w:spacing w:line="252" w:lineRule="auto"/>
      </w:pPr>
      <w:r>
        <w:rPr>
          <w:noProof/>
        </w:rPr>
        <w:lastRenderedPageBreak/>
        <w:drawing>
          <wp:inline distT="0" distB="0" distL="0" distR="0" wp14:anchorId="59493D85" wp14:editId="69CA0F33">
            <wp:extent cx="4761865" cy="6504305"/>
            <wp:effectExtent l="0" t="0" r="635" b="0"/>
            <wp:docPr id="20033632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363229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1865" cy="650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B5921" w14:textId="77777777" w:rsidR="002544EE" w:rsidRDefault="00000000">
      <w:pPr>
        <w:spacing w:line="252" w:lineRule="auto"/>
      </w:pPr>
      <w:r>
        <w:rPr>
          <w:b/>
          <w:bCs/>
        </w:rPr>
        <w:t xml:space="preserve">Legend: </w:t>
      </w:r>
      <w:r>
        <w:t>The complete gating strategy is shown using a representative uninfected (PBS) control sample. Neutrophils were identified according to the following hierarchy: Live cells → CD45</w:t>
      </w:r>
      <w:r w:rsidRPr="009D2FD9">
        <w:rPr>
          <w:vertAlign w:val="superscript"/>
        </w:rPr>
        <w:t>+</w:t>
      </w:r>
      <w:r>
        <w:t xml:space="preserve"> leukocytes → CD11b</w:t>
      </w:r>
      <w:r w:rsidRPr="009D2FD9">
        <w:rPr>
          <w:vertAlign w:val="superscript"/>
        </w:rPr>
        <w:t>+</w:t>
      </w:r>
      <w:r>
        <w:t>CD11c</w:t>
      </w:r>
      <w:r w:rsidRPr="009D2FD9">
        <w:rPr>
          <w:vertAlign w:val="superscript"/>
        </w:rPr>
        <w:t>−</w:t>
      </w:r>
      <w:r>
        <w:t xml:space="preserve"> myeloid cells → Ly6G</w:t>
      </w:r>
      <w:r w:rsidRPr="009D2FD9">
        <w:rPr>
          <w:vertAlign w:val="superscript"/>
        </w:rPr>
        <w:t>+</w:t>
      </w:r>
      <w:r>
        <w:t xml:space="preserve"> cells (neutrophils).</w:t>
      </w:r>
    </w:p>
    <w:p w14:paraId="6EF1152E" w14:textId="77777777" w:rsidR="002544EE" w:rsidRDefault="002544EE">
      <w:pPr>
        <w:spacing w:line="252" w:lineRule="auto"/>
      </w:pPr>
    </w:p>
    <w:p w14:paraId="5460EA67" w14:textId="77777777" w:rsidR="002544EE" w:rsidRDefault="00000000">
      <w:pPr>
        <w:spacing w:line="252" w:lineRule="auto"/>
      </w:pPr>
      <w:r>
        <w:rPr>
          <w:b/>
          <w:bCs/>
        </w:rPr>
        <w:t>Flow Cytometric Gating Strategy for Neutrophil Analysis</w:t>
      </w:r>
    </w:p>
    <w:p w14:paraId="4F937DC4" w14:textId="244FE1C2" w:rsidR="002544EE" w:rsidRDefault="00000000">
      <w:pPr>
        <w:spacing w:line="252" w:lineRule="auto"/>
      </w:pPr>
      <w:r>
        <w:t xml:space="preserve">To quantify pulmonary neutrophil infiltration in </w:t>
      </w:r>
      <w:r w:rsidRPr="009D2FD9">
        <w:rPr>
          <w:i/>
          <w:iCs/>
        </w:rPr>
        <w:t>Egr1</w:t>
      </w:r>
      <w:r>
        <w:t xml:space="preserve"> </w:t>
      </w:r>
      <w:proofErr w:type="spellStart"/>
      <w:r>
        <w:t>cKO</w:t>
      </w:r>
      <w:proofErr w:type="spellEnd"/>
      <w:r>
        <w:t xml:space="preserve"> and control mice, single-cell suspensions were prepared from infected lung tissues and analyzed by flow cytometry. Supplementary Figure S2 shows the complete gating strategy using a representative uninfected (PBS) control sample. Neutrophils were identified according to the hierarchy Live → CD45</w:t>
      </w:r>
      <w:r w:rsidRPr="009D2FD9">
        <w:rPr>
          <w:vertAlign w:val="superscript"/>
        </w:rPr>
        <w:t>+</w:t>
      </w:r>
      <w:r>
        <w:t xml:space="preserve"> → CD11b</w:t>
      </w:r>
      <w:r w:rsidRPr="009D2FD9">
        <w:rPr>
          <w:vertAlign w:val="superscript"/>
        </w:rPr>
        <w:t>+</w:t>
      </w:r>
      <w:r>
        <w:t>CD11c</w:t>
      </w:r>
      <w:r w:rsidRPr="009D2FD9">
        <w:rPr>
          <w:vertAlign w:val="superscript"/>
        </w:rPr>
        <w:t>−</w:t>
      </w:r>
      <w:r>
        <w:t xml:space="preserve"> → Ly6G</w:t>
      </w:r>
      <w:r w:rsidRPr="009D2FD9">
        <w:rPr>
          <w:vertAlign w:val="superscript"/>
        </w:rPr>
        <w:t>+</w:t>
      </w:r>
      <w:r>
        <w:t xml:space="preserve"> (neutrophils)</w:t>
      </w:r>
      <w:r w:rsidR="007338CE">
        <w:rPr>
          <w:rFonts w:hint="eastAsia"/>
        </w:rPr>
        <w:t>.</w:t>
      </w:r>
      <w:bookmarkStart w:id="2" w:name="OLE_LINK1"/>
    </w:p>
    <w:bookmarkEnd w:id="2"/>
    <w:p w14:paraId="3F6511DF" w14:textId="77777777" w:rsidR="002544EE" w:rsidRDefault="002544EE">
      <w:pPr>
        <w:spacing w:line="252" w:lineRule="auto"/>
      </w:pPr>
    </w:p>
    <w:p w14:paraId="70F396DD" w14:textId="77777777" w:rsidR="002544EE" w:rsidRDefault="00000000">
      <w:pPr>
        <w:spacing w:line="252" w:lineRule="auto"/>
      </w:pPr>
      <w:r>
        <w:rPr>
          <w:b/>
          <w:bCs/>
        </w:rPr>
        <w:t>Supplementary Source Data</w:t>
      </w:r>
    </w:p>
    <w:p w14:paraId="63D3BE2B" w14:textId="77777777" w:rsidR="002544EE" w:rsidRDefault="002544EE">
      <w:pPr>
        <w:spacing w:line="252" w:lineRule="auto"/>
      </w:pPr>
    </w:p>
    <w:p w14:paraId="7CC272E8" w14:textId="13CB4478" w:rsidR="002544EE" w:rsidRDefault="00000000">
      <w:pPr>
        <w:spacing w:line="252" w:lineRule="auto"/>
      </w:pPr>
      <w:r>
        <w:t>Original numerical flow-cytometry data underlying Figures 8 and 9 are provided as a separate Excel file (Supplementary_Source_Data_Flow_Cytometry.xlsx).</w:t>
      </w:r>
    </w:p>
    <w:p w14:paraId="0C6105CD" w14:textId="77777777" w:rsidR="002544EE" w:rsidRDefault="002544EE">
      <w:pPr>
        <w:spacing w:line="252" w:lineRule="auto"/>
      </w:pPr>
    </w:p>
    <w:p w14:paraId="4EB6F0E0" w14:textId="77777777" w:rsidR="002544EE" w:rsidRDefault="00000000">
      <w:pPr>
        <w:spacing w:line="252" w:lineRule="auto"/>
      </w:pPr>
      <w:r>
        <w:rPr>
          <w:b/>
          <w:bCs/>
        </w:rPr>
        <w:t>Supplementary Table S1. Basic information and quality metrics of RNA-seq data.</w:t>
      </w:r>
    </w:p>
    <w:p w14:paraId="6D0F039A" w14:textId="547609B9" w:rsidR="002544EE" w:rsidRDefault="002544EE">
      <w:pPr>
        <w:spacing w:line="252" w:lineRule="auto"/>
      </w:pPr>
    </w:p>
    <w:p w14:paraId="0C3EE598" w14:textId="753E4D9A" w:rsidR="003B08C7" w:rsidRPr="003B08C7" w:rsidRDefault="003B08C7">
      <w:pPr>
        <w:spacing w:line="252" w:lineRule="auto"/>
      </w:pPr>
      <w:r w:rsidRPr="003B08C7">
        <w:t>The detailed RNA-seq quality metrics for all samples are provided in a separate</w:t>
      </w:r>
      <w:r>
        <w:rPr>
          <w:rFonts w:hint="eastAsia"/>
        </w:rPr>
        <w:t xml:space="preserve"> </w:t>
      </w:r>
      <w:r w:rsidRPr="003B08C7">
        <w:t>supplementary file.</w:t>
      </w:r>
    </w:p>
    <w:sectPr w:rsidR="003B08C7" w:rsidRPr="003B0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4AF"/>
    <w:rsid w:val="000028FF"/>
    <w:rsid w:val="0001057E"/>
    <w:rsid w:val="00011F3B"/>
    <w:rsid w:val="00012606"/>
    <w:rsid w:val="000206C9"/>
    <w:rsid w:val="000268F0"/>
    <w:rsid w:val="00032F0D"/>
    <w:rsid w:val="00037483"/>
    <w:rsid w:val="000409E0"/>
    <w:rsid w:val="000418EE"/>
    <w:rsid w:val="0004408A"/>
    <w:rsid w:val="00045625"/>
    <w:rsid w:val="00045AE1"/>
    <w:rsid w:val="00047B9F"/>
    <w:rsid w:val="00051C4E"/>
    <w:rsid w:val="000575BD"/>
    <w:rsid w:val="00063E20"/>
    <w:rsid w:val="00065B59"/>
    <w:rsid w:val="00065F68"/>
    <w:rsid w:val="000668D4"/>
    <w:rsid w:val="00067A0F"/>
    <w:rsid w:val="0007415C"/>
    <w:rsid w:val="00076D3E"/>
    <w:rsid w:val="000826EE"/>
    <w:rsid w:val="000874AF"/>
    <w:rsid w:val="00090FA4"/>
    <w:rsid w:val="000A0CB2"/>
    <w:rsid w:val="000A288E"/>
    <w:rsid w:val="000A4B50"/>
    <w:rsid w:val="000C6480"/>
    <w:rsid w:val="000D729F"/>
    <w:rsid w:val="000E3355"/>
    <w:rsid w:val="000E4811"/>
    <w:rsid w:val="000E5C62"/>
    <w:rsid w:val="000E6B06"/>
    <w:rsid w:val="000F5005"/>
    <w:rsid w:val="000F7207"/>
    <w:rsid w:val="00100077"/>
    <w:rsid w:val="00100518"/>
    <w:rsid w:val="00103461"/>
    <w:rsid w:val="00105453"/>
    <w:rsid w:val="00125239"/>
    <w:rsid w:val="001274B9"/>
    <w:rsid w:val="001277D0"/>
    <w:rsid w:val="00131A20"/>
    <w:rsid w:val="00135545"/>
    <w:rsid w:val="00137C25"/>
    <w:rsid w:val="00141C04"/>
    <w:rsid w:val="0014592E"/>
    <w:rsid w:val="0017202E"/>
    <w:rsid w:val="0017548D"/>
    <w:rsid w:val="00186D5B"/>
    <w:rsid w:val="0018701E"/>
    <w:rsid w:val="0019042B"/>
    <w:rsid w:val="00194F52"/>
    <w:rsid w:val="00196272"/>
    <w:rsid w:val="001A0F29"/>
    <w:rsid w:val="001A422B"/>
    <w:rsid w:val="001A70E2"/>
    <w:rsid w:val="001B5E4E"/>
    <w:rsid w:val="001C1CB4"/>
    <w:rsid w:val="001C2F9D"/>
    <w:rsid w:val="001D07DE"/>
    <w:rsid w:val="001D4707"/>
    <w:rsid w:val="001E7799"/>
    <w:rsid w:val="001F7ED1"/>
    <w:rsid w:val="00201249"/>
    <w:rsid w:val="00201446"/>
    <w:rsid w:val="00201886"/>
    <w:rsid w:val="002075F8"/>
    <w:rsid w:val="00212D40"/>
    <w:rsid w:val="00241417"/>
    <w:rsid w:val="0024191E"/>
    <w:rsid w:val="00247C9B"/>
    <w:rsid w:val="00250AFC"/>
    <w:rsid w:val="00250DC6"/>
    <w:rsid w:val="002544EE"/>
    <w:rsid w:val="00255328"/>
    <w:rsid w:val="00261ECE"/>
    <w:rsid w:val="00262524"/>
    <w:rsid w:val="00263C86"/>
    <w:rsid w:val="00270946"/>
    <w:rsid w:val="002846E9"/>
    <w:rsid w:val="00285C81"/>
    <w:rsid w:val="00285D12"/>
    <w:rsid w:val="00292C24"/>
    <w:rsid w:val="002934BE"/>
    <w:rsid w:val="002936FA"/>
    <w:rsid w:val="002A08D8"/>
    <w:rsid w:val="002B15A2"/>
    <w:rsid w:val="002B77AE"/>
    <w:rsid w:val="002C1FF9"/>
    <w:rsid w:val="002C3F3C"/>
    <w:rsid w:val="002D094B"/>
    <w:rsid w:val="002D40DC"/>
    <w:rsid w:val="002E2FA6"/>
    <w:rsid w:val="002F0D31"/>
    <w:rsid w:val="002F6ED8"/>
    <w:rsid w:val="002F74D4"/>
    <w:rsid w:val="00300EF2"/>
    <w:rsid w:val="00301B46"/>
    <w:rsid w:val="00305073"/>
    <w:rsid w:val="00313AA2"/>
    <w:rsid w:val="00323C3B"/>
    <w:rsid w:val="00324F78"/>
    <w:rsid w:val="00325445"/>
    <w:rsid w:val="00331D74"/>
    <w:rsid w:val="00332898"/>
    <w:rsid w:val="0034613E"/>
    <w:rsid w:val="00362532"/>
    <w:rsid w:val="003712FE"/>
    <w:rsid w:val="00373617"/>
    <w:rsid w:val="00381D74"/>
    <w:rsid w:val="00384F8C"/>
    <w:rsid w:val="003A03AB"/>
    <w:rsid w:val="003A2076"/>
    <w:rsid w:val="003A4911"/>
    <w:rsid w:val="003A58E7"/>
    <w:rsid w:val="003B08C7"/>
    <w:rsid w:val="003B3F8A"/>
    <w:rsid w:val="003B6A7E"/>
    <w:rsid w:val="003B736A"/>
    <w:rsid w:val="003B73D5"/>
    <w:rsid w:val="003C130B"/>
    <w:rsid w:val="003C3794"/>
    <w:rsid w:val="003C6603"/>
    <w:rsid w:val="003E04C6"/>
    <w:rsid w:val="003E2C14"/>
    <w:rsid w:val="003F159A"/>
    <w:rsid w:val="003F6A81"/>
    <w:rsid w:val="003F7804"/>
    <w:rsid w:val="0040066F"/>
    <w:rsid w:val="00403025"/>
    <w:rsid w:val="00414D18"/>
    <w:rsid w:val="00416A36"/>
    <w:rsid w:val="004261A9"/>
    <w:rsid w:val="00426D71"/>
    <w:rsid w:val="004408D0"/>
    <w:rsid w:val="00445E03"/>
    <w:rsid w:val="0044722C"/>
    <w:rsid w:val="004503AF"/>
    <w:rsid w:val="00450807"/>
    <w:rsid w:val="00455748"/>
    <w:rsid w:val="00457605"/>
    <w:rsid w:val="00462E2A"/>
    <w:rsid w:val="004672C3"/>
    <w:rsid w:val="0047359D"/>
    <w:rsid w:val="004752A7"/>
    <w:rsid w:val="00476A03"/>
    <w:rsid w:val="0047748A"/>
    <w:rsid w:val="00477A99"/>
    <w:rsid w:val="00484D70"/>
    <w:rsid w:val="004869F8"/>
    <w:rsid w:val="004901FA"/>
    <w:rsid w:val="004977CD"/>
    <w:rsid w:val="004A792A"/>
    <w:rsid w:val="004B2737"/>
    <w:rsid w:val="004D4B07"/>
    <w:rsid w:val="004D503E"/>
    <w:rsid w:val="004F1CB9"/>
    <w:rsid w:val="004F7F11"/>
    <w:rsid w:val="00500F03"/>
    <w:rsid w:val="005015C2"/>
    <w:rsid w:val="00506337"/>
    <w:rsid w:val="00521DD1"/>
    <w:rsid w:val="00526CCF"/>
    <w:rsid w:val="00527AE9"/>
    <w:rsid w:val="00533AB1"/>
    <w:rsid w:val="00541963"/>
    <w:rsid w:val="005511DF"/>
    <w:rsid w:val="005609C6"/>
    <w:rsid w:val="005811EC"/>
    <w:rsid w:val="005847FE"/>
    <w:rsid w:val="00593A3E"/>
    <w:rsid w:val="00593C7B"/>
    <w:rsid w:val="00595C34"/>
    <w:rsid w:val="005A0D9E"/>
    <w:rsid w:val="005B2765"/>
    <w:rsid w:val="005B2EFB"/>
    <w:rsid w:val="005B70E1"/>
    <w:rsid w:val="005C1BF4"/>
    <w:rsid w:val="005C4EFA"/>
    <w:rsid w:val="005F1222"/>
    <w:rsid w:val="005F3B57"/>
    <w:rsid w:val="005F4DC5"/>
    <w:rsid w:val="005F6848"/>
    <w:rsid w:val="00613AC6"/>
    <w:rsid w:val="006145A0"/>
    <w:rsid w:val="00614F4F"/>
    <w:rsid w:val="00617583"/>
    <w:rsid w:val="00655503"/>
    <w:rsid w:val="006572F9"/>
    <w:rsid w:val="00657E4F"/>
    <w:rsid w:val="00663709"/>
    <w:rsid w:val="00664F7B"/>
    <w:rsid w:val="00666575"/>
    <w:rsid w:val="00671119"/>
    <w:rsid w:val="00687B07"/>
    <w:rsid w:val="00691EC5"/>
    <w:rsid w:val="0069554A"/>
    <w:rsid w:val="00697B65"/>
    <w:rsid w:val="006A3755"/>
    <w:rsid w:val="006A604B"/>
    <w:rsid w:val="006A7600"/>
    <w:rsid w:val="006C41B2"/>
    <w:rsid w:val="006D06BD"/>
    <w:rsid w:val="006D4F3D"/>
    <w:rsid w:val="006E21DD"/>
    <w:rsid w:val="006E27A3"/>
    <w:rsid w:val="006E2A35"/>
    <w:rsid w:val="006E4A8F"/>
    <w:rsid w:val="006E7889"/>
    <w:rsid w:val="006F3526"/>
    <w:rsid w:val="006F42E5"/>
    <w:rsid w:val="006F5207"/>
    <w:rsid w:val="006F549F"/>
    <w:rsid w:val="006F7A76"/>
    <w:rsid w:val="007051E4"/>
    <w:rsid w:val="007137AF"/>
    <w:rsid w:val="00717B12"/>
    <w:rsid w:val="007225EB"/>
    <w:rsid w:val="00724687"/>
    <w:rsid w:val="00730DE9"/>
    <w:rsid w:val="007338CE"/>
    <w:rsid w:val="007344B4"/>
    <w:rsid w:val="007366BA"/>
    <w:rsid w:val="00741795"/>
    <w:rsid w:val="00744D0D"/>
    <w:rsid w:val="007458C1"/>
    <w:rsid w:val="007521C8"/>
    <w:rsid w:val="00754614"/>
    <w:rsid w:val="00760F0E"/>
    <w:rsid w:val="00777800"/>
    <w:rsid w:val="00784336"/>
    <w:rsid w:val="00793908"/>
    <w:rsid w:val="0079619F"/>
    <w:rsid w:val="007A3A8E"/>
    <w:rsid w:val="007A63FB"/>
    <w:rsid w:val="007A70BF"/>
    <w:rsid w:val="007A7599"/>
    <w:rsid w:val="007B0DB6"/>
    <w:rsid w:val="007B133C"/>
    <w:rsid w:val="007C2741"/>
    <w:rsid w:val="007C484A"/>
    <w:rsid w:val="007D2C77"/>
    <w:rsid w:val="007D44A4"/>
    <w:rsid w:val="007E266B"/>
    <w:rsid w:val="007E4B94"/>
    <w:rsid w:val="007E77F8"/>
    <w:rsid w:val="007F003A"/>
    <w:rsid w:val="007F2866"/>
    <w:rsid w:val="007F475F"/>
    <w:rsid w:val="008004DD"/>
    <w:rsid w:val="0080158B"/>
    <w:rsid w:val="0080532B"/>
    <w:rsid w:val="00806169"/>
    <w:rsid w:val="00812EB7"/>
    <w:rsid w:val="00816C5F"/>
    <w:rsid w:val="00821273"/>
    <w:rsid w:val="00826FED"/>
    <w:rsid w:val="00830E5D"/>
    <w:rsid w:val="00831C6A"/>
    <w:rsid w:val="00832E6A"/>
    <w:rsid w:val="0083695D"/>
    <w:rsid w:val="00836BA6"/>
    <w:rsid w:val="008401DA"/>
    <w:rsid w:val="008423D1"/>
    <w:rsid w:val="00842ACF"/>
    <w:rsid w:val="00851810"/>
    <w:rsid w:val="00857511"/>
    <w:rsid w:val="00863901"/>
    <w:rsid w:val="00871935"/>
    <w:rsid w:val="00875FFE"/>
    <w:rsid w:val="00877E91"/>
    <w:rsid w:val="0088478C"/>
    <w:rsid w:val="0088616E"/>
    <w:rsid w:val="00894EAF"/>
    <w:rsid w:val="0089603A"/>
    <w:rsid w:val="00897F1E"/>
    <w:rsid w:val="008A6120"/>
    <w:rsid w:val="008B2646"/>
    <w:rsid w:val="008B458E"/>
    <w:rsid w:val="008B6BE9"/>
    <w:rsid w:val="008C76A5"/>
    <w:rsid w:val="008D02B0"/>
    <w:rsid w:val="008D0C80"/>
    <w:rsid w:val="008D1FD9"/>
    <w:rsid w:val="008D3CD3"/>
    <w:rsid w:val="008D6D1E"/>
    <w:rsid w:val="008E29F5"/>
    <w:rsid w:val="008E6590"/>
    <w:rsid w:val="008F4D5C"/>
    <w:rsid w:val="008F6C73"/>
    <w:rsid w:val="009120BB"/>
    <w:rsid w:val="00923967"/>
    <w:rsid w:val="00925854"/>
    <w:rsid w:val="009305A0"/>
    <w:rsid w:val="009365E0"/>
    <w:rsid w:val="00954951"/>
    <w:rsid w:val="009559D9"/>
    <w:rsid w:val="00957AEC"/>
    <w:rsid w:val="00962022"/>
    <w:rsid w:val="009675DA"/>
    <w:rsid w:val="00976170"/>
    <w:rsid w:val="00986572"/>
    <w:rsid w:val="00990936"/>
    <w:rsid w:val="009926D6"/>
    <w:rsid w:val="009928E7"/>
    <w:rsid w:val="00993508"/>
    <w:rsid w:val="00997FFD"/>
    <w:rsid w:val="009B327A"/>
    <w:rsid w:val="009C14BD"/>
    <w:rsid w:val="009C4220"/>
    <w:rsid w:val="009C5C86"/>
    <w:rsid w:val="009D00F2"/>
    <w:rsid w:val="009D2FD9"/>
    <w:rsid w:val="009D54CF"/>
    <w:rsid w:val="009D572F"/>
    <w:rsid w:val="009D7480"/>
    <w:rsid w:val="009D7E9F"/>
    <w:rsid w:val="009E4FF4"/>
    <w:rsid w:val="009E68CC"/>
    <w:rsid w:val="009F1022"/>
    <w:rsid w:val="00A03ABD"/>
    <w:rsid w:val="00A04A7A"/>
    <w:rsid w:val="00A058E7"/>
    <w:rsid w:val="00A11410"/>
    <w:rsid w:val="00A13D16"/>
    <w:rsid w:val="00A17707"/>
    <w:rsid w:val="00A2148A"/>
    <w:rsid w:val="00A35ECC"/>
    <w:rsid w:val="00A37170"/>
    <w:rsid w:val="00A43E43"/>
    <w:rsid w:val="00A4722A"/>
    <w:rsid w:val="00A47AFE"/>
    <w:rsid w:val="00A5100D"/>
    <w:rsid w:val="00A65327"/>
    <w:rsid w:val="00A74F9F"/>
    <w:rsid w:val="00A76BFA"/>
    <w:rsid w:val="00A80EE1"/>
    <w:rsid w:val="00A82C2B"/>
    <w:rsid w:val="00A83219"/>
    <w:rsid w:val="00A85BB1"/>
    <w:rsid w:val="00A930A3"/>
    <w:rsid w:val="00AA16A4"/>
    <w:rsid w:val="00AA4537"/>
    <w:rsid w:val="00AB110E"/>
    <w:rsid w:val="00AC0311"/>
    <w:rsid w:val="00AD3D43"/>
    <w:rsid w:val="00AD7A90"/>
    <w:rsid w:val="00AE3023"/>
    <w:rsid w:val="00AE3180"/>
    <w:rsid w:val="00AE37CF"/>
    <w:rsid w:val="00AE5F69"/>
    <w:rsid w:val="00AF6E2E"/>
    <w:rsid w:val="00B016D9"/>
    <w:rsid w:val="00B044DB"/>
    <w:rsid w:val="00B051FD"/>
    <w:rsid w:val="00B11C63"/>
    <w:rsid w:val="00B12AA5"/>
    <w:rsid w:val="00B15733"/>
    <w:rsid w:val="00B17429"/>
    <w:rsid w:val="00B2559E"/>
    <w:rsid w:val="00B25D32"/>
    <w:rsid w:val="00B30DBE"/>
    <w:rsid w:val="00B32AD5"/>
    <w:rsid w:val="00B44413"/>
    <w:rsid w:val="00B47785"/>
    <w:rsid w:val="00B51558"/>
    <w:rsid w:val="00B54532"/>
    <w:rsid w:val="00B62B5B"/>
    <w:rsid w:val="00B62DC9"/>
    <w:rsid w:val="00B643A2"/>
    <w:rsid w:val="00B7648B"/>
    <w:rsid w:val="00B80E70"/>
    <w:rsid w:val="00B85DB7"/>
    <w:rsid w:val="00B91DDF"/>
    <w:rsid w:val="00B931CB"/>
    <w:rsid w:val="00B97B42"/>
    <w:rsid w:val="00BA7912"/>
    <w:rsid w:val="00BD3105"/>
    <w:rsid w:val="00BD322E"/>
    <w:rsid w:val="00BD7F80"/>
    <w:rsid w:val="00BE0125"/>
    <w:rsid w:val="00BE14DF"/>
    <w:rsid w:val="00BE2499"/>
    <w:rsid w:val="00C11E84"/>
    <w:rsid w:val="00C14DDE"/>
    <w:rsid w:val="00C1570E"/>
    <w:rsid w:val="00C21210"/>
    <w:rsid w:val="00C23B40"/>
    <w:rsid w:val="00C23EE4"/>
    <w:rsid w:val="00C261D4"/>
    <w:rsid w:val="00C40AEE"/>
    <w:rsid w:val="00C52D7F"/>
    <w:rsid w:val="00C5498A"/>
    <w:rsid w:val="00C5508F"/>
    <w:rsid w:val="00C55D0C"/>
    <w:rsid w:val="00C63295"/>
    <w:rsid w:val="00C647E1"/>
    <w:rsid w:val="00C656D3"/>
    <w:rsid w:val="00C67950"/>
    <w:rsid w:val="00C7064F"/>
    <w:rsid w:val="00C73B8E"/>
    <w:rsid w:val="00C76E2A"/>
    <w:rsid w:val="00C86F72"/>
    <w:rsid w:val="00C9273D"/>
    <w:rsid w:val="00C95A58"/>
    <w:rsid w:val="00CA77A0"/>
    <w:rsid w:val="00CB162B"/>
    <w:rsid w:val="00CB29EB"/>
    <w:rsid w:val="00CC6C39"/>
    <w:rsid w:val="00CC6CB8"/>
    <w:rsid w:val="00CD214D"/>
    <w:rsid w:val="00CD2616"/>
    <w:rsid w:val="00CD2C0C"/>
    <w:rsid w:val="00CD5CF1"/>
    <w:rsid w:val="00CE082B"/>
    <w:rsid w:val="00CE3501"/>
    <w:rsid w:val="00CE53AE"/>
    <w:rsid w:val="00CF2AF5"/>
    <w:rsid w:val="00D0306F"/>
    <w:rsid w:val="00D04D9A"/>
    <w:rsid w:val="00D05826"/>
    <w:rsid w:val="00D223CE"/>
    <w:rsid w:val="00D303E8"/>
    <w:rsid w:val="00D366BF"/>
    <w:rsid w:val="00D40D09"/>
    <w:rsid w:val="00D41161"/>
    <w:rsid w:val="00D46074"/>
    <w:rsid w:val="00D56FFE"/>
    <w:rsid w:val="00D626E0"/>
    <w:rsid w:val="00D71687"/>
    <w:rsid w:val="00D72981"/>
    <w:rsid w:val="00D82BD5"/>
    <w:rsid w:val="00D870E3"/>
    <w:rsid w:val="00D92849"/>
    <w:rsid w:val="00D94F72"/>
    <w:rsid w:val="00D9581A"/>
    <w:rsid w:val="00DB2D16"/>
    <w:rsid w:val="00DB55F1"/>
    <w:rsid w:val="00DB60C6"/>
    <w:rsid w:val="00DB61B1"/>
    <w:rsid w:val="00DC12E5"/>
    <w:rsid w:val="00DD7E0D"/>
    <w:rsid w:val="00DE584C"/>
    <w:rsid w:val="00DE768C"/>
    <w:rsid w:val="00DF0096"/>
    <w:rsid w:val="00DF00F5"/>
    <w:rsid w:val="00E00AA3"/>
    <w:rsid w:val="00E015F3"/>
    <w:rsid w:val="00E112CB"/>
    <w:rsid w:val="00E278D2"/>
    <w:rsid w:val="00E35EC7"/>
    <w:rsid w:val="00E41889"/>
    <w:rsid w:val="00E4445B"/>
    <w:rsid w:val="00E51964"/>
    <w:rsid w:val="00E605AD"/>
    <w:rsid w:val="00E625A8"/>
    <w:rsid w:val="00E66344"/>
    <w:rsid w:val="00E67954"/>
    <w:rsid w:val="00E8191C"/>
    <w:rsid w:val="00E81A36"/>
    <w:rsid w:val="00E82C5A"/>
    <w:rsid w:val="00E84A63"/>
    <w:rsid w:val="00E97711"/>
    <w:rsid w:val="00E97CE8"/>
    <w:rsid w:val="00EA4061"/>
    <w:rsid w:val="00EB03AC"/>
    <w:rsid w:val="00EB1156"/>
    <w:rsid w:val="00EB351B"/>
    <w:rsid w:val="00EB6BD1"/>
    <w:rsid w:val="00EC0351"/>
    <w:rsid w:val="00EC4AE0"/>
    <w:rsid w:val="00EC5E83"/>
    <w:rsid w:val="00ED2B1B"/>
    <w:rsid w:val="00ED7EE6"/>
    <w:rsid w:val="00EE5414"/>
    <w:rsid w:val="00EF1F86"/>
    <w:rsid w:val="00EF5D8B"/>
    <w:rsid w:val="00EF7826"/>
    <w:rsid w:val="00EF7F0E"/>
    <w:rsid w:val="00F0187E"/>
    <w:rsid w:val="00F03793"/>
    <w:rsid w:val="00F13E51"/>
    <w:rsid w:val="00F171DD"/>
    <w:rsid w:val="00F21354"/>
    <w:rsid w:val="00F22BBB"/>
    <w:rsid w:val="00F5169A"/>
    <w:rsid w:val="00F547DB"/>
    <w:rsid w:val="00F654FE"/>
    <w:rsid w:val="00F67D59"/>
    <w:rsid w:val="00F71B58"/>
    <w:rsid w:val="00F72379"/>
    <w:rsid w:val="00F73FDF"/>
    <w:rsid w:val="00F75384"/>
    <w:rsid w:val="00F825AF"/>
    <w:rsid w:val="00F82792"/>
    <w:rsid w:val="00F86DA1"/>
    <w:rsid w:val="00F90F7E"/>
    <w:rsid w:val="00F93F57"/>
    <w:rsid w:val="00FA080E"/>
    <w:rsid w:val="00FA1725"/>
    <w:rsid w:val="00FA1775"/>
    <w:rsid w:val="00FA199D"/>
    <w:rsid w:val="00FA2B04"/>
    <w:rsid w:val="00FA43CE"/>
    <w:rsid w:val="00FA6DFE"/>
    <w:rsid w:val="00FB22C2"/>
    <w:rsid w:val="00FB3792"/>
    <w:rsid w:val="00FB7CA4"/>
    <w:rsid w:val="00FC3AD5"/>
    <w:rsid w:val="00FF70E7"/>
    <w:rsid w:val="02DF39F5"/>
    <w:rsid w:val="4C356F3C"/>
    <w:rsid w:val="5DD3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C2162"/>
  <w15:docId w15:val="{E49C333B-A51B-40B7-A81F-03AACDD5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E74B5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2E74B5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0">
    <w:name w:val="Quote"/>
    <w:basedOn w:val="a"/>
    <w:next w:val="a"/>
    <w:link w:val="af1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1">
    <w:name w:val="引用 字符"/>
    <w:basedOn w:val="a0"/>
    <w:link w:val="af0"/>
    <w:uiPriority w:val="29"/>
    <w:qFormat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4">
    <w:name w:val="明显引用 字符"/>
    <w:basedOn w:val="a0"/>
    <w:link w:val="af3"/>
    <w:uiPriority w:val="30"/>
    <w:qFormat/>
    <w:rPr>
      <w:i/>
      <w:iCs/>
      <w:color w:val="2E74B5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Dr_xu0002</dc:creator>
  <cp:lastModifiedBy>Dr_xu0002</cp:lastModifiedBy>
  <cp:revision>16</cp:revision>
  <dcterms:created xsi:type="dcterms:W3CDTF">2026-03-01T11:34:00Z</dcterms:created>
  <dcterms:modified xsi:type="dcterms:W3CDTF">2026-08-29T16:48:00Z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eyJoZGlkIjoiODViY2JkMjU3NGYzZTEwMzZmMGFkZWViYmNkYWU3NDIiLCJ1c2VySWQiOiIyNjE1MTgzODMifQ==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1EB1E81222D5418095F4145DAA6E3F10_12</vt:lpwstr>
  </property>
</Properties>
</file>