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7435" w:rsidRDefault="00DB40B1">
      <w:pPr>
        <w:jc w:val="center"/>
      </w:pPr>
      <w:r>
        <w:rPr>
          <w:rFonts w:ascii="Times New Roman" w:hAnsi="Times New Roman"/>
          <w:b/>
          <w:sz w:val="28"/>
        </w:rPr>
        <w:t>Supplemental Material</w:t>
      </w:r>
    </w:p>
    <w:p w:rsidR="00E57435" w:rsidRDefault="00DB40B1">
      <w:pPr>
        <w:jc w:val="center"/>
      </w:pPr>
      <w:r>
        <w:rPr>
          <w:rFonts w:ascii="Times New Roman" w:hAnsi="Times New Roman"/>
          <w:i/>
          <w:sz w:val="20"/>
        </w:rPr>
        <w:t>Inflammatory biomarkers and metabolomic profiling of patients with chronic obstructive pulmonary disease: a community-based cross-sectional study in northeastern Taiwan</w:t>
      </w:r>
    </w:p>
    <w:p w:rsidR="0002235F" w:rsidRDefault="00DB40B1" w:rsidP="00857CC8">
      <w:pPr>
        <w:spacing w:line="480" w:lineRule="auto"/>
        <w:rPr>
          <w:rFonts w:ascii="Times New Roman" w:hAnsi="Times New Roman"/>
          <w:b/>
          <w:bCs/>
          <w:color w:val="000000"/>
          <w:szCs w:val="24"/>
        </w:rPr>
      </w:pPr>
      <w:r w:rsidRPr="00F06FB1">
        <w:rPr>
          <w:rFonts w:ascii="Times New Roman" w:hAnsi="Times New Roman"/>
          <w:b/>
          <w:bCs/>
          <w:color w:val="000000"/>
          <w:szCs w:val="24"/>
        </w:rPr>
        <w:t>Supplemental Methods</w:t>
      </w:r>
    </w:p>
    <w:p w:rsidR="0002235F" w:rsidRPr="005A4905" w:rsidRDefault="00DB40B1" w:rsidP="00857CC8">
      <w:pPr>
        <w:spacing w:line="480" w:lineRule="auto"/>
        <w:rPr>
          <w:rFonts w:ascii="Times New Roman" w:hAnsi="Times New Roman"/>
          <w:b/>
        </w:rPr>
      </w:pPr>
      <w:r w:rsidRPr="005A4905">
        <w:rPr>
          <w:rFonts w:ascii="Times New Roman" w:hAnsi="Times New Roman" w:hint="eastAsia"/>
          <w:b/>
        </w:rPr>
        <w:t>P</w:t>
      </w:r>
      <w:r w:rsidRPr="005A4905">
        <w:rPr>
          <w:rFonts w:ascii="Times New Roman" w:hAnsi="Times New Roman"/>
          <w:b/>
        </w:rPr>
        <w:t>articulate matter</w:t>
      </w:r>
      <w:r w:rsidRPr="005A4905">
        <w:rPr>
          <w:rFonts w:ascii="Times New Roman" w:hAnsi="Times New Roman" w:hint="eastAsia"/>
          <w:b/>
        </w:rPr>
        <w:t xml:space="preserve"> </w:t>
      </w:r>
      <w:r w:rsidRPr="005A4905">
        <w:rPr>
          <w:rFonts w:ascii="Times New Roman" w:hAnsi="Times New Roman"/>
          <w:b/>
        </w:rPr>
        <w:t>(PM) sampling</w:t>
      </w:r>
    </w:p>
    <w:p w:rsidR="0002235F" w:rsidRPr="00857CC8" w:rsidRDefault="00DB40B1" w:rsidP="00857CC8">
      <w:pPr>
        <w:spacing w:line="480" w:lineRule="auto"/>
        <w:rPr>
          <w:rFonts w:ascii="Times New Roman" w:hAnsi="Times New Roman"/>
        </w:rPr>
      </w:pPr>
      <w:r w:rsidRPr="00857CC8">
        <w:rPr>
          <w:rFonts w:ascii="Times New Roman" w:hAnsi="Times New Roman"/>
        </w:rPr>
        <w:t>Air-pollution exposure assessment was performed using previously described sampling, analytical, and modeling procedures(1-3). Briefly, a portable air sampler (PEM, SKC XR5000) that used a 37 mm quartz fiber filter was used for PM2.5 collection. The flow r</w:t>
      </w:r>
      <w:r w:rsidRPr="00857CC8">
        <w:rPr>
          <w:rFonts w:ascii="Times New Roman" w:hAnsi="Times New Roman"/>
        </w:rPr>
        <w:t>ate was 4 L min−1. The PM2.5 sampling was done twice per month from January 2023 to October 2025. PM2.5 was sampled in fine weather to limit atmospheric interference. Samples were collected at three different locations, including National Taiwan Ocean Univ</w:t>
      </w:r>
      <w:r w:rsidRPr="00857CC8">
        <w:rPr>
          <w:rFonts w:ascii="Times New Roman" w:hAnsi="Times New Roman"/>
        </w:rPr>
        <w:t>ersity, Jian De Elementary School and Ren Ai elementary school. The locations of the samplings were controlled at least 1 m above the ground of that floor and at least 1 m from adjacent walls to avoid possible interference. The sampling was carried out twi</w:t>
      </w:r>
      <w:r w:rsidRPr="00857CC8">
        <w:rPr>
          <w:rFonts w:ascii="Times New Roman" w:hAnsi="Times New Roman"/>
        </w:rPr>
        <w:t>ce per month from January 2023 to October 2025. Each sampling lasted 3 days.</w:t>
      </w:r>
    </w:p>
    <w:p w:rsidR="0002235F" w:rsidRPr="00857CC8" w:rsidRDefault="00DB40B1" w:rsidP="00857CC8">
      <w:pPr>
        <w:spacing w:line="480" w:lineRule="auto"/>
        <w:rPr>
          <w:rFonts w:ascii="Times New Roman" w:hAnsi="Times New Roman"/>
          <w:b/>
        </w:rPr>
      </w:pPr>
    </w:p>
    <w:p w:rsidR="0002235F" w:rsidRPr="005A4905" w:rsidRDefault="00DB40B1" w:rsidP="00857CC8">
      <w:pPr>
        <w:spacing w:line="480" w:lineRule="auto"/>
        <w:rPr>
          <w:rFonts w:ascii="Times New Roman" w:hAnsi="Times New Roman"/>
          <w:b/>
        </w:rPr>
      </w:pPr>
      <w:r w:rsidRPr="005A4905">
        <w:rPr>
          <w:rFonts w:ascii="Times New Roman" w:hAnsi="Times New Roman" w:hint="eastAsia"/>
          <w:b/>
        </w:rPr>
        <w:t>P</w:t>
      </w:r>
      <w:r w:rsidRPr="005A4905">
        <w:rPr>
          <w:rFonts w:ascii="Times New Roman" w:hAnsi="Times New Roman"/>
          <w:b/>
        </w:rPr>
        <w:t>olycyclic aromatic hydrocarbons (PAH) analysis</w:t>
      </w:r>
    </w:p>
    <w:p w:rsidR="0002235F" w:rsidRPr="00857CC8" w:rsidRDefault="00DB40B1" w:rsidP="00857CC8">
      <w:pPr>
        <w:spacing w:line="480" w:lineRule="auto"/>
        <w:rPr>
          <w:rFonts w:ascii="Times New Roman" w:hAnsi="Times New Roman"/>
        </w:rPr>
      </w:pPr>
      <w:r w:rsidRPr="00857CC8">
        <w:rPr>
          <w:rFonts w:ascii="Times New Roman" w:hAnsi="Times New Roman"/>
        </w:rPr>
        <w:t>For PAH analysis</w:t>
      </w:r>
      <w:r>
        <w:rPr>
          <w:rFonts w:ascii="Times New Roman" w:hAnsi="Times New Roman"/>
          <w:noProof/>
        </w:rPr>
        <w:t>(1-3)</w:t>
      </w:r>
      <w:r>
        <w:rPr>
          <w:rFonts w:ascii="Times New Roman" w:hAnsi="Times New Roman"/>
        </w:rPr>
        <w:t>,</w:t>
      </w:r>
      <w:r w:rsidRPr="00857CC8">
        <w:rPr>
          <w:rFonts w:ascii="Times New Roman" w:hAnsi="Times New Roman"/>
        </w:rPr>
        <w:t xml:space="preserve"> glassware was washed with neutral cleaning foam and tap water, as well as rinsed with deionized water, foll</w:t>
      </w:r>
      <w:r w:rsidRPr="00857CC8">
        <w:rPr>
          <w:rFonts w:ascii="Times New Roman" w:hAnsi="Times New Roman"/>
        </w:rPr>
        <w:t>owed by heating at 450 ° C for 4 h to remove organic residuals. Alumina and quartz fib</w:t>
      </w:r>
      <w:r>
        <w:rPr>
          <w:rFonts w:ascii="Times New Roman" w:hAnsi="Times New Roman" w:hint="eastAsia"/>
        </w:rPr>
        <w:t>e</w:t>
      </w:r>
      <w:r>
        <w:rPr>
          <w:rFonts w:ascii="Times New Roman" w:hAnsi="Times New Roman"/>
        </w:rPr>
        <w:t>r</w:t>
      </w:r>
      <w:r w:rsidRPr="00857CC8">
        <w:rPr>
          <w:rFonts w:ascii="Times New Roman" w:hAnsi="Times New Roman"/>
        </w:rPr>
        <w:t xml:space="preserve"> filters were heated at 550 °C for 4 h and cooled to room temperature in a desiccator prior to use. The quartz fib</w:t>
      </w:r>
      <w:r>
        <w:rPr>
          <w:rFonts w:ascii="Times New Roman" w:hAnsi="Times New Roman"/>
        </w:rPr>
        <w:t>er</w:t>
      </w:r>
      <w:r w:rsidRPr="00857CC8">
        <w:rPr>
          <w:rFonts w:ascii="Times New Roman" w:hAnsi="Times New Roman"/>
        </w:rPr>
        <w:t xml:space="preserve"> filters were dried in an oven with a relative humid</w:t>
      </w:r>
      <w:r w:rsidRPr="00857CC8">
        <w:rPr>
          <w:rFonts w:ascii="Times New Roman" w:hAnsi="Times New Roman"/>
        </w:rPr>
        <w:t>ity of 38–42% for 48 h and then weighed. Anhydrous sodium sulphate was pre-treated by Soxhlet extraction using acetone and n-hexane (1:1 v/v) for 24 h, followed by vacuum drying at 60 ° C and heating at 150 °C for 12 h before use. To analy</w:t>
      </w:r>
      <w:r>
        <w:rPr>
          <w:rFonts w:ascii="Times New Roman" w:hAnsi="Times New Roman"/>
        </w:rPr>
        <w:t>z</w:t>
      </w:r>
      <w:r w:rsidRPr="00857CC8">
        <w:rPr>
          <w:rFonts w:ascii="Times New Roman" w:hAnsi="Times New Roman"/>
        </w:rPr>
        <w:t>e PM</w:t>
      </w:r>
      <w:r w:rsidRPr="0058217D">
        <w:rPr>
          <w:rFonts w:ascii="Times New Roman" w:hAnsi="Times New Roman"/>
          <w:vertAlign w:val="subscript"/>
        </w:rPr>
        <w:t>2.5</w:t>
      </w:r>
      <w:r w:rsidRPr="00857CC8">
        <w:rPr>
          <w:rFonts w:ascii="Times New Roman" w:hAnsi="Times New Roman"/>
        </w:rPr>
        <w:t>-associat</w:t>
      </w:r>
      <w:r w:rsidRPr="00857CC8">
        <w:rPr>
          <w:rFonts w:ascii="Times New Roman" w:hAnsi="Times New Roman"/>
        </w:rPr>
        <w:t>ed PAH concentrations, the filter samples were Soxhlet extracted with dichloromethane as the solvent. Before extraction, a mixture of four perdeuterated PAHs including naphthalene-d8, fluorene-d10, fluoranthene-d10, and perylene-d12 was added to the solven</w:t>
      </w:r>
      <w:r w:rsidRPr="00857CC8">
        <w:rPr>
          <w:rFonts w:ascii="Times New Roman" w:hAnsi="Times New Roman"/>
        </w:rPr>
        <w:t>ts as surrogates. The extraction time was 24 h. The extracts were concentrated at 0.5 mL using a rotary evaporator and nitrogen blowdown. PAH concentrations in the extracts were analy</w:t>
      </w:r>
      <w:r>
        <w:rPr>
          <w:rFonts w:ascii="Times New Roman" w:hAnsi="Times New Roman"/>
        </w:rPr>
        <w:t>z</w:t>
      </w:r>
      <w:r w:rsidRPr="00857CC8">
        <w:rPr>
          <w:rFonts w:ascii="Times New Roman" w:hAnsi="Times New Roman"/>
        </w:rPr>
        <w:t>ed using gas chromatography coupled with mass spectrometry (GC/MS, Shima</w:t>
      </w:r>
      <w:r w:rsidRPr="00857CC8">
        <w:rPr>
          <w:rFonts w:ascii="Times New Roman" w:hAnsi="Times New Roman"/>
        </w:rPr>
        <w:t xml:space="preserve">dzu TQ8050). One microliter of the extract was injected in splitless mode with the </w:t>
      </w:r>
      <w:r w:rsidRPr="00857CC8">
        <w:rPr>
          <w:rFonts w:ascii="Times New Roman" w:hAnsi="Times New Roman"/>
        </w:rPr>
        <w:lastRenderedPageBreak/>
        <w:t>injector temperature set at 250 ° C. The GC was equipped with an Agilent J&amp;W VF-5ms capillary column (30 m × 0.25 mm id, film thickness 0.25 μm film thickness). The oven tem</w:t>
      </w:r>
      <w:r w:rsidRPr="00857CC8">
        <w:rPr>
          <w:rFonts w:ascii="Times New Roman" w:hAnsi="Times New Roman"/>
        </w:rPr>
        <w:t>perature programme was as follows: initial temperature 50 °C, increased at 10 °C min−1 to 280 °C, and then increased at 5 ° C min - 1 to 310 °C. Helium was used as the carrier gas at a flow rate of 1 mL min-1. The MS was operated in electron impact mode, w</w:t>
      </w:r>
      <w:r w:rsidRPr="00857CC8">
        <w:rPr>
          <w:rFonts w:ascii="Times New Roman" w:hAnsi="Times New Roman"/>
        </w:rPr>
        <w:t>ith the interface temperature maintained at 250 ° C. Before instrumental analysis, a mixture of perdeuterated PAHs that contained acenaphthene-d10, phenanthrene-d10, benzo(a)anthracene-d12, and benzo(a)pyrene-d12, and benzo[g,h,i] perylene-d12 was added to</w:t>
      </w:r>
      <w:r w:rsidRPr="00857CC8">
        <w:rPr>
          <w:rFonts w:ascii="Times New Roman" w:hAnsi="Times New Roman"/>
        </w:rPr>
        <w:t xml:space="preserve"> the extract as the internal standard.</w:t>
      </w:r>
    </w:p>
    <w:p w:rsidR="0002235F" w:rsidRDefault="00DB40B1" w:rsidP="00F17FE2">
      <w:pPr>
        <w:spacing w:line="480" w:lineRule="auto"/>
        <w:rPr>
          <w:rFonts w:ascii="Times New Roman" w:hAnsi="Times New Roman"/>
          <w:b/>
        </w:rPr>
      </w:pPr>
    </w:p>
    <w:p w:rsidR="0002235F" w:rsidRPr="005A4905" w:rsidRDefault="00DB40B1" w:rsidP="005A4905">
      <w:pPr>
        <w:spacing w:line="480" w:lineRule="auto"/>
        <w:rPr>
          <w:rFonts w:ascii="Times New Roman" w:hAnsi="Times New Roman"/>
          <w:b/>
          <w:lang w:val="en"/>
        </w:rPr>
      </w:pPr>
      <w:r w:rsidRPr="005A4905">
        <w:rPr>
          <w:rFonts w:ascii="Times New Roman" w:hAnsi="Times New Roman"/>
          <w:b/>
          <w:lang w:val="en"/>
        </w:rPr>
        <w:t>Targeted metabolomics analysis by UPLC-MS/MS</w:t>
      </w:r>
    </w:p>
    <w:p w:rsidR="0002235F" w:rsidRPr="005A4905" w:rsidRDefault="00DB40B1" w:rsidP="005A4905">
      <w:pPr>
        <w:spacing w:line="480" w:lineRule="auto"/>
        <w:rPr>
          <w:rFonts w:ascii="Times New Roman" w:hAnsi="Times New Roman"/>
          <w:lang w:val="en"/>
        </w:rPr>
      </w:pPr>
      <w:r w:rsidRPr="005A4905">
        <w:rPr>
          <w:rFonts w:ascii="Times New Roman" w:hAnsi="Times New Roman"/>
          <w:lang w:val="en"/>
        </w:rPr>
        <w:t xml:space="preserve">Targeted phospholipid and amino acid analyses were performed using previously described methods with modifications(4). For phospholipids, 10 μL of plasma was extracted </w:t>
      </w:r>
      <w:r w:rsidRPr="005A4905">
        <w:rPr>
          <w:rFonts w:ascii="Times New Roman" w:hAnsi="Times New Roman"/>
          <w:lang w:val="en"/>
        </w:rPr>
        <w:t>with 490 μL of isopropanol containing an internal standard mixture (Avanti Polar Lipids, Alabaster, AL, USA). The mixture was vortexed for more than one minute and incubated on ice for 30 minutes. The samples were then centrifuged at 2,000 × g for 20 minut</w:t>
      </w:r>
      <w:r w:rsidRPr="005A4905">
        <w:rPr>
          <w:rFonts w:ascii="Times New Roman" w:hAnsi="Times New Roman"/>
          <w:lang w:val="en"/>
        </w:rPr>
        <w:t>es at 4 ° C. The resulting supernatant was filtered and 200 μL was collected and mixed with 200 μL of 50% acetonitrile. A 100 μL aliquot of this solution was diluted tenfold with ddH₂O and subjected to LC-MS analysis. For amino acids, 25 μL of plasma was m</w:t>
      </w:r>
      <w:r w:rsidRPr="005A4905">
        <w:rPr>
          <w:rFonts w:ascii="Times New Roman" w:hAnsi="Times New Roman"/>
          <w:lang w:val="en"/>
        </w:rPr>
        <w:t>ixed with 25 μL of ddH₂O, followed by the addition of 50 μL of 10% sulfosalicylic acid solution containing internal standards for protein precipitation. After centrifugation at 12,000 rpm for 30 minutes at 4°C, 10 μL of supernatant or standard solution was</w:t>
      </w:r>
      <w:r w:rsidRPr="005A4905">
        <w:rPr>
          <w:rFonts w:ascii="Times New Roman" w:hAnsi="Times New Roman"/>
          <w:lang w:val="en"/>
        </w:rPr>
        <w:t xml:space="preserve"> mixed with 70 μL of 0.87 M borate buffer (pH 8.5). The derivatization was carried out by adding 20 μL of 10 mM 6-aminoquinolyl-N-hydroxysuccinimidyl carbamate (AQC) in acetonitrile and heating at 55 ° C for 10 minutes. The reaction mixture was further dil</w:t>
      </w:r>
      <w:r w:rsidRPr="005A4905">
        <w:rPr>
          <w:rFonts w:ascii="Times New Roman" w:hAnsi="Times New Roman"/>
          <w:lang w:val="en"/>
        </w:rPr>
        <w:t>uted with 100 μL of 0.1% formic acid in ddH₂O, followed by a tenfold dilution with the same solution before LC-MS analysis. Chromatographic separation for the first method was performed on a Waters ACQUITY BEH C18 column (2.1 × 100 mm, 1.7 μm; Waters, Milf</w:t>
      </w:r>
      <w:r w:rsidRPr="005A4905">
        <w:rPr>
          <w:rFonts w:ascii="Times New Roman" w:hAnsi="Times New Roman"/>
          <w:lang w:val="en"/>
        </w:rPr>
        <w:t>ord, MA, USA) at 60 ° C using a mobile phase A of acetonitrile/water (40:60, v/v) with 10 mM ammonium formate and mobile phase B of isopropanol/acetonitrile (90:10, v/v) with 10 mM ammonium formate. The flow rate was set at 0.45 mL / min with a gradient el</w:t>
      </w:r>
      <w:r w:rsidRPr="005A4905">
        <w:rPr>
          <w:rFonts w:ascii="Times New Roman" w:hAnsi="Times New Roman"/>
          <w:lang w:val="en"/>
        </w:rPr>
        <w:t>ution: 0–10 min, 40–99% B; 10–10.1 min, 99–40% B; 10.1–12 min, 40% B, followed by re-equilibration for 1.9 min. Mass spectrometry was performed on a Waters Xevo TQ-XS in positive electrospray ionisation (ESI) mode with the capillary voltage at 1500 V, samp</w:t>
      </w:r>
      <w:r w:rsidRPr="005A4905">
        <w:rPr>
          <w:rFonts w:ascii="Times New Roman" w:hAnsi="Times New Roman"/>
          <w:lang w:val="en"/>
        </w:rPr>
        <w:t xml:space="preserve">ling cone </w:t>
      </w:r>
      <w:r w:rsidRPr="005A4905">
        <w:rPr>
          <w:rFonts w:ascii="Times New Roman" w:hAnsi="Times New Roman"/>
          <w:lang w:val="en"/>
        </w:rPr>
        <w:lastRenderedPageBreak/>
        <w:t>voltage at 35 V, desolvation gas at 1000 L/h, cone gas at 150 L/h, desolvation temperature at 500 ° C and source temperature at 150 ° C. Laboratory quality control (QC3) samples were analyzed after every 10th sample. For amino acids, chromatograp</w:t>
      </w:r>
      <w:r w:rsidRPr="005A4905">
        <w:rPr>
          <w:rFonts w:ascii="Times New Roman" w:hAnsi="Times New Roman"/>
          <w:lang w:val="en"/>
        </w:rPr>
        <w:t xml:space="preserve">hic separation was carried out on a Waters Cortecs C18 column (2.1 × 150 mm, 1.6 μm) at 55 ° C with a flow rate of 0.5 mL / min. The mobile phases were A: water with 0.1% formic acid and B: acetonitrile with 0.1% formic acid. The gradient programme was as </w:t>
      </w:r>
      <w:r w:rsidRPr="005A4905">
        <w:rPr>
          <w:rFonts w:ascii="Times New Roman" w:hAnsi="Times New Roman"/>
          <w:lang w:val="en"/>
        </w:rPr>
        <w:t>follows: 1% B isocratic for 1 min, linear increase to 13% B over 2 min, then 15% B over 2.5 min, followed by an increase to 95% B in 1 min, held for 1 min, and reequilibrated for 2 min. Mass spectrometric detection was performed in positive ESI mode with m</w:t>
      </w:r>
      <w:r w:rsidRPr="005A4905">
        <w:rPr>
          <w:rFonts w:ascii="Times New Roman" w:hAnsi="Times New Roman"/>
          <w:lang w:val="en"/>
        </w:rPr>
        <w:t>ultiple reaction monitoring (MRM). The capillary voltage was set at 2000 V, the sampling cone voltage at 30 V, the desolvation gas flow at 1000 L/h (500°C), and the source temperature at 150°C. Data acquisition and processing were carried out using MassLyn</w:t>
      </w:r>
      <w:r w:rsidRPr="005A4905">
        <w:rPr>
          <w:rFonts w:ascii="Times New Roman" w:hAnsi="Times New Roman"/>
          <w:lang w:val="en"/>
        </w:rPr>
        <w:t>x V4.2 and MRMQuant software (Waters, Milford, MA, USA).</w:t>
      </w:r>
    </w:p>
    <w:p w:rsidR="0002235F" w:rsidRDefault="00DB40B1" w:rsidP="00F17FE2">
      <w:pPr>
        <w:spacing w:line="480" w:lineRule="auto"/>
        <w:rPr>
          <w:rFonts w:ascii="Times New Roman" w:hAnsi="Times New Roman"/>
          <w:b/>
        </w:rPr>
      </w:pPr>
    </w:p>
    <w:p w:rsidR="0002235F" w:rsidRPr="00DC4062" w:rsidRDefault="00DB40B1" w:rsidP="00DC4062">
      <w:pPr>
        <w:spacing w:line="480" w:lineRule="auto"/>
        <w:rPr>
          <w:rFonts w:ascii="Times New Roman" w:hAnsi="Times New Roman"/>
          <w:b/>
        </w:rPr>
      </w:pPr>
      <w:r>
        <w:rPr>
          <w:rFonts w:ascii="Times New Roman" w:hAnsi="Times New Roman"/>
          <w:b/>
        </w:rPr>
        <w:t>References</w:t>
      </w:r>
    </w:p>
    <w:p w:rsidR="00F3664D" w:rsidRDefault="00DB40B1" w:rsidP="00F06FB1">
      <w:r>
        <w:t xml:space="preserve">1. </w:t>
      </w:r>
      <w:r w:rsidRPr="00F06FB1">
        <w:t>Chen WH, Hsieh MT, You JY, Quadir A, Lee CL. Temporal and vertical variations</w:t>
      </w:r>
    </w:p>
    <w:p w:rsidR="00F3664D" w:rsidRDefault="00DB40B1" w:rsidP="00F06FB1">
      <w:r>
        <w:t xml:space="preserve"> </w:t>
      </w:r>
      <w:r w:rsidRPr="00F06FB1">
        <w:t xml:space="preserve"> of polycyclic aromatic hydrocarbon at low elevations in an industrial city of</w:t>
      </w:r>
    </w:p>
    <w:p w:rsidR="0002235F" w:rsidRPr="00F06FB1" w:rsidRDefault="00DB40B1" w:rsidP="00F06FB1">
      <w:r>
        <w:t xml:space="preserve"> </w:t>
      </w:r>
      <w:r w:rsidRPr="00F06FB1">
        <w:t xml:space="preserve"> southern Taiwan. Sci Rep</w:t>
      </w:r>
      <w:r w:rsidRPr="00F06FB1">
        <w:t>. 2021;11(1):3453.</w:t>
      </w:r>
    </w:p>
    <w:p w:rsidR="00F3664D" w:rsidRDefault="00DB40B1" w:rsidP="00F06FB1">
      <w:r>
        <w:t xml:space="preserve">2. </w:t>
      </w:r>
      <w:r w:rsidRPr="00F06FB1">
        <w:t>Lee CH, Brimblecombe P, Lee CL. Fifty-year change in air pollution in Kaohsiung,</w:t>
      </w:r>
    </w:p>
    <w:p w:rsidR="0002235F" w:rsidRPr="00F06FB1" w:rsidRDefault="00DB40B1" w:rsidP="00F06FB1">
      <w:r>
        <w:t xml:space="preserve"> </w:t>
      </w:r>
      <w:r w:rsidRPr="00F06FB1">
        <w:t xml:space="preserve"> Taiwan. Environ Sci Pollut Res Int. 2022;29(56):84521-31.</w:t>
      </w:r>
    </w:p>
    <w:p w:rsidR="00F3664D" w:rsidRDefault="00DB40B1" w:rsidP="00F06FB1">
      <w:r>
        <w:t xml:space="preserve">3. </w:t>
      </w:r>
      <w:r w:rsidRPr="00F06FB1">
        <w:t>Lee CL, Huang HC, Wang CC, Sheu CC, Wu CC, Leung SY, et al. A new grid</w:t>
      </w:r>
    </w:p>
    <w:p w:rsidR="00F3664D" w:rsidRDefault="00DB40B1" w:rsidP="00F06FB1">
      <w:r>
        <w:t xml:space="preserve">  </w:t>
      </w:r>
      <w:r w:rsidRPr="00F06FB1">
        <w:t>-scale model simu</w:t>
      </w:r>
      <w:r w:rsidRPr="00F06FB1">
        <w:t>lating the spatiotemporal distribution of PM2.5-PAHs for</w:t>
      </w:r>
    </w:p>
    <w:p w:rsidR="0002235F" w:rsidRPr="00F06FB1" w:rsidRDefault="00DB40B1" w:rsidP="00F06FB1">
      <w:r>
        <w:t xml:space="preserve"> </w:t>
      </w:r>
      <w:r w:rsidRPr="00F06FB1">
        <w:t xml:space="preserve"> exposure assessment. J Hazard Mater. 2016;314:286-94.</w:t>
      </w:r>
    </w:p>
    <w:p w:rsidR="00F3664D" w:rsidRDefault="00DB40B1" w:rsidP="00F06FB1">
      <w:r>
        <w:t xml:space="preserve">4. </w:t>
      </w:r>
      <w:r w:rsidRPr="00F06FB1">
        <w:t>Chang KH, Cheng ML, Tang HY, Huang CY, Wu HC, Chen CM. Alterations of</w:t>
      </w:r>
    </w:p>
    <w:p w:rsidR="00F3664D" w:rsidRDefault="00DB40B1" w:rsidP="00F06FB1">
      <w:r>
        <w:t xml:space="preserve">  Sphingolipid and Phospholipid Pathways and Ornithine Level in the Pl</w:t>
      </w:r>
      <w:r>
        <w:t>asma as</w:t>
      </w:r>
    </w:p>
    <w:p w:rsidR="0002235F" w:rsidRPr="00F06FB1" w:rsidRDefault="00DB40B1" w:rsidP="00F06FB1">
      <w:r>
        <w:t xml:space="preserve"> </w:t>
      </w:r>
      <w:r w:rsidRPr="00F06FB1">
        <w:t xml:space="preserve"> Biomarkers of Parkinson's Disease. Cells. 2022;11(3).</w:t>
      </w:r>
    </w:p>
    <w:p w:rsidR="00A2417F" w:rsidRDefault="00DB40B1"/>
    <w:p w:rsidR="00E57435" w:rsidRDefault="00DB40B1">
      <w:r>
        <w:br w:type="page"/>
      </w:r>
    </w:p>
    <w:p w:rsidR="00E57435" w:rsidRDefault="00DB40B1">
      <w:pPr>
        <w:spacing w:after="120"/>
      </w:pPr>
      <w:r>
        <w:rPr>
          <w:rFonts w:ascii="Times New Roman" w:hAnsi="Times New Roman"/>
          <w:b/>
        </w:rPr>
        <w:lastRenderedPageBreak/>
        <w:t>Supplemental Table 1. Clinical characteristics, maintenance inhaler therapy, and exacerbation history of patients with COPD</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7848"/>
        <w:gridCol w:w="2232"/>
      </w:tblGrid>
      <w:tr w:rsidR="00E57435">
        <w:trPr>
          <w:tblHeader/>
          <w:jc w:val="center"/>
        </w:trPr>
        <w:tc>
          <w:tcPr>
            <w:tcW w:w="7848" w:type="dxa"/>
            <w:shd w:val="clear" w:color="auto" w:fill="D9E2F3"/>
            <w:tcMar>
              <w:top w:w="55" w:type="dxa"/>
              <w:left w:w="70" w:type="dxa"/>
              <w:bottom w:w="55" w:type="dxa"/>
              <w:right w:w="70" w:type="dxa"/>
            </w:tcMar>
            <w:vAlign w:val="center"/>
          </w:tcPr>
          <w:p w:rsidR="00E57435" w:rsidRDefault="00DB40B1">
            <w:pPr>
              <w:spacing w:after="0"/>
            </w:pPr>
            <w:r>
              <w:rPr>
                <w:rFonts w:ascii="Times New Roman" w:hAnsi="Times New Roman"/>
                <w:b/>
                <w:sz w:val="19"/>
              </w:rPr>
              <w:t>Characteristic</w:t>
            </w:r>
          </w:p>
        </w:tc>
        <w:tc>
          <w:tcPr>
            <w:tcW w:w="1800" w:type="dxa"/>
            <w:shd w:val="clear" w:color="auto" w:fill="D9E2F3"/>
            <w:tcMar>
              <w:top w:w="55" w:type="dxa"/>
              <w:left w:w="70" w:type="dxa"/>
              <w:bottom w:w="55" w:type="dxa"/>
              <w:right w:w="70" w:type="dxa"/>
            </w:tcMar>
            <w:vAlign w:val="center"/>
          </w:tcPr>
          <w:p w:rsidR="00E57435" w:rsidRDefault="00DB40B1">
            <w:pPr>
              <w:spacing w:after="0"/>
              <w:jc w:val="center"/>
            </w:pPr>
            <w:r>
              <w:rPr>
                <w:rFonts w:ascii="Times New Roman" w:hAnsi="Times New Roman"/>
                <w:b/>
                <w:sz w:val="19"/>
              </w:rPr>
              <w:t>COPD (n = 54), n (%)</w:t>
            </w:r>
          </w:p>
        </w:tc>
      </w:tr>
      <w:tr w:rsidR="00E57435">
        <w:trPr>
          <w:jc w:val="center"/>
        </w:trPr>
        <w:tc>
          <w:tcPr>
            <w:tcW w:w="10080" w:type="dxa"/>
            <w:gridSpan w:val="2"/>
            <w:shd w:val="clear" w:color="auto" w:fill="EDEDED"/>
            <w:tcMar>
              <w:top w:w="40" w:type="dxa"/>
              <w:left w:w="70" w:type="dxa"/>
              <w:bottom w:w="40" w:type="dxa"/>
              <w:right w:w="70" w:type="dxa"/>
            </w:tcMar>
          </w:tcPr>
          <w:p w:rsidR="00E57435" w:rsidRDefault="00DB40B1">
            <w:pPr>
              <w:spacing w:after="0"/>
            </w:pPr>
            <w:r>
              <w:rPr>
                <w:rFonts w:ascii="Times New Roman" w:hAnsi="Times New Roman"/>
                <w:b/>
                <w:sz w:val="19"/>
              </w:rPr>
              <w:t xml:space="preserve">Severity of airflow </w:t>
            </w:r>
            <w:r>
              <w:rPr>
                <w:rFonts w:ascii="Times New Roman" w:hAnsi="Times New Roman"/>
                <w:b/>
                <w:sz w:val="19"/>
              </w:rPr>
              <w:t>limitation</w:t>
            </w:r>
          </w:p>
        </w:tc>
      </w:tr>
      <w:tr w:rsidR="00E57435">
        <w:trPr>
          <w:jc w:val="center"/>
        </w:trPr>
        <w:tc>
          <w:tcPr>
            <w:tcW w:w="7848" w:type="dxa"/>
            <w:tcMar>
              <w:top w:w="38" w:type="dxa"/>
              <w:left w:w="70" w:type="dxa"/>
              <w:bottom w:w="38" w:type="dxa"/>
              <w:right w:w="70" w:type="dxa"/>
            </w:tcMar>
            <w:vAlign w:val="center"/>
          </w:tcPr>
          <w:p w:rsidR="00E57435" w:rsidRDefault="00DB40B1">
            <w:pPr>
              <w:spacing w:after="0"/>
            </w:pPr>
            <w:r>
              <w:rPr>
                <w:rFonts w:ascii="Times New Roman" w:hAnsi="Times New Roman"/>
                <w:sz w:val="18"/>
              </w:rPr>
              <w:t>GOLD grade 1</w:t>
            </w:r>
          </w:p>
        </w:tc>
        <w:tc>
          <w:tcPr>
            <w:tcW w:w="1800" w:type="dxa"/>
            <w:tcMar>
              <w:top w:w="38" w:type="dxa"/>
              <w:left w:w="70" w:type="dxa"/>
              <w:bottom w:w="38" w:type="dxa"/>
              <w:right w:w="70" w:type="dxa"/>
            </w:tcMar>
            <w:vAlign w:val="center"/>
          </w:tcPr>
          <w:p w:rsidR="00E57435" w:rsidRDefault="00DB40B1">
            <w:pPr>
              <w:spacing w:after="0"/>
              <w:jc w:val="center"/>
            </w:pPr>
            <w:r>
              <w:rPr>
                <w:rFonts w:ascii="Times New Roman" w:hAnsi="Times New Roman"/>
                <w:sz w:val="18"/>
              </w:rPr>
              <w:t>14 (25.9)</w:t>
            </w:r>
          </w:p>
        </w:tc>
      </w:tr>
      <w:tr w:rsidR="00E57435">
        <w:trPr>
          <w:jc w:val="center"/>
        </w:trPr>
        <w:tc>
          <w:tcPr>
            <w:tcW w:w="7848" w:type="dxa"/>
            <w:tcMar>
              <w:top w:w="38" w:type="dxa"/>
              <w:left w:w="70" w:type="dxa"/>
              <w:bottom w:w="38" w:type="dxa"/>
              <w:right w:w="70" w:type="dxa"/>
            </w:tcMar>
            <w:vAlign w:val="center"/>
          </w:tcPr>
          <w:p w:rsidR="00E57435" w:rsidRDefault="00DB40B1">
            <w:pPr>
              <w:spacing w:after="0"/>
            </w:pPr>
            <w:r>
              <w:rPr>
                <w:rFonts w:ascii="Times New Roman" w:hAnsi="Times New Roman"/>
                <w:sz w:val="18"/>
              </w:rPr>
              <w:t>GOLD grade 2</w:t>
            </w:r>
          </w:p>
        </w:tc>
        <w:tc>
          <w:tcPr>
            <w:tcW w:w="1800" w:type="dxa"/>
            <w:tcMar>
              <w:top w:w="38" w:type="dxa"/>
              <w:left w:w="70" w:type="dxa"/>
              <w:bottom w:w="38" w:type="dxa"/>
              <w:right w:w="70" w:type="dxa"/>
            </w:tcMar>
            <w:vAlign w:val="center"/>
          </w:tcPr>
          <w:p w:rsidR="00E57435" w:rsidRDefault="00DB40B1">
            <w:pPr>
              <w:spacing w:after="0"/>
              <w:jc w:val="center"/>
            </w:pPr>
            <w:r>
              <w:rPr>
                <w:rFonts w:ascii="Times New Roman" w:hAnsi="Times New Roman"/>
                <w:sz w:val="18"/>
              </w:rPr>
              <w:t>21 (38.9)</w:t>
            </w:r>
          </w:p>
        </w:tc>
      </w:tr>
      <w:tr w:rsidR="00E57435">
        <w:trPr>
          <w:jc w:val="center"/>
        </w:trPr>
        <w:tc>
          <w:tcPr>
            <w:tcW w:w="7848" w:type="dxa"/>
            <w:tcMar>
              <w:top w:w="38" w:type="dxa"/>
              <w:left w:w="70" w:type="dxa"/>
              <w:bottom w:w="38" w:type="dxa"/>
              <w:right w:w="70" w:type="dxa"/>
            </w:tcMar>
            <w:vAlign w:val="center"/>
          </w:tcPr>
          <w:p w:rsidR="00E57435" w:rsidRDefault="00DB40B1">
            <w:pPr>
              <w:spacing w:after="0"/>
            </w:pPr>
            <w:r>
              <w:rPr>
                <w:rFonts w:ascii="Times New Roman" w:hAnsi="Times New Roman"/>
                <w:sz w:val="18"/>
              </w:rPr>
              <w:t>GOLD grade 3</w:t>
            </w:r>
          </w:p>
        </w:tc>
        <w:tc>
          <w:tcPr>
            <w:tcW w:w="1800" w:type="dxa"/>
            <w:tcMar>
              <w:top w:w="38" w:type="dxa"/>
              <w:left w:w="70" w:type="dxa"/>
              <w:bottom w:w="38" w:type="dxa"/>
              <w:right w:w="70" w:type="dxa"/>
            </w:tcMar>
            <w:vAlign w:val="center"/>
          </w:tcPr>
          <w:p w:rsidR="00E57435" w:rsidRDefault="00DB40B1">
            <w:pPr>
              <w:spacing w:after="0"/>
              <w:jc w:val="center"/>
            </w:pPr>
            <w:r>
              <w:rPr>
                <w:rFonts w:ascii="Times New Roman" w:hAnsi="Times New Roman"/>
                <w:sz w:val="18"/>
              </w:rPr>
              <w:t>16 (29.6)</w:t>
            </w:r>
          </w:p>
        </w:tc>
      </w:tr>
      <w:tr w:rsidR="00E57435">
        <w:trPr>
          <w:jc w:val="center"/>
        </w:trPr>
        <w:tc>
          <w:tcPr>
            <w:tcW w:w="7848" w:type="dxa"/>
            <w:tcMar>
              <w:top w:w="38" w:type="dxa"/>
              <w:left w:w="70" w:type="dxa"/>
              <w:bottom w:w="38" w:type="dxa"/>
              <w:right w:w="70" w:type="dxa"/>
            </w:tcMar>
            <w:vAlign w:val="center"/>
          </w:tcPr>
          <w:p w:rsidR="00E57435" w:rsidRDefault="00DB40B1">
            <w:pPr>
              <w:spacing w:after="0"/>
            </w:pPr>
            <w:r>
              <w:rPr>
                <w:rFonts w:ascii="Times New Roman" w:hAnsi="Times New Roman"/>
                <w:sz w:val="18"/>
              </w:rPr>
              <w:t>GOLD grade 4</w:t>
            </w:r>
          </w:p>
        </w:tc>
        <w:tc>
          <w:tcPr>
            <w:tcW w:w="1800" w:type="dxa"/>
            <w:tcMar>
              <w:top w:w="38" w:type="dxa"/>
              <w:left w:w="70" w:type="dxa"/>
              <w:bottom w:w="38" w:type="dxa"/>
              <w:right w:w="70" w:type="dxa"/>
            </w:tcMar>
            <w:vAlign w:val="center"/>
          </w:tcPr>
          <w:p w:rsidR="00E57435" w:rsidRDefault="00DB40B1">
            <w:pPr>
              <w:spacing w:after="0"/>
              <w:jc w:val="center"/>
            </w:pPr>
            <w:r>
              <w:rPr>
                <w:rFonts w:ascii="Times New Roman" w:hAnsi="Times New Roman"/>
                <w:sz w:val="18"/>
              </w:rPr>
              <w:t>3 (5.6)</w:t>
            </w:r>
          </w:p>
        </w:tc>
      </w:tr>
      <w:tr w:rsidR="00E57435">
        <w:trPr>
          <w:jc w:val="center"/>
        </w:trPr>
        <w:tc>
          <w:tcPr>
            <w:tcW w:w="10080" w:type="dxa"/>
            <w:gridSpan w:val="2"/>
            <w:shd w:val="clear" w:color="auto" w:fill="EDEDED"/>
            <w:tcMar>
              <w:top w:w="40" w:type="dxa"/>
              <w:left w:w="70" w:type="dxa"/>
              <w:bottom w:w="40" w:type="dxa"/>
              <w:right w:w="70" w:type="dxa"/>
            </w:tcMar>
          </w:tcPr>
          <w:p w:rsidR="00E57435" w:rsidRDefault="00DB40B1">
            <w:pPr>
              <w:spacing w:after="0"/>
            </w:pPr>
            <w:r>
              <w:rPr>
                <w:rFonts w:ascii="Times New Roman" w:hAnsi="Times New Roman"/>
                <w:b/>
                <w:sz w:val="19"/>
              </w:rPr>
              <w:t>Maintenance inhaler therapy</w:t>
            </w:r>
          </w:p>
        </w:tc>
      </w:tr>
      <w:tr w:rsidR="00E57435">
        <w:trPr>
          <w:jc w:val="center"/>
        </w:trPr>
        <w:tc>
          <w:tcPr>
            <w:tcW w:w="7848" w:type="dxa"/>
            <w:tcMar>
              <w:top w:w="38" w:type="dxa"/>
              <w:left w:w="70" w:type="dxa"/>
              <w:bottom w:w="38" w:type="dxa"/>
              <w:right w:w="70" w:type="dxa"/>
            </w:tcMar>
            <w:vAlign w:val="center"/>
          </w:tcPr>
          <w:p w:rsidR="00E57435" w:rsidRDefault="00DB40B1">
            <w:pPr>
              <w:spacing w:after="0"/>
            </w:pPr>
            <w:r>
              <w:rPr>
                <w:rFonts w:ascii="Times New Roman" w:hAnsi="Times New Roman"/>
                <w:sz w:val="18"/>
              </w:rPr>
              <w:t>Any maintenance inhaler therapy</w:t>
            </w:r>
          </w:p>
        </w:tc>
        <w:tc>
          <w:tcPr>
            <w:tcW w:w="1800" w:type="dxa"/>
            <w:tcMar>
              <w:top w:w="38" w:type="dxa"/>
              <w:left w:w="70" w:type="dxa"/>
              <w:bottom w:w="38" w:type="dxa"/>
              <w:right w:w="70" w:type="dxa"/>
            </w:tcMar>
            <w:vAlign w:val="center"/>
          </w:tcPr>
          <w:p w:rsidR="00E57435" w:rsidRDefault="00DB40B1">
            <w:pPr>
              <w:spacing w:after="0"/>
              <w:jc w:val="center"/>
            </w:pPr>
            <w:r>
              <w:rPr>
                <w:rFonts w:ascii="Times New Roman" w:hAnsi="Times New Roman"/>
                <w:sz w:val="18"/>
              </w:rPr>
              <w:t>37 (68.5)</w:t>
            </w:r>
          </w:p>
        </w:tc>
      </w:tr>
      <w:tr w:rsidR="00E57435">
        <w:trPr>
          <w:jc w:val="center"/>
        </w:trPr>
        <w:tc>
          <w:tcPr>
            <w:tcW w:w="7848" w:type="dxa"/>
            <w:tcMar>
              <w:top w:w="38" w:type="dxa"/>
              <w:left w:w="70" w:type="dxa"/>
              <w:bottom w:w="38" w:type="dxa"/>
              <w:right w:w="70" w:type="dxa"/>
            </w:tcMar>
            <w:vAlign w:val="center"/>
          </w:tcPr>
          <w:p w:rsidR="00E57435" w:rsidRDefault="00DB40B1">
            <w:pPr>
              <w:spacing w:after="0"/>
            </w:pPr>
            <w:r>
              <w:rPr>
                <w:rFonts w:ascii="Times New Roman" w:hAnsi="Times New Roman"/>
                <w:sz w:val="18"/>
              </w:rPr>
              <w:t>LAMA</w:t>
            </w:r>
          </w:p>
        </w:tc>
        <w:tc>
          <w:tcPr>
            <w:tcW w:w="1800" w:type="dxa"/>
            <w:tcMar>
              <w:top w:w="38" w:type="dxa"/>
              <w:left w:w="70" w:type="dxa"/>
              <w:bottom w:w="38" w:type="dxa"/>
              <w:right w:w="70" w:type="dxa"/>
            </w:tcMar>
            <w:vAlign w:val="center"/>
          </w:tcPr>
          <w:p w:rsidR="00E57435" w:rsidRDefault="00DB40B1">
            <w:pPr>
              <w:spacing w:after="0"/>
              <w:jc w:val="center"/>
            </w:pPr>
            <w:r>
              <w:rPr>
                <w:rFonts w:ascii="Times New Roman" w:hAnsi="Times New Roman"/>
                <w:sz w:val="18"/>
              </w:rPr>
              <w:t>2 (3.7)</w:t>
            </w:r>
          </w:p>
        </w:tc>
      </w:tr>
      <w:tr w:rsidR="00E57435">
        <w:trPr>
          <w:jc w:val="center"/>
        </w:trPr>
        <w:tc>
          <w:tcPr>
            <w:tcW w:w="7848" w:type="dxa"/>
            <w:tcMar>
              <w:top w:w="38" w:type="dxa"/>
              <w:left w:w="70" w:type="dxa"/>
              <w:bottom w:w="38" w:type="dxa"/>
              <w:right w:w="70" w:type="dxa"/>
            </w:tcMar>
            <w:vAlign w:val="center"/>
          </w:tcPr>
          <w:p w:rsidR="00E57435" w:rsidRDefault="00DB40B1">
            <w:pPr>
              <w:spacing w:after="0"/>
            </w:pPr>
            <w:r>
              <w:rPr>
                <w:rFonts w:ascii="Times New Roman" w:hAnsi="Times New Roman"/>
                <w:sz w:val="18"/>
              </w:rPr>
              <w:t>ICS/LABA</w:t>
            </w:r>
          </w:p>
        </w:tc>
        <w:tc>
          <w:tcPr>
            <w:tcW w:w="1800" w:type="dxa"/>
            <w:tcMar>
              <w:top w:w="38" w:type="dxa"/>
              <w:left w:w="70" w:type="dxa"/>
              <w:bottom w:w="38" w:type="dxa"/>
              <w:right w:w="70" w:type="dxa"/>
            </w:tcMar>
            <w:vAlign w:val="center"/>
          </w:tcPr>
          <w:p w:rsidR="00E57435" w:rsidRDefault="00DB40B1">
            <w:pPr>
              <w:spacing w:after="0"/>
              <w:jc w:val="center"/>
            </w:pPr>
            <w:r>
              <w:rPr>
                <w:rFonts w:ascii="Times New Roman" w:hAnsi="Times New Roman"/>
                <w:sz w:val="18"/>
              </w:rPr>
              <w:t>2 (3.7)</w:t>
            </w:r>
          </w:p>
        </w:tc>
      </w:tr>
      <w:tr w:rsidR="00E57435">
        <w:trPr>
          <w:jc w:val="center"/>
        </w:trPr>
        <w:tc>
          <w:tcPr>
            <w:tcW w:w="7848" w:type="dxa"/>
            <w:tcMar>
              <w:top w:w="38" w:type="dxa"/>
              <w:left w:w="70" w:type="dxa"/>
              <w:bottom w:w="38" w:type="dxa"/>
              <w:right w:w="70" w:type="dxa"/>
            </w:tcMar>
            <w:vAlign w:val="center"/>
          </w:tcPr>
          <w:p w:rsidR="00E57435" w:rsidRDefault="00DB40B1">
            <w:pPr>
              <w:spacing w:after="0"/>
            </w:pPr>
            <w:r>
              <w:rPr>
                <w:rFonts w:ascii="Times New Roman" w:hAnsi="Times New Roman"/>
                <w:sz w:val="18"/>
              </w:rPr>
              <w:t>LAMA/LABA</w:t>
            </w:r>
          </w:p>
        </w:tc>
        <w:tc>
          <w:tcPr>
            <w:tcW w:w="1800" w:type="dxa"/>
            <w:tcMar>
              <w:top w:w="38" w:type="dxa"/>
              <w:left w:w="70" w:type="dxa"/>
              <w:bottom w:w="38" w:type="dxa"/>
              <w:right w:w="70" w:type="dxa"/>
            </w:tcMar>
            <w:vAlign w:val="center"/>
          </w:tcPr>
          <w:p w:rsidR="00E57435" w:rsidRDefault="00DB40B1">
            <w:pPr>
              <w:spacing w:after="0"/>
              <w:jc w:val="center"/>
            </w:pPr>
            <w:r>
              <w:rPr>
                <w:rFonts w:ascii="Times New Roman" w:hAnsi="Times New Roman"/>
                <w:sz w:val="18"/>
              </w:rPr>
              <w:t>18 (33.3)</w:t>
            </w:r>
          </w:p>
        </w:tc>
      </w:tr>
      <w:tr w:rsidR="00E57435">
        <w:trPr>
          <w:jc w:val="center"/>
        </w:trPr>
        <w:tc>
          <w:tcPr>
            <w:tcW w:w="7848" w:type="dxa"/>
            <w:tcMar>
              <w:top w:w="38" w:type="dxa"/>
              <w:left w:w="70" w:type="dxa"/>
              <w:bottom w:w="38" w:type="dxa"/>
              <w:right w:w="70" w:type="dxa"/>
            </w:tcMar>
            <w:vAlign w:val="center"/>
          </w:tcPr>
          <w:p w:rsidR="00E57435" w:rsidRDefault="00DB40B1">
            <w:pPr>
              <w:spacing w:after="0"/>
            </w:pPr>
            <w:r>
              <w:rPr>
                <w:rFonts w:ascii="Times New Roman" w:hAnsi="Times New Roman"/>
                <w:sz w:val="18"/>
              </w:rPr>
              <w:t>ICS/LAMA/LABA</w:t>
            </w:r>
          </w:p>
        </w:tc>
        <w:tc>
          <w:tcPr>
            <w:tcW w:w="1800" w:type="dxa"/>
            <w:tcMar>
              <w:top w:w="38" w:type="dxa"/>
              <w:left w:w="70" w:type="dxa"/>
              <w:bottom w:w="38" w:type="dxa"/>
              <w:right w:w="70" w:type="dxa"/>
            </w:tcMar>
            <w:vAlign w:val="center"/>
          </w:tcPr>
          <w:p w:rsidR="00E57435" w:rsidRDefault="00DB40B1">
            <w:pPr>
              <w:spacing w:after="0"/>
              <w:jc w:val="center"/>
            </w:pPr>
            <w:r>
              <w:rPr>
                <w:rFonts w:ascii="Times New Roman" w:hAnsi="Times New Roman"/>
                <w:sz w:val="18"/>
              </w:rPr>
              <w:t>15 (27.8)</w:t>
            </w:r>
          </w:p>
        </w:tc>
      </w:tr>
      <w:tr w:rsidR="00E57435">
        <w:trPr>
          <w:jc w:val="center"/>
        </w:trPr>
        <w:tc>
          <w:tcPr>
            <w:tcW w:w="7848" w:type="dxa"/>
            <w:tcMar>
              <w:top w:w="38" w:type="dxa"/>
              <w:left w:w="70" w:type="dxa"/>
              <w:bottom w:w="38" w:type="dxa"/>
              <w:right w:w="70" w:type="dxa"/>
            </w:tcMar>
            <w:vAlign w:val="center"/>
          </w:tcPr>
          <w:p w:rsidR="00E57435" w:rsidRDefault="00DB40B1">
            <w:pPr>
              <w:spacing w:after="0"/>
            </w:pPr>
            <w:r>
              <w:rPr>
                <w:rFonts w:ascii="Times New Roman" w:hAnsi="Times New Roman"/>
                <w:sz w:val="18"/>
              </w:rPr>
              <w:t>Any ICS-containing regimen</w:t>
            </w:r>
          </w:p>
        </w:tc>
        <w:tc>
          <w:tcPr>
            <w:tcW w:w="1800" w:type="dxa"/>
            <w:tcMar>
              <w:top w:w="38" w:type="dxa"/>
              <w:left w:w="70" w:type="dxa"/>
              <w:bottom w:w="38" w:type="dxa"/>
              <w:right w:w="70" w:type="dxa"/>
            </w:tcMar>
            <w:vAlign w:val="center"/>
          </w:tcPr>
          <w:p w:rsidR="00E57435" w:rsidRDefault="00DB40B1">
            <w:pPr>
              <w:spacing w:after="0"/>
              <w:jc w:val="center"/>
            </w:pPr>
            <w:r>
              <w:rPr>
                <w:rFonts w:ascii="Times New Roman" w:hAnsi="Times New Roman"/>
                <w:sz w:val="18"/>
              </w:rPr>
              <w:t>17 (31.5)</w:t>
            </w:r>
          </w:p>
        </w:tc>
      </w:tr>
      <w:tr w:rsidR="00E57435">
        <w:trPr>
          <w:jc w:val="center"/>
        </w:trPr>
        <w:tc>
          <w:tcPr>
            <w:tcW w:w="7848" w:type="dxa"/>
            <w:tcMar>
              <w:top w:w="38" w:type="dxa"/>
              <w:left w:w="70" w:type="dxa"/>
              <w:bottom w:w="38" w:type="dxa"/>
              <w:right w:w="70" w:type="dxa"/>
            </w:tcMar>
            <w:vAlign w:val="center"/>
          </w:tcPr>
          <w:p w:rsidR="00E57435" w:rsidRDefault="00DB40B1">
            <w:pPr>
              <w:spacing w:after="0"/>
            </w:pPr>
            <w:r>
              <w:rPr>
                <w:rFonts w:ascii="Times New Roman" w:hAnsi="Times New Roman"/>
                <w:sz w:val="18"/>
              </w:rPr>
              <w:t>No listed maintenance inhaler therapy</w:t>
            </w:r>
          </w:p>
        </w:tc>
        <w:tc>
          <w:tcPr>
            <w:tcW w:w="1800" w:type="dxa"/>
            <w:tcMar>
              <w:top w:w="38" w:type="dxa"/>
              <w:left w:w="70" w:type="dxa"/>
              <w:bottom w:w="38" w:type="dxa"/>
              <w:right w:w="70" w:type="dxa"/>
            </w:tcMar>
            <w:vAlign w:val="center"/>
          </w:tcPr>
          <w:p w:rsidR="00E57435" w:rsidRDefault="00DB40B1">
            <w:pPr>
              <w:spacing w:after="0"/>
              <w:jc w:val="center"/>
            </w:pPr>
            <w:r>
              <w:rPr>
                <w:rFonts w:ascii="Times New Roman" w:hAnsi="Times New Roman"/>
                <w:sz w:val="18"/>
              </w:rPr>
              <w:t>17 (31.5)</w:t>
            </w:r>
          </w:p>
        </w:tc>
      </w:tr>
      <w:tr w:rsidR="00E57435">
        <w:trPr>
          <w:jc w:val="center"/>
        </w:trPr>
        <w:tc>
          <w:tcPr>
            <w:tcW w:w="10080" w:type="dxa"/>
            <w:gridSpan w:val="2"/>
            <w:shd w:val="clear" w:color="auto" w:fill="EDEDED"/>
            <w:tcMar>
              <w:top w:w="40" w:type="dxa"/>
              <w:left w:w="70" w:type="dxa"/>
              <w:bottom w:w="40" w:type="dxa"/>
              <w:right w:w="70" w:type="dxa"/>
            </w:tcMar>
          </w:tcPr>
          <w:p w:rsidR="00E57435" w:rsidRDefault="00DB40B1">
            <w:pPr>
              <w:spacing w:after="0"/>
            </w:pPr>
            <w:r>
              <w:rPr>
                <w:rFonts w:ascii="Times New Roman" w:hAnsi="Times New Roman"/>
                <w:b/>
                <w:sz w:val="19"/>
              </w:rPr>
              <w:t>Exacerbation history during the preceding year</w:t>
            </w:r>
          </w:p>
        </w:tc>
      </w:tr>
      <w:tr w:rsidR="00E57435">
        <w:trPr>
          <w:jc w:val="center"/>
        </w:trPr>
        <w:tc>
          <w:tcPr>
            <w:tcW w:w="7848" w:type="dxa"/>
            <w:tcMar>
              <w:top w:w="38" w:type="dxa"/>
              <w:left w:w="70" w:type="dxa"/>
              <w:bottom w:w="38" w:type="dxa"/>
              <w:right w:w="70" w:type="dxa"/>
            </w:tcMar>
            <w:vAlign w:val="center"/>
          </w:tcPr>
          <w:p w:rsidR="00E57435" w:rsidRDefault="00DB40B1">
            <w:pPr>
              <w:spacing w:after="0"/>
            </w:pPr>
            <w:r>
              <w:rPr>
                <w:rFonts w:ascii="Times New Roman" w:hAnsi="Times New Roman"/>
                <w:sz w:val="18"/>
              </w:rPr>
              <w:t>Moderate exacerbation</w:t>
            </w:r>
          </w:p>
        </w:tc>
        <w:tc>
          <w:tcPr>
            <w:tcW w:w="1800" w:type="dxa"/>
            <w:tcMar>
              <w:top w:w="38" w:type="dxa"/>
              <w:left w:w="70" w:type="dxa"/>
              <w:bottom w:w="38" w:type="dxa"/>
              <w:right w:w="70" w:type="dxa"/>
            </w:tcMar>
            <w:vAlign w:val="center"/>
          </w:tcPr>
          <w:p w:rsidR="00E57435" w:rsidRDefault="00DB40B1">
            <w:pPr>
              <w:spacing w:after="0"/>
              <w:jc w:val="center"/>
            </w:pPr>
            <w:r>
              <w:rPr>
                <w:rFonts w:ascii="Times New Roman" w:hAnsi="Times New Roman"/>
                <w:sz w:val="18"/>
              </w:rPr>
              <w:t>11 (20.4)</w:t>
            </w:r>
          </w:p>
        </w:tc>
      </w:tr>
      <w:tr w:rsidR="00E57435">
        <w:trPr>
          <w:jc w:val="center"/>
        </w:trPr>
        <w:tc>
          <w:tcPr>
            <w:tcW w:w="7848" w:type="dxa"/>
            <w:tcMar>
              <w:top w:w="38" w:type="dxa"/>
              <w:left w:w="70" w:type="dxa"/>
              <w:bottom w:w="38" w:type="dxa"/>
              <w:right w:w="70" w:type="dxa"/>
            </w:tcMar>
            <w:vAlign w:val="center"/>
          </w:tcPr>
          <w:p w:rsidR="00E57435" w:rsidRDefault="00DB40B1">
            <w:pPr>
              <w:spacing w:after="0"/>
            </w:pPr>
            <w:r>
              <w:rPr>
                <w:rFonts w:ascii="Times New Roman" w:hAnsi="Times New Roman"/>
                <w:sz w:val="18"/>
              </w:rPr>
              <w:t>Severe exacerbation</w:t>
            </w:r>
          </w:p>
        </w:tc>
        <w:tc>
          <w:tcPr>
            <w:tcW w:w="1800" w:type="dxa"/>
            <w:tcMar>
              <w:top w:w="38" w:type="dxa"/>
              <w:left w:w="70" w:type="dxa"/>
              <w:bottom w:w="38" w:type="dxa"/>
              <w:right w:w="70" w:type="dxa"/>
            </w:tcMar>
            <w:vAlign w:val="center"/>
          </w:tcPr>
          <w:p w:rsidR="00E57435" w:rsidRDefault="00DB40B1">
            <w:pPr>
              <w:spacing w:after="0"/>
              <w:jc w:val="center"/>
            </w:pPr>
            <w:r>
              <w:rPr>
                <w:rFonts w:ascii="Times New Roman" w:hAnsi="Times New Roman"/>
                <w:sz w:val="18"/>
              </w:rPr>
              <w:t>6 (11.1)</w:t>
            </w:r>
          </w:p>
        </w:tc>
      </w:tr>
      <w:tr w:rsidR="00E57435">
        <w:trPr>
          <w:jc w:val="center"/>
        </w:trPr>
        <w:tc>
          <w:tcPr>
            <w:tcW w:w="7848" w:type="dxa"/>
            <w:tcMar>
              <w:top w:w="38" w:type="dxa"/>
              <w:left w:w="70" w:type="dxa"/>
              <w:bottom w:w="38" w:type="dxa"/>
              <w:right w:w="70" w:type="dxa"/>
            </w:tcMar>
            <w:vAlign w:val="center"/>
          </w:tcPr>
          <w:p w:rsidR="00E57435" w:rsidRDefault="00DB40B1">
            <w:pPr>
              <w:spacing w:after="0"/>
            </w:pPr>
            <w:r>
              <w:rPr>
                <w:rFonts w:ascii="Times New Roman" w:hAnsi="Times New Roman"/>
                <w:sz w:val="18"/>
              </w:rPr>
              <w:t>Any moderate or severe exacerbation</w:t>
            </w:r>
          </w:p>
        </w:tc>
        <w:tc>
          <w:tcPr>
            <w:tcW w:w="1800" w:type="dxa"/>
            <w:tcMar>
              <w:top w:w="38" w:type="dxa"/>
              <w:left w:w="70" w:type="dxa"/>
              <w:bottom w:w="38" w:type="dxa"/>
              <w:right w:w="70" w:type="dxa"/>
            </w:tcMar>
            <w:vAlign w:val="center"/>
          </w:tcPr>
          <w:p w:rsidR="00E57435" w:rsidRDefault="00DB40B1">
            <w:pPr>
              <w:spacing w:after="0"/>
              <w:jc w:val="center"/>
            </w:pPr>
            <w:r>
              <w:rPr>
                <w:rFonts w:ascii="Times New Roman" w:hAnsi="Times New Roman"/>
                <w:sz w:val="18"/>
              </w:rPr>
              <w:t>15 (27.8)</w:t>
            </w:r>
          </w:p>
        </w:tc>
      </w:tr>
      <w:tr w:rsidR="00E57435">
        <w:trPr>
          <w:jc w:val="center"/>
        </w:trPr>
        <w:tc>
          <w:tcPr>
            <w:tcW w:w="7848" w:type="dxa"/>
            <w:tcMar>
              <w:top w:w="38" w:type="dxa"/>
              <w:left w:w="70" w:type="dxa"/>
              <w:bottom w:w="38" w:type="dxa"/>
              <w:right w:w="70" w:type="dxa"/>
            </w:tcMar>
            <w:vAlign w:val="center"/>
          </w:tcPr>
          <w:p w:rsidR="00E57435" w:rsidRDefault="00DB40B1">
            <w:pPr>
              <w:spacing w:after="0"/>
            </w:pPr>
            <w:r>
              <w:rPr>
                <w:rFonts w:ascii="Times New Roman" w:hAnsi="Times New Roman"/>
                <w:sz w:val="18"/>
              </w:rPr>
              <w:t>No moderate</w:t>
            </w:r>
            <w:r>
              <w:rPr>
                <w:rFonts w:ascii="Times New Roman" w:hAnsi="Times New Roman"/>
                <w:sz w:val="18"/>
              </w:rPr>
              <w:t xml:space="preserve"> or severe exacerbation</w:t>
            </w:r>
          </w:p>
        </w:tc>
        <w:tc>
          <w:tcPr>
            <w:tcW w:w="1800" w:type="dxa"/>
            <w:tcMar>
              <w:top w:w="38" w:type="dxa"/>
              <w:left w:w="70" w:type="dxa"/>
              <w:bottom w:w="38" w:type="dxa"/>
              <w:right w:w="70" w:type="dxa"/>
            </w:tcMar>
            <w:vAlign w:val="center"/>
          </w:tcPr>
          <w:p w:rsidR="00E57435" w:rsidRDefault="00DB40B1">
            <w:pPr>
              <w:spacing w:after="0"/>
              <w:jc w:val="center"/>
            </w:pPr>
            <w:r>
              <w:rPr>
                <w:rFonts w:ascii="Times New Roman" w:hAnsi="Times New Roman"/>
                <w:sz w:val="18"/>
              </w:rPr>
              <w:t>39 (72.2)</w:t>
            </w:r>
          </w:p>
        </w:tc>
      </w:tr>
    </w:tbl>
    <w:p w:rsidR="00E57435" w:rsidRDefault="00DB40B1">
      <w:pPr>
        <w:spacing w:before="120" w:after="40"/>
      </w:pPr>
      <w:r>
        <w:rPr>
          <w:rFonts w:ascii="Times New Roman" w:hAnsi="Times New Roman"/>
          <w:sz w:val="17"/>
        </w:rPr>
        <w:t>Data are presented as number (%). GOLD grades were classified according to post-bronchodilator FEV₁ % predicted.</w:t>
      </w:r>
    </w:p>
    <w:p w:rsidR="00E57435" w:rsidRDefault="00DB40B1">
      <w:pPr>
        <w:spacing w:after="40"/>
      </w:pPr>
      <w:r>
        <w:rPr>
          <w:rFonts w:ascii="Times New Roman" w:hAnsi="Times New Roman"/>
          <w:sz w:val="17"/>
        </w:rPr>
        <w:t>Maintenance inhaler categories describe the regimens recorded in the study dataset. The category “any ICS-co</w:t>
      </w:r>
      <w:r>
        <w:rPr>
          <w:rFonts w:ascii="Times New Roman" w:hAnsi="Times New Roman"/>
          <w:sz w:val="17"/>
        </w:rPr>
        <w:t>ntaining regimen” includes ICS/LABA and ICS/LAMA/LABA.</w:t>
      </w:r>
    </w:p>
    <w:p w:rsidR="00E57435" w:rsidRDefault="00DB40B1">
      <w:pPr>
        <w:spacing w:after="40"/>
      </w:pPr>
      <w:r>
        <w:rPr>
          <w:rFonts w:ascii="Times New Roman" w:hAnsi="Times New Roman"/>
          <w:sz w:val="17"/>
        </w:rPr>
        <w:t>Exacerbation categories are not mutually exclusive: two participants experienced both moderate and severe exacerbations during the preceding year.</w:t>
      </w:r>
    </w:p>
    <w:p w:rsidR="00E57435" w:rsidRDefault="00DB40B1">
      <w:pPr>
        <w:spacing w:after="0"/>
      </w:pPr>
      <w:r>
        <w:rPr>
          <w:rFonts w:ascii="Times New Roman" w:hAnsi="Times New Roman"/>
          <w:sz w:val="17"/>
        </w:rPr>
        <w:t>Abbreviations: COPD, chronic obstructive pulmonary dis</w:t>
      </w:r>
      <w:r>
        <w:rPr>
          <w:rFonts w:ascii="Times New Roman" w:hAnsi="Times New Roman"/>
          <w:sz w:val="17"/>
        </w:rPr>
        <w:t>ease; GOLD, Global Initiative for Chronic Obstructive Lung Disease; FEV₁, forced expiratory volume in 1 second; LAMA, long-acting muscarinic antagonist; LABA, long-acting β₂-agonist; ICS, inhaled corticosteroid.</w:t>
      </w:r>
    </w:p>
    <w:p w:rsidR="00E57435" w:rsidRDefault="00DB40B1">
      <w:r>
        <w:br w:type="page"/>
      </w:r>
    </w:p>
    <w:p w:rsidR="00E57435" w:rsidRDefault="00DB40B1">
      <w:pPr>
        <w:spacing w:after="100"/>
      </w:pPr>
      <w:r>
        <w:rPr>
          <w:rFonts w:ascii="Times New Roman" w:hAnsi="Times New Roman"/>
          <w:b/>
        </w:rPr>
        <w:lastRenderedPageBreak/>
        <w:t>Supplemental Table 2. Sensitivity analyses</w:t>
      </w:r>
      <w:r>
        <w:rPr>
          <w:rFonts w:ascii="Times New Roman" w:hAnsi="Times New Roman"/>
          <w:b/>
        </w:rPr>
        <w:t xml:space="preserve"> of the associations between circulating cytokines and COPD</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800"/>
        <w:gridCol w:w="1800"/>
        <w:gridCol w:w="2952"/>
        <w:gridCol w:w="3816"/>
      </w:tblGrid>
      <w:tr w:rsidR="00E57435">
        <w:trPr>
          <w:tblHeader/>
          <w:jc w:val="center"/>
        </w:trPr>
        <w:tc>
          <w:tcPr>
            <w:tcW w:w="1800" w:type="dxa"/>
            <w:shd w:val="clear" w:color="auto" w:fill="D9E2F3"/>
            <w:tcMar>
              <w:top w:w="45" w:type="dxa"/>
              <w:left w:w="55" w:type="dxa"/>
              <w:bottom w:w="45" w:type="dxa"/>
              <w:right w:w="55" w:type="dxa"/>
            </w:tcMar>
            <w:vAlign w:val="center"/>
          </w:tcPr>
          <w:p w:rsidR="00E57435" w:rsidRDefault="00DB40B1">
            <w:pPr>
              <w:spacing w:after="0"/>
            </w:pPr>
            <w:r>
              <w:rPr>
                <w:rFonts w:ascii="Times New Roman" w:hAnsi="Times New Roman"/>
                <w:b/>
                <w:sz w:val="18"/>
              </w:rPr>
              <w:t>Cytokine</w:t>
            </w:r>
          </w:p>
        </w:tc>
        <w:tc>
          <w:tcPr>
            <w:tcW w:w="1800" w:type="dxa"/>
            <w:shd w:val="clear" w:color="auto" w:fill="D9E2F3"/>
            <w:tcMar>
              <w:top w:w="45" w:type="dxa"/>
              <w:left w:w="55" w:type="dxa"/>
              <w:bottom w:w="45" w:type="dxa"/>
              <w:right w:w="55" w:type="dxa"/>
            </w:tcMar>
            <w:vAlign w:val="center"/>
          </w:tcPr>
          <w:p w:rsidR="00E57435" w:rsidRDefault="00DB40B1">
            <w:pPr>
              <w:spacing w:after="0"/>
              <w:jc w:val="center"/>
            </w:pPr>
            <w:r>
              <w:rPr>
                <w:rFonts w:ascii="Times New Roman" w:hAnsi="Times New Roman"/>
                <w:b/>
                <w:sz w:val="18"/>
              </w:rPr>
              <w:t>Adjusted OR</w:t>
            </w:r>
          </w:p>
        </w:tc>
        <w:tc>
          <w:tcPr>
            <w:tcW w:w="2952" w:type="dxa"/>
            <w:shd w:val="clear" w:color="auto" w:fill="D9E2F3"/>
            <w:tcMar>
              <w:top w:w="45" w:type="dxa"/>
              <w:left w:w="55" w:type="dxa"/>
              <w:bottom w:w="45" w:type="dxa"/>
              <w:right w:w="55" w:type="dxa"/>
            </w:tcMar>
            <w:vAlign w:val="center"/>
          </w:tcPr>
          <w:p w:rsidR="00E57435" w:rsidRDefault="00DB40B1">
            <w:pPr>
              <w:spacing w:after="0"/>
              <w:jc w:val="center"/>
            </w:pPr>
            <w:r>
              <w:rPr>
                <w:rFonts w:ascii="Times New Roman" w:hAnsi="Times New Roman"/>
                <w:b/>
                <w:sz w:val="18"/>
              </w:rPr>
              <w:t>95% CI</w:t>
            </w:r>
          </w:p>
        </w:tc>
        <w:tc>
          <w:tcPr>
            <w:tcW w:w="1512" w:type="dxa"/>
            <w:shd w:val="clear" w:color="auto" w:fill="D9E2F3"/>
            <w:tcMar>
              <w:top w:w="45" w:type="dxa"/>
              <w:left w:w="55" w:type="dxa"/>
              <w:bottom w:w="45" w:type="dxa"/>
              <w:right w:w="55" w:type="dxa"/>
            </w:tcMar>
            <w:vAlign w:val="center"/>
          </w:tcPr>
          <w:p w:rsidR="00E57435" w:rsidRDefault="00DB40B1">
            <w:pPr>
              <w:spacing w:after="0"/>
              <w:jc w:val="center"/>
            </w:pPr>
            <w:r>
              <w:rPr>
                <w:rFonts w:ascii="Times New Roman" w:hAnsi="Times New Roman"/>
                <w:b/>
                <w:sz w:val="18"/>
              </w:rPr>
              <w:t>P value</w:t>
            </w:r>
          </w:p>
        </w:tc>
      </w:tr>
      <w:tr w:rsidR="00E57435">
        <w:trPr>
          <w:jc w:val="center"/>
        </w:trPr>
        <w:tc>
          <w:tcPr>
            <w:tcW w:w="10368" w:type="dxa"/>
            <w:gridSpan w:val="4"/>
            <w:shd w:val="clear" w:color="auto" w:fill="EDEDED"/>
            <w:tcMar>
              <w:top w:w="28" w:type="dxa"/>
              <w:left w:w="55" w:type="dxa"/>
              <w:bottom w:w="28" w:type="dxa"/>
              <w:right w:w="55" w:type="dxa"/>
            </w:tcMar>
          </w:tcPr>
          <w:p w:rsidR="00E57435" w:rsidRDefault="00DB40B1">
            <w:pPr>
              <w:spacing w:after="0"/>
            </w:pPr>
            <w:r>
              <w:rPr>
                <w:rFonts w:ascii="Times New Roman" w:hAnsi="Times New Roman"/>
                <w:b/>
                <w:sz w:val="17"/>
              </w:rPr>
              <w:t>Male-only analysis (n = 59; 49 COPD and 10 controls)</w:t>
            </w:r>
          </w:p>
        </w:tc>
      </w:tr>
      <w:tr w:rsidR="00E57435">
        <w:trPr>
          <w:jc w:val="center"/>
        </w:trPr>
        <w:tc>
          <w:tcPr>
            <w:tcW w:w="1800" w:type="dxa"/>
            <w:tcMar>
              <w:top w:w="30" w:type="dxa"/>
              <w:left w:w="55" w:type="dxa"/>
              <w:bottom w:w="30" w:type="dxa"/>
              <w:right w:w="55" w:type="dxa"/>
            </w:tcMar>
            <w:vAlign w:val="center"/>
          </w:tcPr>
          <w:p w:rsidR="00E57435" w:rsidRDefault="00DB40B1">
            <w:pPr>
              <w:spacing w:after="0"/>
            </w:pPr>
            <w:r>
              <w:rPr>
                <w:rFonts w:ascii="Times New Roman" w:hAnsi="Times New Roman"/>
                <w:sz w:val="17"/>
              </w:rPr>
              <w:t>IL-5</w:t>
            </w:r>
          </w:p>
        </w:tc>
        <w:tc>
          <w:tcPr>
            <w:tcW w:w="1800"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0.734</w:t>
            </w:r>
          </w:p>
        </w:tc>
        <w:tc>
          <w:tcPr>
            <w:tcW w:w="295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0.430–1.189</w:t>
            </w:r>
          </w:p>
        </w:tc>
        <w:tc>
          <w:tcPr>
            <w:tcW w:w="151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0.207</w:t>
            </w:r>
          </w:p>
        </w:tc>
      </w:tr>
      <w:tr w:rsidR="00E57435">
        <w:trPr>
          <w:jc w:val="center"/>
        </w:trPr>
        <w:tc>
          <w:tcPr>
            <w:tcW w:w="1800" w:type="dxa"/>
            <w:tcMar>
              <w:top w:w="30" w:type="dxa"/>
              <w:left w:w="55" w:type="dxa"/>
              <w:bottom w:w="30" w:type="dxa"/>
              <w:right w:w="55" w:type="dxa"/>
            </w:tcMar>
            <w:vAlign w:val="center"/>
          </w:tcPr>
          <w:p w:rsidR="00E57435" w:rsidRDefault="00DB40B1">
            <w:pPr>
              <w:spacing w:after="0"/>
            </w:pPr>
            <w:r>
              <w:rPr>
                <w:rFonts w:ascii="Times New Roman" w:hAnsi="Times New Roman"/>
                <w:sz w:val="17"/>
              </w:rPr>
              <w:t>IL-17</w:t>
            </w:r>
          </w:p>
        </w:tc>
        <w:tc>
          <w:tcPr>
            <w:tcW w:w="1800"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1.051</w:t>
            </w:r>
          </w:p>
        </w:tc>
        <w:tc>
          <w:tcPr>
            <w:tcW w:w="295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1.009–1.129</w:t>
            </w:r>
          </w:p>
        </w:tc>
        <w:tc>
          <w:tcPr>
            <w:tcW w:w="151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0.005</w:t>
            </w:r>
          </w:p>
        </w:tc>
      </w:tr>
      <w:tr w:rsidR="00E57435">
        <w:trPr>
          <w:jc w:val="center"/>
        </w:trPr>
        <w:tc>
          <w:tcPr>
            <w:tcW w:w="1800" w:type="dxa"/>
            <w:tcMar>
              <w:top w:w="30" w:type="dxa"/>
              <w:left w:w="55" w:type="dxa"/>
              <w:bottom w:w="30" w:type="dxa"/>
              <w:right w:w="55" w:type="dxa"/>
            </w:tcMar>
            <w:vAlign w:val="center"/>
          </w:tcPr>
          <w:p w:rsidR="00E57435" w:rsidRDefault="00DB40B1">
            <w:pPr>
              <w:spacing w:after="0"/>
            </w:pPr>
            <w:r>
              <w:rPr>
                <w:rFonts w:ascii="Times New Roman" w:hAnsi="Times New Roman"/>
                <w:sz w:val="17"/>
              </w:rPr>
              <w:t>TSLP</w:t>
            </w:r>
          </w:p>
        </w:tc>
        <w:tc>
          <w:tcPr>
            <w:tcW w:w="1800"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1.017</w:t>
            </w:r>
          </w:p>
        </w:tc>
        <w:tc>
          <w:tcPr>
            <w:tcW w:w="295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0.976–1.069</w:t>
            </w:r>
          </w:p>
        </w:tc>
        <w:tc>
          <w:tcPr>
            <w:tcW w:w="151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0.434</w:t>
            </w:r>
          </w:p>
        </w:tc>
      </w:tr>
      <w:tr w:rsidR="00E57435">
        <w:trPr>
          <w:jc w:val="center"/>
        </w:trPr>
        <w:tc>
          <w:tcPr>
            <w:tcW w:w="1800" w:type="dxa"/>
            <w:tcMar>
              <w:top w:w="30" w:type="dxa"/>
              <w:left w:w="55" w:type="dxa"/>
              <w:bottom w:w="30" w:type="dxa"/>
              <w:right w:w="55" w:type="dxa"/>
            </w:tcMar>
            <w:vAlign w:val="center"/>
          </w:tcPr>
          <w:p w:rsidR="00E57435" w:rsidRDefault="00DB40B1">
            <w:pPr>
              <w:spacing w:after="0"/>
            </w:pPr>
            <w:r>
              <w:rPr>
                <w:rFonts w:ascii="Times New Roman" w:hAnsi="Times New Roman"/>
                <w:sz w:val="17"/>
              </w:rPr>
              <w:t>IFN-γ</w:t>
            </w:r>
          </w:p>
        </w:tc>
        <w:tc>
          <w:tcPr>
            <w:tcW w:w="1800"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1.068</w:t>
            </w:r>
          </w:p>
        </w:tc>
        <w:tc>
          <w:tcPr>
            <w:tcW w:w="295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1.001–1.189</w:t>
            </w:r>
          </w:p>
        </w:tc>
        <w:tc>
          <w:tcPr>
            <w:tcW w:w="151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0.046</w:t>
            </w:r>
          </w:p>
        </w:tc>
      </w:tr>
      <w:tr w:rsidR="00E57435">
        <w:trPr>
          <w:jc w:val="center"/>
        </w:trPr>
        <w:tc>
          <w:tcPr>
            <w:tcW w:w="10368" w:type="dxa"/>
            <w:gridSpan w:val="4"/>
            <w:shd w:val="clear" w:color="auto" w:fill="EDEDED"/>
            <w:tcMar>
              <w:top w:w="28" w:type="dxa"/>
              <w:left w:w="55" w:type="dxa"/>
              <w:bottom w:w="28" w:type="dxa"/>
              <w:right w:w="55" w:type="dxa"/>
            </w:tcMar>
          </w:tcPr>
          <w:p w:rsidR="00E57435" w:rsidRDefault="00DB40B1">
            <w:pPr>
              <w:spacing w:after="0"/>
            </w:pPr>
            <w:r>
              <w:rPr>
                <w:rFonts w:ascii="Times New Roman" w:hAnsi="Times New Roman"/>
                <w:b/>
                <w:sz w:val="17"/>
              </w:rPr>
              <w:t>Never-smoker analysis (n = 51; 15 COPD and 36 controls)</w:t>
            </w:r>
          </w:p>
        </w:tc>
      </w:tr>
      <w:tr w:rsidR="00E57435">
        <w:trPr>
          <w:jc w:val="center"/>
        </w:trPr>
        <w:tc>
          <w:tcPr>
            <w:tcW w:w="1800" w:type="dxa"/>
            <w:tcMar>
              <w:top w:w="30" w:type="dxa"/>
              <w:left w:w="55" w:type="dxa"/>
              <w:bottom w:w="30" w:type="dxa"/>
              <w:right w:w="55" w:type="dxa"/>
            </w:tcMar>
            <w:vAlign w:val="center"/>
          </w:tcPr>
          <w:p w:rsidR="00E57435" w:rsidRDefault="00DB40B1">
            <w:pPr>
              <w:spacing w:after="0"/>
            </w:pPr>
            <w:r>
              <w:rPr>
                <w:rFonts w:ascii="Times New Roman" w:hAnsi="Times New Roman"/>
                <w:sz w:val="17"/>
              </w:rPr>
              <w:t>IL-5</w:t>
            </w:r>
          </w:p>
        </w:tc>
        <w:tc>
          <w:tcPr>
            <w:tcW w:w="1800"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0.677</w:t>
            </w:r>
          </w:p>
        </w:tc>
        <w:tc>
          <w:tcPr>
            <w:tcW w:w="295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0.295–1.163</w:t>
            </w:r>
          </w:p>
        </w:tc>
        <w:tc>
          <w:tcPr>
            <w:tcW w:w="151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0.172</w:t>
            </w:r>
          </w:p>
        </w:tc>
      </w:tr>
      <w:tr w:rsidR="00E57435">
        <w:trPr>
          <w:jc w:val="center"/>
        </w:trPr>
        <w:tc>
          <w:tcPr>
            <w:tcW w:w="1800" w:type="dxa"/>
            <w:tcMar>
              <w:top w:w="30" w:type="dxa"/>
              <w:left w:w="55" w:type="dxa"/>
              <w:bottom w:w="30" w:type="dxa"/>
              <w:right w:w="55" w:type="dxa"/>
            </w:tcMar>
            <w:vAlign w:val="center"/>
          </w:tcPr>
          <w:p w:rsidR="00E57435" w:rsidRDefault="00DB40B1">
            <w:pPr>
              <w:spacing w:after="0"/>
            </w:pPr>
            <w:r>
              <w:rPr>
                <w:rFonts w:ascii="Times New Roman" w:hAnsi="Times New Roman"/>
                <w:sz w:val="17"/>
              </w:rPr>
              <w:t>IL-17</w:t>
            </w:r>
          </w:p>
        </w:tc>
        <w:tc>
          <w:tcPr>
            <w:tcW w:w="1800"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1.048</w:t>
            </w:r>
          </w:p>
        </w:tc>
        <w:tc>
          <w:tcPr>
            <w:tcW w:w="295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1.012–1.102</w:t>
            </w:r>
          </w:p>
        </w:tc>
        <w:tc>
          <w:tcPr>
            <w:tcW w:w="151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0.009</w:t>
            </w:r>
          </w:p>
        </w:tc>
      </w:tr>
      <w:tr w:rsidR="00E57435">
        <w:trPr>
          <w:jc w:val="center"/>
        </w:trPr>
        <w:tc>
          <w:tcPr>
            <w:tcW w:w="1800" w:type="dxa"/>
            <w:tcMar>
              <w:top w:w="30" w:type="dxa"/>
              <w:left w:w="55" w:type="dxa"/>
              <w:bottom w:w="30" w:type="dxa"/>
              <w:right w:w="55" w:type="dxa"/>
            </w:tcMar>
            <w:vAlign w:val="center"/>
          </w:tcPr>
          <w:p w:rsidR="00E57435" w:rsidRDefault="00DB40B1">
            <w:pPr>
              <w:spacing w:after="0"/>
            </w:pPr>
            <w:r>
              <w:rPr>
                <w:rFonts w:ascii="Times New Roman" w:hAnsi="Times New Roman"/>
                <w:sz w:val="17"/>
              </w:rPr>
              <w:t>TSLP</w:t>
            </w:r>
          </w:p>
        </w:tc>
        <w:tc>
          <w:tcPr>
            <w:tcW w:w="1800"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1.035</w:t>
            </w:r>
          </w:p>
        </w:tc>
        <w:tc>
          <w:tcPr>
            <w:tcW w:w="295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0.988–1.103</w:t>
            </w:r>
          </w:p>
        </w:tc>
        <w:tc>
          <w:tcPr>
            <w:tcW w:w="151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0.157</w:t>
            </w:r>
          </w:p>
        </w:tc>
      </w:tr>
      <w:tr w:rsidR="00E57435">
        <w:trPr>
          <w:jc w:val="center"/>
        </w:trPr>
        <w:tc>
          <w:tcPr>
            <w:tcW w:w="1800" w:type="dxa"/>
            <w:tcMar>
              <w:top w:w="30" w:type="dxa"/>
              <w:left w:w="55" w:type="dxa"/>
              <w:bottom w:w="30" w:type="dxa"/>
              <w:right w:w="55" w:type="dxa"/>
            </w:tcMar>
            <w:vAlign w:val="center"/>
          </w:tcPr>
          <w:p w:rsidR="00E57435" w:rsidRDefault="00DB40B1">
            <w:pPr>
              <w:spacing w:after="0"/>
            </w:pPr>
            <w:r>
              <w:rPr>
                <w:rFonts w:ascii="Times New Roman" w:hAnsi="Times New Roman"/>
                <w:sz w:val="17"/>
              </w:rPr>
              <w:t>IFN-γ</w:t>
            </w:r>
          </w:p>
        </w:tc>
        <w:tc>
          <w:tcPr>
            <w:tcW w:w="1800"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1.106</w:t>
            </w:r>
          </w:p>
        </w:tc>
        <w:tc>
          <w:tcPr>
            <w:tcW w:w="295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1.031–1.264</w:t>
            </w:r>
          </w:p>
        </w:tc>
        <w:tc>
          <w:tcPr>
            <w:tcW w:w="151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0.004</w:t>
            </w:r>
          </w:p>
        </w:tc>
      </w:tr>
      <w:tr w:rsidR="00E57435">
        <w:trPr>
          <w:jc w:val="center"/>
        </w:trPr>
        <w:tc>
          <w:tcPr>
            <w:tcW w:w="10368" w:type="dxa"/>
            <w:gridSpan w:val="4"/>
            <w:shd w:val="clear" w:color="auto" w:fill="EDEDED"/>
            <w:tcMar>
              <w:top w:w="28" w:type="dxa"/>
              <w:left w:w="55" w:type="dxa"/>
              <w:bottom w:w="28" w:type="dxa"/>
              <w:right w:w="55" w:type="dxa"/>
            </w:tcMar>
          </w:tcPr>
          <w:p w:rsidR="00E57435" w:rsidRDefault="00DB40B1">
            <w:pPr>
              <w:spacing w:after="0"/>
            </w:pPr>
            <w:r>
              <w:rPr>
                <w:rFonts w:ascii="Times New Roman" w:hAnsi="Times New Roman"/>
                <w:b/>
                <w:sz w:val="17"/>
              </w:rPr>
              <w:t xml:space="preserve">Log-transformed cytokine analysis (n = 95; 54 COPD and 41 </w:t>
            </w:r>
            <w:r>
              <w:rPr>
                <w:rFonts w:ascii="Times New Roman" w:hAnsi="Times New Roman"/>
                <w:b/>
                <w:sz w:val="17"/>
              </w:rPr>
              <w:t>controls)</w:t>
            </w:r>
          </w:p>
        </w:tc>
      </w:tr>
      <w:tr w:rsidR="00E57435">
        <w:trPr>
          <w:jc w:val="center"/>
        </w:trPr>
        <w:tc>
          <w:tcPr>
            <w:tcW w:w="1800" w:type="dxa"/>
            <w:tcMar>
              <w:top w:w="30" w:type="dxa"/>
              <w:left w:w="55" w:type="dxa"/>
              <w:bottom w:w="30" w:type="dxa"/>
              <w:right w:w="55" w:type="dxa"/>
            </w:tcMar>
            <w:vAlign w:val="center"/>
          </w:tcPr>
          <w:p w:rsidR="00E57435" w:rsidRDefault="00DB40B1">
            <w:pPr>
              <w:spacing w:after="0"/>
            </w:pPr>
            <w:r>
              <w:rPr>
                <w:rFonts w:ascii="Times New Roman" w:hAnsi="Times New Roman"/>
                <w:sz w:val="17"/>
              </w:rPr>
              <w:t>IL-5</w:t>
            </w:r>
          </w:p>
        </w:tc>
        <w:tc>
          <w:tcPr>
            <w:tcW w:w="1800"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0.821</w:t>
            </w:r>
          </w:p>
        </w:tc>
        <w:tc>
          <w:tcPr>
            <w:tcW w:w="295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0.129–4.978</w:t>
            </w:r>
          </w:p>
        </w:tc>
        <w:tc>
          <w:tcPr>
            <w:tcW w:w="151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0.830</w:t>
            </w:r>
          </w:p>
        </w:tc>
      </w:tr>
      <w:tr w:rsidR="00E57435">
        <w:trPr>
          <w:jc w:val="center"/>
        </w:trPr>
        <w:tc>
          <w:tcPr>
            <w:tcW w:w="1800" w:type="dxa"/>
            <w:tcMar>
              <w:top w:w="30" w:type="dxa"/>
              <w:left w:w="55" w:type="dxa"/>
              <w:bottom w:w="30" w:type="dxa"/>
              <w:right w:w="55" w:type="dxa"/>
            </w:tcMar>
            <w:vAlign w:val="center"/>
          </w:tcPr>
          <w:p w:rsidR="00E57435" w:rsidRDefault="00DB40B1">
            <w:pPr>
              <w:spacing w:after="0"/>
            </w:pPr>
            <w:r>
              <w:rPr>
                <w:rFonts w:ascii="Times New Roman" w:hAnsi="Times New Roman"/>
                <w:sz w:val="17"/>
              </w:rPr>
              <w:t>IL-17</w:t>
            </w:r>
          </w:p>
        </w:tc>
        <w:tc>
          <w:tcPr>
            <w:tcW w:w="1800"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6.486</w:t>
            </w:r>
          </w:p>
        </w:tc>
        <w:tc>
          <w:tcPr>
            <w:tcW w:w="295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2.118–27.737</w:t>
            </w:r>
          </w:p>
        </w:tc>
        <w:tc>
          <w:tcPr>
            <w:tcW w:w="151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&lt;0.001</w:t>
            </w:r>
          </w:p>
        </w:tc>
      </w:tr>
      <w:tr w:rsidR="00E57435">
        <w:trPr>
          <w:jc w:val="center"/>
        </w:trPr>
        <w:tc>
          <w:tcPr>
            <w:tcW w:w="1800" w:type="dxa"/>
            <w:tcMar>
              <w:top w:w="30" w:type="dxa"/>
              <w:left w:w="55" w:type="dxa"/>
              <w:bottom w:w="30" w:type="dxa"/>
              <w:right w:w="55" w:type="dxa"/>
            </w:tcMar>
            <w:vAlign w:val="center"/>
          </w:tcPr>
          <w:p w:rsidR="00E57435" w:rsidRDefault="00DB40B1">
            <w:pPr>
              <w:spacing w:after="0"/>
            </w:pPr>
            <w:r>
              <w:rPr>
                <w:rFonts w:ascii="Times New Roman" w:hAnsi="Times New Roman"/>
                <w:sz w:val="17"/>
              </w:rPr>
              <w:t>TSLP</w:t>
            </w:r>
          </w:p>
        </w:tc>
        <w:tc>
          <w:tcPr>
            <w:tcW w:w="1800"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1.141</w:t>
            </w:r>
          </w:p>
        </w:tc>
        <w:tc>
          <w:tcPr>
            <w:tcW w:w="295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0.891–1.472</w:t>
            </w:r>
          </w:p>
        </w:tc>
        <w:tc>
          <w:tcPr>
            <w:tcW w:w="151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0.293</w:t>
            </w:r>
          </w:p>
        </w:tc>
      </w:tr>
      <w:tr w:rsidR="00E57435">
        <w:trPr>
          <w:jc w:val="center"/>
        </w:trPr>
        <w:tc>
          <w:tcPr>
            <w:tcW w:w="1800" w:type="dxa"/>
            <w:tcMar>
              <w:top w:w="30" w:type="dxa"/>
              <w:left w:w="55" w:type="dxa"/>
              <w:bottom w:w="30" w:type="dxa"/>
              <w:right w:w="55" w:type="dxa"/>
            </w:tcMar>
            <w:vAlign w:val="center"/>
          </w:tcPr>
          <w:p w:rsidR="00E57435" w:rsidRDefault="00DB40B1">
            <w:pPr>
              <w:spacing w:after="0"/>
            </w:pPr>
            <w:r>
              <w:rPr>
                <w:rFonts w:ascii="Times New Roman" w:hAnsi="Times New Roman"/>
                <w:sz w:val="17"/>
              </w:rPr>
              <w:t>IFN-γ</w:t>
            </w:r>
          </w:p>
        </w:tc>
        <w:tc>
          <w:tcPr>
            <w:tcW w:w="1800"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32.503</w:t>
            </w:r>
          </w:p>
        </w:tc>
        <w:tc>
          <w:tcPr>
            <w:tcW w:w="295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4.536–476.874</w:t>
            </w:r>
          </w:p>
        </w:tc>
        <w:tc>
          <w:tcPr>
            <w:tcW w:w="151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&lt;0.001</w:t>
            </w:r>
          </w:p>
        </w:tc>
      </w:tr>
      <w:tr w:rsidR="00E57435">
        <w:trPr>
          <w:jc w:val="center"/>
        </w:trPr>
        <w:tc>
          <w:tcPr>
            <w:tcW w:w="10368" w:type="dxa"/>
            <w:gridSpan w:val="4"/>
            <w:shd w:val="clear" w:color="auto" w:fill="EDEDED"/>
            <w:tcMar>
              <w:top w:w="28" w:type="dxa"/>
              <w:left w:w="55" w:type="dxa"/>
              <w:bottom w:w="28" w:type="dxa"/>
              <w:right w:w="55" w:type="dxa"/>
            </w:tcMar>
          </w:tcPr>
          <w:p w:rsidR="00E57435" w:rsidRDefault="00DB40B1">
            <w:pPr>
              <w:spacing w:after="0"/>
            </w:pPr>
            <w:r>
              <w:rPr>
                <w:rFonts w:ascii="Times New Roman" w:hAnsi="Times New Roman"/>
                <w:b/>
                <w:sz w:val="17"/>
              </w:rPr>
              <w:t>Analysis excluding COPD patients receiving ICS-containing therapy (n = 78; 37 COPD and 41 controls)</w:t>
            </w:r>
          </w:p>
        </w:tc>
      </w:tr>
      <w:tr w:rsidR="00E57435">
        <w:trPr>
          <w:jc w:val="center"/>
        </w:trPr>
        <w:tc>
          <w:tcPr>
            <w:tcW w:w="1800" w:type="dxa"/>
            <w:tcMar>
              <w:top w:w="30" w:type="dxa"/>
              <w:left w:w="55" w:type="dxa"/>
              <w:bottom w:w="30" w:type="dxa"/>
              <w:right w:w="55" w:type="dxa"/>
            </w:tcMar>
            <w:vAlign w:val="center"/>
          </w:tcPr>
          <w:p w:rsidR="00E57435" w:rsidRDefault="00DB40B1">
            <w:pPr>
              <w:spacing w:after="0"/>
            </w:pPr>
            <w:r>
              <w:rPr>
                <w:rFonts w:ascii="Times New Roman" w:hAnsi="Times New Roman"/>
                <w:sz w:val="17"/>
              </w:rPr>
              <w:t>IL-5</w:t>
            </w:r>
          </w:p>
        </w:tc>
        <w:tc>
          <w:tcPr>
            <w:tcW w:w="1800"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0.844</w:t>
            </w:r>
          </w:p>
        </w:tc>
        <w:tc>
          <w:tcPr>
            <w:tcW w:w="295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0.552–1.245</w:t>
            </w:r>
          </w:p>
        </w:tc>
        <w:tc>
          <w:tcPr>
            <w:tcW w:w="151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0.395</w:t>
            </w:r>
          </w:p>
        </w:tc>
      </w:tr>
      <w:tr w:rsidR="00E57435">
        <w:trPr>
          <w:jc w:val="center"/>
        </w:trPr>
        <w:tc>
          <w:tcPr>
            <w:tcW w:w="1800" w:type="dxa"/>
            <w:tcMar>
              <w:top w:w="30" w:type="dxa"/>
              <w:left w:w="55" w:type="dxa"/>
              <w:bottom w:w="30" w:type="dxa"/>
              <w:right w:w="55" w:type="dxa"/>
            </w:tcMar>
            <w:vAlign w:val="center"/>
          </w:tcPr>
          <w:p w:rsidR="00E57435" w:rsidRDefault="00DB40B1">
            <w:pPr>
              <w:spacing w:after="0"/>
            </w:pPr>
            <w:r>
              <w:rPr>
                <w:rFonts w:ascii="Times New Roman" w:hAnsi="Times New Roman"/>
                <w:sz w:val="17"/>
              </w:rPr>
              <w:t>IL-17</w:t>
            </w:r>
          </w:p>
        </w:tc>
        <w:tc>
          <w:tcPr>
            <w:tcW w:w="1800"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1.037</w:t>
            </w:r>
          </w:p>
        </w:tc>
        <w:tc>
          <w:tcPr>
            <w:tcW w:w="295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1.011–1.082</w:t>
            </w:r>
          </w:p>
        </w:tc>
        <w:tc>
          <w:tcPr>
            <w:tcW w:w="151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0.002</w:t>
            </w:r>
          </w:p>
        </w:tc>
      </w:tr>
      <w:tr w:rsidR="00E57435">
        <w:trPr>
          <w:jc w:val="center"/>
        </w:trPr>
        <w:tc>
          <w:tcPr>
            <w:tcW w:w="1800" w:type="dxa"/>
            <w:tcMar>
              <w:top w:w="30" w:type="dxa"/>
              <w:left w:w="55" w:type="dxa"/>
              <w:bottom w:w="30" w:type="dxa"/>
              <w:right w:w="55" w:type="dxa"/>
            </w:tcMar>
            <w:vAlign w:val="center"/>
          </w:tcPr>
          <w:p w:rsidR="00E57435" w:rsidRDefault="00DB40B1">
            <w:pPr>
              <w:spacing w:after="0"/>
            </w:pPr>
            <w:r>
              <w:rPr>
                <w:rFonts w:ascii="Times New Roman" w:hAnsi="Times New Roman"/>
                <w:sz w:val="17"/>
              </w:rPr>
              <w:t>TSLP</w:t>
            </w:r>
          </w:p>
        </w:tc>
        <w:tc>
          <w:tcPr>
            <w:tcW w:w="1800"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1.022</w:t>
            </w:r>
          </w:p>
        </w:tc>
        <w:tc>
          <w:tcPr>
            <w:tcW w:w="295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0.986–1.066</w:t>
            </w:r>
          </w:p>
        </w:tc>
        <w:tc>
          <w:tcPr>
            <w:tcW w:w="151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0.239</w:t>
            </w:r>
          </w:p>
        </w:tc>
      </w:tr>
      <w:tr w:rsidR="00E57435">
        <w:trPr>
          <w:jc w:val="center"/>
        </w:trPr>
        <w:tc>
          <w:tcPr>
            <w:tcW w:w="1800" w:type="dxa"/>
            <w:tcMar>
              <w:top w:w="30" w:type="dxa"/>
              <w:left w:w="55" w:type="dxa"/>
              <w:bottom w:w="30" w:type="dxa"/>
              <w:right w:w="55" w:type="dxa"/>
            </w:tcMar>
            <w:vAlign w:val="center"/>
          </w:tcPr>
          <w:p w:rsidR="00E57435" w:rsidRDefault="00DB40B1">
            <w:pPr>
              <w:spacing w:after="0"/>
            </w:pPr>
            <w:r>
              <w:rPr>
                <w:rFonts w:ascii="Times New Roman" w:hAnsi="Times New Roman"/>
                <w:sz w:val="17"/>
              </w:rPr>
              <w:t>IFN-γ</w:t>
            </w:r>
          </w:p>
        </w:tc>
        <w:tc>
          <w:tcPr>
            <w:tcW w:w="1800"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1.107</w:t>
            </w:r>
          </w:p>
        </w:tc>
        <w:tc>
          <w:tcPr>
            <w:tcW w:w="295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1.032–1.248</w:t>
            </w:r>
          </w:p>
        </w:tc>
        <w:tc>
          <w:tcPr>
            <w:tcW w:w="1512" w:type="dxa"/>
            <w:tcMar>
              <w:top w:w="30" w:type="dxa"/>
              <w:left w:w="55" w:type="dxa"/>
              <w:bottom w:w="30" w:type="dxa"/>
              <w:right w:w="55" w:type="dxa"/>
            </w:tcMar>
            <w:vAlign w:val="center"/>
          </w:tcPr>
          <w:p w:rsidR="00E57435" w:rsidRDefault="00DB40B1">
            <w:pPr>
              <w:spacing w:after="0"/>
              <w:jc w:val="center"/>
            </w:pPr>
            <w:r>
              <w:rPr>
                <w:rFonts w:ascii="Times New Roman" w:hAnsi="Times New Roman"/>
                <w:sz w:val="17"/>
              </w:rPr>
              <w:t>0.002</w:t>
            </w:r>
          </w:p>
        </w:tc>
      </w:tr>
    </w:tbl>
    <w:p w:rsidR="00E57435" w:rsidRDefault="00DB40B1">
      <w:pPr>
        <w:spacing w:before="80" w:after="20"/>
      </w:pPr>
      <w:r>
        <w:rPr>
          <w:rFonts w:ascii="Times New Roman" w:hAnsi="Times New Roman"/>
          <w:sz w:val="15"/>
        </w:rPr>
        <w:t>All analyses used Firth penalized logistic regression, with COPD status as the binary outcome and one cytokine entered in each model.</w:t>
      </w:r>
    </w:p>
    <w:p w:rsidR="00E57435" w:rsidRDefault="00DB40B1">
      <w:pPr>
        <w:spacing w:after="20"/>
      </w:pPr>
      <w:r>
        <w:rPr>
          <w:rFonts w:ascii="Times New Roman" w:hAnsi="Times New Roman"/>
          <w:sz w:val="15"/>
        </w:rPr>
        <w:t xml:space="preserve">Male-only </w:t>
      </w:r>
      <w:r>
        <w:rPr>
          <w:rFonts w:ascii="Times New Roman" w:hAnsi="Times New Roman"/>
          <w:sz w:val="15"/>
        </w:rPr>
        <w:t>models were adjusted for age, smoking status, and BMI; sex was omitted. Never-smoker models were adjusted for age, sex, and BMI; smoking status was omitted.</w:t>
      </w:r>
    </w:p>
    <w:p w:rsidR="00E57435" w:rsidRDefault="00DB40B1">
      <w:pPr>
        <w:spacing w:after="20"/>
      </w:pPr>
      <w:r>
        <w:rPr>
          <w:rFonts w:ascii="Times New Roman" w:hAnsi="Times New Roman"/>
          <w:sz w:val="15"/>
        </w:rPr>
        <w:t>Log-transformed analyses used the natural logarithm of cytokine concentration and were adjusted for</w:t>
      </w:r>
      <w:r>
        <w:rPr>
          <w:rFonts w:ascii="Times New Roman" w:hAnsi="Times New Roman"/>
          <w:sz w:val="15"/>
        </w:rPr>
        <w:t xml:space="preserve"> age, sex, smoking status, and BMI. ORs in this section therefore represent the change in odds per one-unit increase in the natural-log cytokine concentration and are not directly comparable in magnitude with ORs based on the original concentration scale.</w:t>
      </w:r>
    </w:p>
    <w:p w:rsidR="00E57435" w:rsidRDefault="00DB40B1">
      <w:pPr>
        <w:spacing w:after="20"/>
      </w:pPr>
      <w:r>
        <w:rPr>
          <w:rFonts w:ascii="Times New Roman" w:hAnsi="Times New Roman"/>
          <w:sz w:val="15"/>
        </w:rPr>
        <w:t>In the ICS-exclusion analysis, patients with COPD receiving ICS-containing maintenance therapy were excluded; models were adjusted for age, sex, smoking status, and BMI.</w:t>
      </w:r>
    </w:p>
    <w:p w:rsidR="00E57435" w:rsidRDefault="00DB40B1">
      <w:pPr>
        <w:spacing w:after="20"/>
      </w:pPr>
      <w:r>
        <w:rPr>
          <w:rFonts w:ascii="Times New Roman" w:hAnsi="Times New Roman"/>
          <w:sz w:val="15"/>
        </w:rPr>
        <w:t>For the male-only, never-smoker, and log-transformed analyses, 95% CIs were derived fr</w:t>
      </w:r>
      <w:r>
        <w:rPr>
          <w:rFonts w:ascii="Times New Roman" w:hAnsi="Times New Roman"/>
          <w:sz w:val="15"/>
        </w:rPr>
        <w:t>om penalized profile likelihood and P values from penalized likelihood-ratio tests. The ICS-exclusion analysis used the corresponding Firth regression estimates from the dedicated sensitivity analysis.</w:t>
      </w:r>
    </w:p>
    <w:p w:rsidR="00E57435" w:rsidRDefault="00DB40B1">
      <w:pPr>
        <w:spacing w:after="20"/>
      </w:pPr>
      <w:r>
        <w:rPr>
          <w:rFonts w:ascii="Times New Roman" w:hAnsi="Times New Roman"/>
          <w:sz w:val="15"/>
        </w:rPr>
        <w:t>IL-4 and IL-10 were not included because their measure</w:t>
      </w:r>
      <w:r>
        <w:rPr>
          <w:rFonts w:ascii="Times New Roman" w:hAnsi="Times New Roman"/>
          <w:sz w:val="15"/>
        </w:rPr>
        <w:t>d concentrations were below the reliable measurement ranges of the respective assays.</w:t>
      </w:r>
    </w:p>
    <w:p w:rsidR="00E57435" w:rsidRDefault="00DB40B1">
      <w:pPr>
        <w:spacing w:before="40" w:after="0"/>
      </w:pPr>
      <w:r>
        <w:rPr>
          <w:rFonts w:ascii="Times New Roman" w:hAnsi="Times New Roman"/>
          <w:sz w:val="15"/>
        </w:rPr>
        <w:t>Abbreviations: COPD, chronic obstructive pulmonary disease; OR, odds ratio; CI, confidence interval; IL, interleukin; TSLP, thymic stromal lymphopoietin; IFN, interferon;</w:t>
      </w:r>
      <w:r>
        <w:rPr>
          <w:rFonts w:ascii="Times New Roman" w:hAnsi="Times New Roman"/>
          <w:sz w:val="15"/>
        </w:rPr>
        <w:t xml:space="preserve"> ICS, inhaled corticosteroid; BMI, body mass index.</w:t>
      </w:r>
    </w:p>
    <w:p w:rsidR="00E57435" w:rsidRDefault="00DB40B1">
      <w:r>
        <w:br w:type="page"/>
      </w:r>
    </w:p>
    <w:p w:rsidR="00E57435" w:rsidRDefault="00DB40B1">
      <w:pPr>
        <w:spacing w:after="100"/>
      </w:pPr>
      <w:r>
        <w:rPr>
          <w:rFonts w:ascii="Times New Roman" w:hAnsi="Times New Roman"/>
          <w:b/>
        </w:rPr>
        <w:lastRenderedPageBreak/>
        <w:t>Supplemental Table 3. Selected metabolites differing between patients with COPD and controls</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944"/>
        <w:gridCol w:w="1944"/>
        <w:gridCol w:w="1944"/>
        <w:gridCol w:w="1296"/>
        <w:gridCol w:w="1440"/>
        <w:gridCol w:w="1008"/>
      </w:tblGrid>
      <w:tr w:rsidR="00E57435">
        <w:trPr>
          <w:tblHeader/>
          <w:jc w:val="center"/>
        </w:trPr>
        <w:tc>
          <w:tcPr>
            <w:tcW w:w="1944" w:type="dxa"/>
            <w:shd w:val="clear" w:color="auto" w:fill="D9E2F3"/>
            <w:tcMar>
              <w:top w:w="45" w:type="dxa"/>
              <w:left w:w="45" w:type="dxa"/>
              <w:bottom w:w="45" w:type="dxa"/>
              <w:right w:w="45" w:type="dxa"/>
            </w:tcMar>
            <w:vAlign w:val="center"/>
          </w:tcPr>
          <w:p w:rsidR="00E57435" w:rsidRDefault="00DB40B1">
            <w:pPr>
              <w:spacing w:after="0"/>
            </w:pPr>
            <w:r>
              <w:rPr>
                <w:rFonts w:ascii="Times New Roman" w:hAnsi="Times New Roman"/>
                <w:b/>
                <w:sz w:val="17"/>
              </w:rPr>
              <w:t>Metabolite</w:t>
            </w:r>
          </w:p>
        </w:tc>
        <w:tc>
          <w:tcPr>
            <w:tcW w:w="1944" w:type="dxa"/>
            <w:shd w:val="clear" w:color="auto" w:fill="D9E2F3"/>
            <w:tcMar>
              <w:top w:w="45" w:type="dxa"/>
              <w:left w:w="45" w:type="dxa"/>
              <w:bottom w:w="45" w:type="dxa"/>
              <w:right w:w="45" w:type="dxa"/>
            </w:tcMar>
            <w:vAlign w:val="center"/>
          </w:tcPr>
          <w:p w:rsidR="00E57435" w:rsidRDefault="00DB40B1">
            <w:pPr>
              <w:spacing w:after="0"/>
              <w:jc w:val="center"/>
            </w:pPr>
            <w:r>
              <w:rPr>
                <w:rFonts w:ascii="Times New Roman" w:hAnsi="Times New Roman"/>
                <w:b/>
                <w:sz w:val="17"/>
              </w:rPr>
              <w:t>Controls</w:t>
            </w:r>
            <w:r>
              <w:rPr>
                <w:rFonts w:ascii="Times New Roman" w:hAnsi="Times New Roman"/>
                <w:b/>
                <w:sz w:val="17"/>
              </w:rPr>
              <w:br/>
              <w:t>(n = 41)</w:t>
            </w:r>
          </w:p>
        </w:tc>
        <w:tc>
          <w:tcPr>
            <w:tcW w:w="1944" w:type="dxa"/>
            <w:shd w:val="clear" w:color="auto" w:fill="D9E2F3"/>
            <w:tcMar>
              <w:top w:w="45" w:type="dxa"/>
              <w:left w:w="45" w:type="dxa"/>
              <w:bottom w:w="45" w:type="dxa"/>
              <w:right w:w="45" w:type="dxa"/>
            </w:tcMar>
            <w:vAlign w:val="center"/>
          </w:tcPr>
          <w:p w:rsidR="00E57435" w:rsidRDefault="00DB40B1">
            <w:pPr>
              <w:spacing w:after="0"/>
              <w:jc w:val="center"/>
            </w:pPr>
            <w:r>
              <w:rPr>
                <w:rFonts w:ascii="Times New Roman" w:hAnsi="Times New Roman"/>
                <w:b/>
                <w:sz w:val="17"/>
              </w:rPr>
              <w:t>COPD</w:t>
            </w:r>
            <w:r>
              <w:rPr>
                <w:rFonts w:ascii="Times New Roman" w:hAnsi="Times New Roman"/>
                <w:b/>
                <w:sz w:val="17"/>
              </w:rPr>
              <w:br/>
              <w:t>(n = 54)</w:t>
            </w:r>
          </w:p>
        </w:tc>
        <w:tc>
          <w:tcPr>
            <w:tcW w:w="1296" w:type="dxa"/>
            <w:shd w:val="clear" w:color="auto" w:fill="D9E2F3"/>
            <w:tcMar>
              <w:top w:w="45" w:type="dxa"/>
              <w:left w:w="45" w:type="dxa"/>
              <w:bottom w:w="45" w:type="dxa"/>
              <w:right w:w="45" w:type="dxa"/>
            </w:tcMar>
            <w:vAlign w:val="center"/>
          </w:tcPr>
          <w:p w:rsidR="00E57435" w:rsidRDefault="00DB40B1">
            <w:pPr>
              <w:spacing w:after="0"/>
              <w:jc w:val="center"/>
            </w:pPr>
            <w:r>
              <w:rPr>
                <w:rFonts w:ascii="Times New Roman" w:hAnsi="Times New Roman"/>
                <w:b/>
                <w:sz w:val="17"/>
              </w:rPr>
              <w:t>P value</w:t>
            </w:r>
            <w:r>
              <w:rPr>
                <w:rFonts w:ascii="Times New Roman" w:hAnsi="Times New Roman"/>
                <w:b/>
                <w:sz w:val="17"/>
              </w:rPr>
              <w:t>ᵃ</w:t>
            </w:r>
          </w:p>
        </w:tc>
        <w:tc>
          <w:tcPr>
            <w:tcW w:w="1440" w:type="dxa"/>
            <w:shd w:val="clear" w:color="auto" w:fill="D9E2F3"/>
            <w:tcMar>
              <w:top w:w="45" w:type="dxa"/>
              <w:left w:w="45" w:type="dxa"/>
              <w:bottom w:w="45" w:type="dxa"/>
              <w:right w:w="45" w:type="dxa"/>
            </w:tcMar>
            <w:vAlign w:val="center"/>
          </w:tcPr>
          <w:p w:rsidR="00E57435" w:rsidRDefault="00DB40B1">
            <w:pPr>
              <w:spacing w:after="0"/>
              <w:jc w:val="center"/>
            </w:pPr>
            <w:r>
              <w:rPr>
                <w:rFonts w:ascii="Times New Roman" w:hAnsi="Times New Roman"/>
                <w:b/>
                <w:sz w:val="17"/>
              </w:rPr>
              <w:t>BH-FDR</w:t>
            </w:r>
            <w:r>
              <w:rPr>
                <w:rFonts w:ascii="Times New Roman" w:hAnsi="Times New Roman"/>
                <w:b/>
                <w:sz w:val="17"/>
              </w:rPr>
              <w:br/>
              <w:t>q value</w:t>
            </w:r>
          </w:p>
        </w:tc>
        <w:tc>
          <w:tcPr>
            <w:tcW w:w="1008" w:type="dxa"/>
            <w:shd w:val="clear" w:color="auto" w:fill="D9E2F3"/>
            <w:tcMar>
              <w:top w:w="45" w:type="dxa"/>
              <w:left w:w="45" w:type="dxa"/>
              <w:bottom w:w="45" w:type="dxa"/>
              <w:right w:w="45" w:type="dxa"/>
            </w:tcMar>
            <w:vAlign w:val="center"/>
          </w:tcPr>
          <w:p w:rsidR="00E57435" w:rsidRDefault="00DB40B1">
            <w:pPr>
              <w:spacing w:after="0"/>
              <w:jc w:val="center"/>
            </w:pPr>
            <w:r>
              <w:rPr>
                <w:rFonts w:ascii="Times New Roman" w:hAnsi="Times New Roman"/>
                <w:b/>
                <w:sz w:val="17"/>
              </w:rPr>
              <w:t>VIP</w:t>
            </w:r>
            <w:r>
              <w:rPr>
                <w:rFonts w:ascii="Times New Roman" w:hAnsi="Times New Roman"/>
                <w:b/>
                <w:sz w:val="17"/>
              </w:rPr>
              <w:t>ᵇ</w:t>
            </w:r>
          </w:p>
        </w:tc>
      </w:tr>
      <w:tr w:rsidR="00E57435">
        <w:trPr>
          <w:jc w:val="center"/>
        </w:trPr>
        <w:tc>
          <w:tcPr>
            <w:tcW w:w="1944" w:type="dxa"/>
            <w:tcMar>
              <w:top w:w="35" w:type="dxa"/>
              <w:left w:w="45" w:type="dxa"/>
              <w:bottom w:w="35" w:type="dxa"/>
              <w:right w:w="45" w:type="dxa"/>
            </w:tcMar>
            <w:vAlign w:val="center"/>
          </w:tcPr>
          <w:p w:rsidR="00E57435" w:rsidRDefault="00DB40B1">
            <w:pPr>
              <w:spacing w:after="0"/>
            </w:pPr>
            <w:r>
              <w:rPr>
                <w:rFonts w:ascii="Times New Roman" w:hAnsi="Times New Roman"/>
                <w:sz w:val="17"/>
              </w:rPr>
              <w:t>Cystine</w:t>
            </w:r>
          </w:p>
        </w:tc>
        <w:tc>
          <w:tcPr>
            <w:tcW w:w="1944"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84.84 ± 21.10</w:t>
            </w:r>
          </w:p>
        </w:tc>
        <w:tc>
          <w:tcPr>
            <w:tcW w:w="1944"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69.07 ± 19.66</w:t>
            </w:r>
          </w:p>
        </w:tc>
        <w:tc>
          <w:tcPr>
            <w:tcW w:w="1296"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0.002684</w:t>
            </w:r>
          </w:p>
        </w:tc>
        <w:tc>
          <w:tcPr>
            <w:tcW w:w="1440" w:type="dxa"/>
            <w:tcMar>
              <w:top w:w="35" w:type="dxa"/>
              <w:left w:w="45" w:type="dxa"/>
              <w:bottom w:w="35" w:type="dxa"/>
              <w:right w:w="45" w:type="dxa"/>
            </w:tcMar>
            <w:vAlign w:val="center"/>
          </w:tcPr>
          <w:p w:rsidR="00E57435" w:rsidRPr="00DB40B1" w:rsidRDefault="00DB40B1" w:rsidP="00DB40B1">
            <w:pPr>
              <w:jc w:val="center"/>
              <w:rPr>
                <w:sz w:val="16"/>
                <w:szCs w:val="16"/>
              </w:rPr>
            </w:pPr>
            <w:r w:rsidRPr="00DB40B1">
              <w:rPr>
                <w:sz w:val="16"/>
                <w:szCs w:val="16"/>
              </w:rPr>
              <w:t>0.014089</w:t>
            </w:r>
          </w:p>
        </w:tc>
        <w:tc>
          <w:tcPr>
            <w:tcW w:w="1008"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1.805</w:t>
            </w:r>
          </w:p>
        </w:tc>
      </w:tr>
      <w:tr w:rsidR="00E57435">
        <w:trPr>
          <w:jc w:val="center"/>
        </w:trPr>
        <w:tc>
          <w:tcPr>
            <w:tcW w:w="1944" w:type="dxa"/>
            <w:tcMar>
              <w:top w:w="35" w:type="dxa"/>
              <w:left w:w="45" w:type="dxa"/>
              <w:bottom w:w="35" w:type="dxa"/>
              <w:right w:w="45" w:type="dxa"/>
            </w:tcMar>
            <w:vAlign w:val="center"/>
          </w:tcPr>
          <w:p w:rsidR="00E57435" w:rsidRDefault="00DB40B1">
            <w:pPr>
              <w:spacing w:after="0"/>
            </w:pPr>
            <w:r>
              <w:rPr>
                <w:rFonts w:ascii="Times New Roman" w:hAnsi="Times New Roman"/>
                <w:sz w:val="17"/>
              </w:rPr>
              <w:t>Glutamic acid</w:t>
            </w:r>
          </w:p>
        </w:tc>
        <w:tc>
          <w:tcPr>
            <w:tcW w:w="1944"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56.75 ± 21.72</w:t>
            </w:r>
          </w:p>
        </w:tc>
        <w:tc>
          <w:tcPr>
            <w:tcW w:w="1944"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68.48 ± 24.44</w:t>
            </w:r>
          </w:p>
        </w:tc>
        <w:tc>
          <w:tcPr>
            <w:tcW w:w="1296"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0.027427</w:t>
            </w:r>
          </w:p>
        </w:tc>
        <w:tc>
          <w:tcPr>
            <w:tcW w:w="1440" w:type="dxa"/>
            <w:tcMar>
              <w:top w:w="35" w:type="dxa"/>
              <w:left w:w="45" w:type="dxa"/>
              <w:bottom w:w="35" w:type="dxa"/>
              <w:right w:w="45" w:type="dxa"/>
            </w:tcMar>
            <w:vAlign w:val="center"/>
          </w:tcPr>
          <w:p w:rsidR="00E57435" w:rsidRPr="00DB40B1" w:rsidRDefault="00DB40B1" w:rsidP="00DB40B1">
            <w:pPr>
              <w:jc w:val="center"/>
              <w:rPr>
                <w:sz w:val="16"/>
                <w:szCs w:val="16"/>
              </w:rPr>
            </w:pPr>
            <w:r w:rsidRPr="00DB40B1">
              <w:rPr>
                <w:sz w:val="16"/>
                <w:szCs w:val="16"/>
              </w:rPr>
              <w:t>0.075136</w:t>
            </w:r>
          </w:p>
        </w:tc>
        <w:tc>
          <w:tcPr>
            <w:tcW w:w="1008"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1.343</w:t>
            </w:r>
          </w:p>
        </w:tc>
      </w:tr>
      <w:tr w:rsidR="00E57435">
        <w:trPr>
          <w:jc w:val="center"/>
        </w:trPr>
        <w:tc>
          <w:tcPr>
            <w:tcW w:w="1944" w:type="dxa"/>
            <w:tcMar>
              <w:top w:w="35" w:type="dxa"/>
              <w:left w:w="45" w:type="dxa"/>
              <w:bottom w:w="35" w:type="dxa"/>
              <w:right w:w="45" w:type="dxa"/>
            </w:tcMar>
            <w:vAlign w:val="center"/>
          </w:tcPr>
          <w:p w:rsidR="00E57435" w:rsidRDefault="00DB40B1">
            <w:pPr>
              <w:spacing w:after="0"/>
            </w:pPr>
            <w:r>
              <w:rPr>
                <w:rFonts w:ascii="Times New Roman" w:hAnsi="Times New Roman"/>
                <w:sz w:val="17"/>
              </w:rPr>
              <w:t>Glutamine</w:t>
            </w:r>
          </w:p>
        </w:tc>
        <w:tc>
          <w:tcPr>
            <w:tcW w:w="1944"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403.33 ± 92.51</w:t>
            </w:r>
          </w:p>
        </w:tc>
        <w:tc>
          <w:tcPr>
            <w:tcW w:w="1944"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488.60 ± 69.10</w:t>
            </w:r>
          </w:p>
        </w:tc>
        <w:tc>
          <w:tcPr>
            <w:tcW w:w="1296"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0.00003645</w:t>
            </w:r>
          </w:p>
        </w:tc>
        <w:tc>
          <w:tcPr>
            <w:tcW w:w="1440" w:type="dxa"/>
            <w:tcMar>
              <w:top w:w="35" w:type="dxa"/>
              <w:left w:w="45" w:type="dxa"/>
              <w:bottom w:w="35" w:type="dxa"/>
              <w:right w:w="45" w:type="dxa"/>
            </w:tcMar>
            <w:vAlign w:val="center"/>
          </w:tcPr>
          <w:p w:rsidR="00E57435" w:rsidRPr="00DB40B1" w:rsidRDefault="00DB40B1" w:rsidP="00DB40B1">
            <w:pPr>
              <w:jc w:val="center"/>
              <w:rPr>
                <w:sz w:val="16"/>
                <w:szCs w:val="16"/>
              </w:rPr>
            </w:pPr>
            <w:r w:rsidRPr="00DB40B1">
              <w:rPr>
                <w:sz w:val="16"/>
                <w:szCs w:val="16"/>
              </w:rPr>
              <w:t>0.001148</w:t>
            </w:r>
          </w:p>
        </w:tc>
        <w:tc>
          <w:tcPr>
            <w:tcW w:w="1008"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9.758</w:t>
            </w:r>
          </w:p>
        </w:tc>
      </w:tr>
      <w:tr w:rsidR="00E57435">
        <w:trPr>
          <w:jc w:val="center"/>
        </w:trPr>
        <w:tc>
          <w:tcPr>
            <w:tcW w:w="1944" w:type="dxa"/>
            <w:tcMar>
              <w:top w:w="35" w:type="dxa"/>
              <w:left w:w="45" w:type="dxa"/>
              <w:bottom w:w="35" w:type="dxa"/>
              <w:right w:w="45" w:type="dxa"/>
            </w:tcMar>
            <w:vAlign w:val="center"/>
          </w:tcPr>
          <w:p w:rsidR="00E57435" w:rsidRDefault="00DB40B1">
            <w:pPr>
              <w:spacing w:after="0"/>
            </w:pPr>
            <w:r>
              <w:rPr>
                <w:rFonts w:ascii="Times New Roman" w:hAnsi="Times New Roman"/>
                <w:sz w:val="17"/>
              </w:rPr>
              <w:t>Glycine</w:t>
            </w:r>
          </w:p>
        </w:tc>
        <w:tc>
          <w:tcPr>
            <w:tcW w:w="1944"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229.77 ± 39.84</w:t>
            </w:r>
          </w:p>
        </w:tc>
        <w:tc>
          <w:tcPr>
            <w:tcW w:w="1944"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251.44 ± 50.95</w:t>
            </w:r>
          </w:p>
        </w:tc>
        <w:tc>
          <w:tcPr>
            <w:tcW w:w="1296"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0.048135</w:t>
            </w:r>
          </w:p>
        </w:tc>
        <w:tc>
          <w:tcPr>
            <w:tcW w:w="1440" w:type="dxa"/>
            <w:tcMar>
              <w:top w:w="35" w:type="dxa"/>
              <w:left w:w="45" w:type="dxa"/>
              <w:bottom w:w="35" w:type="dxa"/>
              <w:right w:w="45" w:type="dxa"/>
            </w:tcMar>
            <w:vAlign w:val="center"/>
          </w:tcPr>
          <w:p w:rsidR="00E57435" w:rsidRPr="00DB40B1" w:rsidRDefault="00DB40B1" w:rsidP="00DB40B1">
            <w:pPr>
              <w:jc w:val="center"/>
              <w:rPr>
                <w:sz w:val="16"/>
                <w:szCs w:val="16"/>
              </w:rPr>
            </w:pPr>
            <w:r w:rsidRPr="00DB40B1">
              <w:rPr>
                <w:sz w:val="16"/>
                <w:szCs w:val="16"/>
              </w:rPr>
              <w:t>0.110946</w:t>
            </w:r>
          </w:p>
        </w:tc>
        <w:tc>
          <w:tcPr>
            <w:tcW w:w="1008"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2.</w:t>
            </w:r>
            <w:bookmarkStart w:id="0" w:name="_GoBack"/>
            <w:bookmarkEnd w:id="0"/>
            <w:r>
              <w:rPr>
                <w:rFonts w:ascii="Times New Roman" w:hAnsi="Times New Roman"/>
                <w:sz w:val="17"/>
              </w:rPr>
              <w:t>480</w:t>
            </w:r>
          </w:p>
        </w:tc>
      </w:tr>
      <w:tr w:rsidR="00E57435">
        <w:trPr>
          <w:jc w:val="center"/>
        </w:trPr>
        <w:tc>
          <w:tcPr>
            <w:tcW w:w="1944" w:type="dxa"/>
            <w:tcMar>
              <w:top w:w="35" w:type="dxa"/>
              <w:left w:w="45" w:type="dxa"/>
              <w:bottom w:w="35" w:type="dxa"/>
              <w:right w:w="45" w:type="dxa"/>
            </w:tcMar>
            <w:vAlign w:val="center"/>
          </w:tcPr>
          <w:p w:rsidR="00E57435" w:rsidRDefault="00DB40B1">
            <w:pPr>
              <w:spacing w:after="0"/>
            </w:pPr>
            <w:r>
              <w:rPr>
                <w:rFonts w:ascii="Times New Roman" w:hAnsi="Times New Roman"/>
                <w:sz w:val="17"/>
              </w:rPr>
              <w:t>Lysine</w:t>
            </w:r>
          </w:p>
        </w:tc>
        <w:tc>
          <w:tcPr>
            <w:tcW w:w="1944"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218.04 ± 31.68</w:t>
            </w:r>
          </w:p>
        </w:tc>
        <w:tc>
          <w:tcPr>
            <w:tcW w:w="1944"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 xml:space="preserve">233.89 ± </w:t>
            </w:r>
            <w:r>
              <w:rPr>
                <w:rFonts w:ascii="Times New Roman" w:hAnsi="Times New Roman"/>
                <w:sz w:val="17"/>
              </w:rPr>
              <w:t>33.57</w:t>
            </w:r>
          </w:p>
        </w:tc>
        <w:tc>
          <w:tcPr>
            <w:tcW w:w="1296"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0.037746</w:t>
            </w:r>
          </w:p>
        </w:tc>
        <w:tc>
          <w:tcPr>
            <w:tcW w:w="1440" w:type="dxa"/>
            <w:tcMar>
              <w:top w:w="35" w:type="dxa"/>
              <w:left w:w="45" w:type="dxa"/>
              <w:bottom w:w="35" w:type="dxa"/>
              <w:right w:w="45" w:type="dxa"/>
            </w:tcMar>
            <w:vAlign w:val="center"/>
          </w:tcPr>
          <w:p w:rsidR="00E57435" w:rsidRPr="00DB40B1" w:rsidRDefault="00DB40B1" w:rsidP="00DB40B1">
            <w:pPr>
              <w:jc w:val="center"/>
              <w:rPr>
                <w:sz w:val="16"/>
                <w:szCs w:val="16"/>
              </w:rPr>
            </w:pPr>
            <w:r w:rsidRPr="00DB40B1">
              <w:rPr>
                <w:sz w:val="16"/>
                <w:szCs w:val="16"/>
              </w:rPr>
              <w:t>0.095119</w:t>
            </w:r>
          </w:p>
        </w:tc>
        <w:tc>
          <w:tcPr>
            <w:tcW w:w="1008"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1.814</w:t>
            </w:r>
          </w:p>
        </w:tc>
      </w:tr>
      <w:tr w:rsidR="00E57435">
        <w:trPr>
          <w:jc w:val="center"/>
        </w:trPr>
        <w:tc>
          <w:tcPr>
            <w:tcW w:w="1944" w:type="dxa"/>
            <w:tcMar>
              <w:top w:w="35" w:type="dxa"/>
              <w:left w:w="45" w:type="dxa"/>
              <w:bottom w:w="35" w:type="dxa"/>
              <w:right w:w="45" w:type="dxa"/>
            </w:tcMar>
            <w:vAlign w:val="center"/>
          </w:tcPr>
          <w:p w:rsidR="00E57435" w:rsidRDefault="00DB40B1">
            <w:pPr>
              <w:spacing w:after="0"/>
            </w:pPr>
            <w:r>
              <w:rPr>
                <w:rFonts w:ascii="Times New Roman" w:hAnsi="Times New Roman"/>
                <w:sz w:val="17"/>
              </w:rPr>
              <w:t>Ornithine</w:t>
            </w:r>
          </w:p>
        </w:tc>
        <w:tc>
          <w:tcPr>
            <w:tcW w:w="1944"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112.05 ± 38.48</w:t>
            </w:r>
          </w:p>
        </w:tc>
        <w:tc>
          <w:tcPr>
            <w:tcW w:w="1944"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131.69 ± 40.46</w:t>
            </w:r>
          </w:p>
        </w:tc>
        <w:tc>
          <w:tcPr>
            <w:tcW w:w="1296"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0.004249</w:t>
            </w:r>
          </w:p>
        </w:tc>
        <w:tc>
          <w:tcPr>
            <w:tcW w:w="1440" w:type="dxa"/>
            <w:tcMar>
              <w:top w:w="35" w:type="dxa"/>
              <w:left w:w="45" w:type="dxa"/>
              <w:bottom w:w="35" w:type="dxa"/>
              <w:right w:w="45" w:type="dxa"/>
            </w:tcMar>
            <w:vAlign w:val="center"/>
          </w:tcPr>
          <w:p w:rsidR="00E57435" w:rsidRPr="00DB40B1" w:rsidRDefault="00DB40B1" w:rsidP="00DB40B1">
            <w:pPr>
              <w:jc w:val="center"/>
              <w:rPr>
                <w:sz w:val="16"/>
                <w:szCs w:val="16"/>
              </w:rPr>
            </w:pPr>
            <w:r w:rsidRPr="00DB40B1">
              <w:rPr>
                <w:sz w:val="16"/>
                <w:szCs w:val="16"/>
              </w:rPr>
              <w:t>0.017847</w:t>
            </w:r>
          </w:p>
        </w:tc>
        <w:tc>
          <w:tcPr>
            <w:tcW w:w="1008"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2.248</w:t>
            </w:r>
          </w:p>
        </w:tc>
      </w:tr>
      <w:tr w:rsidR="00E57435">
        <w:trPr>
          <w:jc w:val="center"/>
        </w:trPr>
        <w:tc>
          <w:tcPr>
            <w:tcW w:w="1944" w:type="dxa"/>
            <w:tcMar>
              <w:top w:w="35" w:type="dxa"/>
              <w:left w:w="45" w:type="dxa"/>
              <w:bottom w:w="35" w:type="dxa"/>
              <w:right w:w="45" w:type="dxa"/>
            </w:tcMar>
            <w:vAlign w:val="center"/>
          </w:tcPr>
          <w:p w:rsidR="00E57435" w:rsidRDefault="00DB40B1">
            <w:pPr>
              <w:spacing w:after="0"/>
            </w:pPr>
            <w:r>
              <w:rPr>
                <w:rFonts w:ascii="Times New Roman" w:hAnsi="Times New Roman"/>
                <w:sz w:val="17"/>
              </w:rPr>
              <w:t>Proline</w:t>
            </w:r>
          </w:p>
        </w:tc>
        <w:tc>
          <w:tcPr>
            <w:tcW w:w="1944"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167.40 ± 42.77</w:t>
            </w:r>
          </w:p>
        </w:tc>
        <w:tc>
          <w:tcPr>
            <w:tcW w:w="1944"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184.68 ± 44.83</w:t>
            </w:r>
          </w:p>
        </w:tc>
        <w:tc>
          <w:tcPr>
            <w:tcW w:w="1296"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0.027431</w:t>
            </w:r>
          </w:p>
        </w:tc>
        <w:tc>
          <w:tcPr>
            <w:tcW w:w="1440" w:type="dxa"/>
            <w:tcMar>
              <w:top w:w="35" w:type="dxa"/>
              <w:left w:w="45" w:type="dxa"/>
              <w:bottom w:w="35" w:type="dxa"/>
              <w:right w:w="45" w:type="dxa"/>
            </w:tcMar>
            <w:vAlign w:val="center"/>
          </w:tcPr>
          <w:p w:rsidR="00E57435" w:rsidRPr="00DB40B1" w:rsidRDefault="00DB40B1" w:rsidP="00DB40B1">
            <w:pPr>
              <w:jc w:val="center"/>
              <w:rPr>
                <w:sz w:val="16"/>
                <w:szCs w:val="16"/>
              </w:rPr>
            </w:pPr>
            <w:r w:rsidRPr="00DB40B1">
              <w:rPr>
                <w:sz w:val="16"/>
                <w:szCs w:val="16"/>
              </w:rPr>
              <w:t>0.075136</w:t>
            </w:r>
          </w:p>
        </w:tc>
        <w:tc>
          <w:tcPr>
            <w:tcW w:w="1008"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1.977</w:t>
            </w:r>
          </w:p>
        </w:tc>
      </w:tr>
      <w:tr w:rsidR="00E57435">
        <w:trPr>
          <w:jc w:val="center"/>
        </w:trPr>
        <w:tc>
          <w:tcPr>
            <w:tcW w:w="1944" w:type="dxa"/>
            <w:tcMar>
              <w:top w:w="35" w:type="dxa"/>
              <w:left w:w="45" w:type="dxa"/>
              <w:bottom w:w="35" w:type="dxa"/>
              <w:right w:w="45" w:type="dxa"/>
            </w:tcMar>
            <w:vAlign w:val="center"/>
          </w:tcPr>
          <w:p w:rsidR="00E57435" w:rsidRDefault="00DB40B1">
            <w:pPr>
              <w:spacing w:after="0"/>
            </w:pPr>
            <w:r>
              <w:rPr>
                <w:rFonts w:ascii="Times New Roman" w:hAnsi="Times New Roman"/>
                <w:sz w:val="17"/>
              </w:rPr>
              <w:t>Tryptophan</w:t>
            </w:r>
          </w:p>
        </w:tc>
        <w:tc>
          <w:tcPr>
            <w:tcW w:w="1944"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55.06 ± 9.09</w:t>
            </w:r>
          </w:p>
        </w:tc>
        <w:tc>
          <w:tcPr>
            <w:tcW w:w="1944"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64.01 ± 11.40</w:t>
            </w:r>
          </w:p>
        </w:tc>
        <w:tc>
          <w:tcPr>
            <w:tcW w:w="1296"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0.00015245</w:t>
            </w:r>
          </w:p>
        </w:tc>
        <w:tc>
          <w:tcPr>
            <w:tcW w:w="1440" w:type="dxa"/>
            <w:tcMar>
              <w:top w:w="35" w:type="dxa"/>
              <w:left w:w="45" w:type="dxa"/>
              <w:bottom w:w="35" w:type="dxa"/>
              <w:right w:w="45" w:type="dxa"/>
            </w:tcMar>
            <w:vAlign w:val="center"/>
          </w:tcPr>
          <w:p w:rsidR="00E57435" w:rsidRPr="00DB40B1" w:rsidRDefault="00DB40B1" w:rsidP="00DB40B1">
            <w:pPr>
              <w:jc w:val="center"/>
              <w:rPr>
                <w:sz w:val="16"/>
                <w:szCs w:val="16"/>
              </w:rPr>
            </w:pPr>
            <w:r w:rsidRPr="00DB40B1">
              <w:rPr>
                <w:sz w:val="16"/>
                <w:szCs w:val="16"/>
              </w:rPr>
              <w:t>0.002619</w:t>
            </w:r>
          </w:p>
        </w:tc>
        <w:tc>
          <w:tcPr>
            <w:tcW w:w="1008"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1.025</w:t>
            </w:r>
          </w:p>
        </w:tc>
      </w:tr>
      <w:tr w:rsidR="00E57435">
        <w:trPr>
          <w:jc w:val="center"/>
        </w:trPr>
        <w:tc>
          <w:tcPr>
            <w:tcW w:w="1944" w:type="dxa"/>
            <w:tcMar>
              <w:top w:w="35" w:type="dxa"/>
              <w:left w:w="45" w:type="dxa"/>
              <w:bottom w:w="35" w:type="dxa"/>
              <w:right w:w="45" w:type="dxa"/>
            </w:tcMar>
            <w:vAlign w:val="center"/>
          </w:tcPr>
          <w:p w:rsidR="00E57435" w:rsidRDefault="00DB40B1">
            <w:pPr>
              <w:spacing w:after="0"/>
            </w:pPr>
            <w:r>
              <w:rPr>
                <w:rFonts w:ascii="Times New Roman" w:hAnsi="Times New Roman"/>
                <w:sz w:val="17"/>
              </w:rPr>
              <w:t>LPC 16:0</w:t>
            </w:r>
          </w:p>
        </w:tc>
        <w:tc>
          <w:tcPr>
            <w:tcW w:w="1944"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100.52 ± 17.97</w:t>
            </w:r>
          </w:p>
        </w:tc>
        <w:tc>
          <w:tcPr>
            <w:tcW w:w="1944"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116.67 ±</w:t>
            </w:r>
            <w:r>
              <w:rPr>
                <w:rFonts w:ascii="Times New Roman" w:hAnsi="Times New Roman"/>
                <w:sz w:val="17"/>
              </w:rPr>
              <w:t xml:space="preserve"> 28.50</w:t>
            </w:r>
          </w:p>
        </w:tc>
        <w:tc>
          <w:tcPr>
            <w:tcW w:w="1296"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0.0014998</w:t>
            </w:r>
          </w:p>
        </w:tc>
        <w:tc>
          <w:tcPr>
            <w:tcW w:w="1440" w:type="dxa"/>
            <w:tcMar>
              <w:top w:w="35" w:type="dxa"/>
              <w:left w:w="45" w:type="dxa"/>
              <w:bottom w:w="35" w:type="dxa"/>
              <w:right w:w="45" w:type="dxa"/>
            </w:tcMar>
            <w:vAlign w:val="center"/>
          </w:tcPr>
          <w:p w:rsidR="00E57435" w:rsidRPr="00DB40B1" w:rsidRDefault="00DB40B1" w:rsidP="00DB40B1">
            <w:pPr>
              <w:jc w:val="center"/>
              <w:rPr>
                <w:sz w:val="16"/>
                <w:szCs w:val="16"/>
              </w:rPr>
            </w:pPr>
            <w:r w:rsidRPr="00DB40B1">
              <w:rPr>
                <w:sz w:val="16"/>
                <w:szCs w:val="16"/>
              </w:rPr>
              <w:t>0.00859</w:t>
            </w:r>
          </w:p>
        </w:tc>
        <w:tc>
          <w:tcPr>
            <w:tcW w:w="1008"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1.849</w:t>
            </w:r>
          </w:p>
        </w:tc>
      </w:tr>
      <w:tr w:rsidR="00E57435">
        <w:trPr>
          <w:jc w:val="center"/>
        </w:trPr>
        <w:tc>
          <w:tcPr>
            <w:tcW w:w="1944" w:type="dxa"/>
            <w:tcMar>
              <w:top w:w="35" w:type="dxa"/>
              <w:left w:w="45" w:type="dxa"/>
              <w:bottom w:w="35" w:type="dxa"/>
              <w:right w:w="45" w:type="dxa"/>
            </w:tcMar>
            <w:vAlign w:val="center"/>
          </w:tcPr>
          <w:p w:rsidR="00E57435" w:rsidRDefault="00DB40B1">
            <w:pPr>
              <w:spacing w:after="0"/>
            </w:pPr>
            <w:r>
              <w:rPr>
                <w:rFonts w:ascii="Times New Roman" w:hAnsi="Times New Roman"/>
                <w:sz w:val="17"/>
              </w:rPr>
              <w:t>PC 34:2</w:t>
            </w:r>
          </w:p>
        </w:tc>
        <w:tc>
          <w:tcPr>
            <w:tcW w:w="1944"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581.54 ± 88.59</w:t>
            </w:r>
          </w:p>
        </w:tc>
        <w:tc>
          <w:tcPr>
            <w:tcW w:w="1944"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533.10 ± 108.40</w:t>
            </w:r>
          </w:p>
        </w:tc>
        <w:tc>
          <w:tcPr>
            <w:tcW w:w="1296"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0.0036828</w:t>
            </w:r>
          </w:p>
        </w:tc>
        <w:tc>
          <w:tcPr>
            <w:tcW w:w="1440" w:type="dxa"/>
            <w:tcMar>
              <w:top w:w="35" w:type="dxa"/>
              <w:left w:w="45" w:type="dxa"/>
              <w:bottom w:w="35" w:type="dxa"/>
              <w:right w:w="45" w:type="dxa"/>
            </w:tcMar>
            <w:vAlign w:val="center"/>
          </w:tcPr>
          <w:p w:rsidR="00E57435" w:rsidRPr="00DB40B1" w:rsidRDefault="00DB40B1" w:rsidP="00DB40B1">
            <w:pPr>
              <w:jc w:val="center"/>
              <w:rPr>
                <w:sz w:val="16"/>
                <w:szCs w:val="16"/>
              </w:rPr>
            </w:pPr>
            <w:r w:rsidRPr="00DB40B1">
              <w:rPr>
                <w:sz w:val="16"/>
                <w:szCs w:val="16"/>
              </w:rPr>
              <w:t>0.01781</w:t>
            </w:r>
          </w:p>
        </w:tc>
        <w:tc>
          <w:tcPr>
            <w:tcW w:w="1008"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5.543</w:t>
            </w:r>
          </w:p>
        </w:tc>
      </w:tr>
      <w:tr w:rsidR="00E57435">
        <w:trPr>
          <w:jc w:val="center"/>
        </w:trPr>
        <w:tc>
          <w:tcPr>
            <w:tcW w:w="1944" w:type="dxa"/>
            <w:tcMar>
              <w:top w:w="35" w:type="dxa"/>
              <w:left w:w="45" w:type="dxa"/>
              <w:bottom w:w="35" w:type="dxa"/>
              <w:right w:w="45" w:type="dxa"/>
            </w:tcMar>
            <w:vAlign w:val="center"/>
          </w:tcPr>
          <w:p w:rsidR="00E57435" w:rsidRDefault="00DB40B1">
            <w:pPr>
              <w:spacing w:after="0"/>
            </w:pPr>
            <w:r>
              <w:rPr>
                <w:rFonts w:ascii="Times New Roman" w:hAnsi="Times New Roman"/>
                <w:sz w:val="17"/>
              </w:rPr>
              <w:t>PC 36:2</w:t>
            </w:r>
          </w:p>
        </w:tc>
        <w:tc>
          <w:tcPr>
            <w:tcW w:w="1944"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354.80 ± 62.58</w:t>
            </w:r>
          </w:p>
        </w:tc>
        <w:tc>
          <w:tcPr>
            <w:tcW w:w="1944"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330.71 ± 69.35</w:t>
            </w:r>
          </w:p>
        </w:tc>
        <w:tc>
          <w:tcPr>
            <w:tcW w:w="1296"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0.028502</w:t>
            </w:r>
          </w:p>
        </w:tc>
        <w:tc>
          <w:tcPr>
            <w:tcW w:w="1440" w:type="dxa"/>
            <w:tcMar>
              <w:top w:w="35" w:type="dxa"/>
              <w:left w:w="45" w:type="dxa"/>
              <w:bottom w:w="35" w:type="dxa"/>
              <w:right w:w="45" w:type="dxa"/>
            </w:tcMar>
            <w:vAlign w:val="center"/>
          </w:tcPr>
          <w:p w:rsidR="00E57435" w:rsidRPr="00DB40B1" w:rsidRDefault="00DB40B1" w:rsidP="00DB40B1">
            <w:pPr>
              <w:jc w:val="center"/>
              <w:rPr>
                <w:sz w:val="16"/>
                <w:szCs w:val="16"/>
              </w:rPr>
            </w:pPr>
            <w:r w:rsidRPr="00DB40B1">
              <w:rPr>
                <w:sz w:val="16"/>
                <w:szCs w:val="16"/>
              </w:rPr>
              <w:t>0.076956</w:t>
            </w:r>
          </w:p>
        </w:tc>
        <w:tc>
          <w:tcPr>
            <w:tcW w:w="1008" w:type="dxa"/>
            <w:tcMar>
              <w:top w:w="35" w:type="dxa"/>
              <w:left w:w="45" w:type="dxa"/>
              <w:bottom w:w="35" w:type="dxa"/>
              <w:right w:w="45" w:type="dxa"/>
            </w:tcMar>
            <w:vAlign w:val="center"/>
          </w:tcPr>
          <w:p w:rsidR="00E57435" w:rsidRDefault="00DB40B1">
            <w:pPr>
              <w:spacing w:after="0"/>
              <w:jc w:val="center"/>
            </w:pPr>
            <w:r>
              <w:rPr>
                <w:rFonts w:ascii="Times New Roman" w:hAnsi="Times New Roman"/>
                <w:sz w:val="17"/>
              </w:rPr>
              <w:t>2.757</w:t>
            </w:r>
          </w:p>
        </w:tc>
      </w:tr>
    </w:tbl>
    <w:p w:rsidR="00E57435" w:rsidRDefault="00DB40B1">
      <w:pPr>
        <w:spacing w:before="100" w:after="20"/>
      </w:pPr>
      <w:r>
        <w:rPr>
          <w:rFonts w:ascii="Times New Roman" w:hAnsi="Times New Roman"/>
          <w:sz w:val="16"/>
        </w:rPr>
        <w:t>Data are presented as mean ± standard deviation.</w:t>
      </w:r>
    </w:p>
    <w:p w:rsidR="00E57435" w:rsidRDefault="00DB40B1">
      <w:pPr>
        <w:spacing w:after="20"/>
      </w:pPr>
      <w:r>
        <w:rPr>
          <w:rFonts w:ascii="Times New Roman" w:hAnsi="Times New Roman"/>
          <w:sz w:val="16"/>
        </w:rPr>
        <w:t xml:space="preserve">The 11 metabolites shown were those meeting the </w:t>
      </w:r>
      <w:r>
        <w:rPr>
          <w:rFonts w:ascii="Times New Roman" w:hAnsi="Times New Roman"/>
          <w:sz w:val="16"/>
        </w:rPr>
        <w:t xml:space="preserve">original exploratory selection criteria of nominal P &lt; 0.05 and VIP &gt; 1. Of these, six remained significant after Benjamini–Hochberg false discovery rate correction across all 189 measured metabolites (q &lt; 0.05): cystine, glutamine, ornithine, tryptophan, </w:t>
      </w:r>
      <w:r>
        <w:rPr>
          <w:rFonts w:ascii="Times New Roman" w:hAnsi="Times New Roman"/>
          <w:sz w:val="16"/>
        </w:rPr>
        <w:t>LPC 16:0, and PC 34:2.</w:t>
      </w:r>
    </w:p>
    <w:p w:rsidR="00E57435" w:rsidRDefault="00DB40B1">
      <w:pPr>
        <w:spacing w:after="20"/>
      </w:pPr>
      <w:r>
        <w:rPr>
          <w:rFonts w:ascii="Times New Roman" w:hAnsi="Times New Roman"/>
          <w:sz w:val="16"/>
        </w:rPr>
        <w:t>ᵃ</w:t>
      </w:r>
      <w:r>
        <w:rPr>
          <w:rFonts w:ascii="Times New Roman" w:hAnsi="Times New Roman"/>
          <w:sz w:val="16"/>
        </w:rPr>
        <w:t xml:space="preserve"> P values are from the original between-group comparisons. BH-FDR q values were calculated across all 189 measured metabolites.</w:t>
      </w:r>
    </w:p>
    <w:p w:rsidR="00E57435" w:rsidRDefault="00DB40B1">
      <w:pPr>
        <w:spacing w:after="20"/>
      </w:pPr>
      <w:r>
        <w:rPr>
          <w:rFonts w:ascii="Times New Roman" w:hAnsi="Times New Roman"/>
          <w:sz w:val="16"/>
        </w:rPr>
        <w:t>ᵇ</w:t>
      </w:r>
      <w:r>
        <w:rPr>
          <w:rFonts w:ascii="Times New Roman" w:hAnsi="Times New Roman"/>
          <w:sz w:val="16"/>
        </w:rPr>
        <w:t xml:space="preserve"> VIP values were derived from component 1 of the PLS-DA model.</w:t>
      </w:r>
    </w:p>
    <w:p w:rsidR="00E57435" w:rsidRDefault="00DB40B1">
      <w:pPr>
        <w:spacing w:before="40" w:after="0"/>
      </w:pPr>
      <w:r>
        <w:rPr>
          <w:rFonts w:ascii="Times New Roman" w:hAnsi="Times New Roman"/>
          <w:sz w:val="16"/>
        </w:rPr>
        <w:t>Abbreviations: COPD, chronic obstructive</w:t>
      </w:r>
      <w:r>
        <w:rPr>
          <w:rFonts w:ascii="Times New Roman" w:hAnsi="Times New Roman"/>
          <w:sz w:val="16"/>
        </w:rPr>
        <w:t xml:space="preserve"> pulmonary disease; BH-FDR, Benjamini–Hochberg false discovery rate; VIP, variable importance in projection; PLS-DA, partial least squares discriminant analysis; LPC, lysophosphatidylcholine; PC, phosphatidylcholine.</w:t>
      </w:r>
    </w:p>
    <w:p w:rsidR="00E57435" w:rsidRDefault="00DB40B1">
      <w:r>
        <w:br w:type="page"/>
      </w:r>
    </w:p>
    <w:p w:rsidR="00E57435" w:rsidRDefault="00DB40B1">
      <w:pPr>
        <w:spacing w:after="120"/>
      </w:pPr>
      <w:r>
        <w:rPr>
          <w:rFonts w:ascii="Times New Roman" w:hAnsi="Times New Roman"/>
          <w:b/>
        </w:rPr>
        <w:lastRenderedPageBreak/>
        <w:t>Supplemental Table 4. Apparent calibr</w:t>
      </w:r>
      <w:r>
        <w:rPr>
          <w:rFonts w:ascii="Times New Roman" w:hAnsi="Times New Roman"/>
          <w:b/>
        </w:rPr>
        <w:t>ation of multivariable Firth logistic regression models for IL-17 and IFN-γ</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800"/>
        <w:gridCol w:w="1800"/>
        <w:gridCol w:w="3024"/>
        <w:gridCol w:w="2088"/>
      </w:tblGrid>
      <w:tr w:rsidR="00E57435">
        <w:trPr>
          <w:jc w:val="center"/>
        </w:trPr>
        <w:tc>
          <w:tcPr>
            <w:tcW w:w="1800" w:type="dxa"/>
            <w:shd w:val="clear" w:color="auto" w:fill="D9E2F3"/>
            <w:tcMar>
              <w:top w:w="55" w:type="dxa"/>
              <w:left w:w="65" w:type="dxa"/>
              <w:bottom w:w="55" w:type="dxa"/>
              <w:right w:w="65" w:type="dxa"/>
            </w:tcMar>
            <w:vAlign w:val="center"/>
          </w:tcPr>
          <w:p w:rsidR="00E57435" w:rsidRDefault="00DB40B1">
            <w:pPr>
              <w:spacing w:after="0"/>
            </w:pPr>
            <w:r>
              <w:rPr>
                <w:rFonts w:ascii="Times New Roman" w:hAnsi="Times New Roman"/>
                <w:b/>
                <w:sz w:val="18"/>
              </w:rPr>
              <w:t>Model</w:t>
            </w:r>
          </w:p>
        </w:tc>
        <w:tc>
          <w:tcPr>
            <w:tcW w:w="1800" w:type="dxa"/>
            <w:shd w:val="clear" w:color="auto" w:fill="D9E2F3"/>
            <w:tcMar>
              <w:top w:w="55" w:type="dxa"/>
              <w:left w:w="65" w:type="dxa"/>
              <w:bottom w:w="55" w:type="dxa"/>
              <w:right w:w="65" w:type="dxa"/>
            </w:tcMar>
            <w:vAlign w:val="center"/>
          </w:tcPr>
          <w:p w:rsidR="00E57435" w:rsidRDefault="00DB40B1">
            <w:pPr>
              <w:spacing w:after="0"/>
              <w:jc w:val="center"/>
            </w:pPr>
            <w:r>
              <w:rPr>
                <w:rFonts w:ascii="Times New Roman" w:hAnsi="Times New Roman"/>
                <w:b/>
                <w:sz w:val="18"/>
              </w:rPr>
              <w:t>Brier score</w:t>
            </w:r>
          </w:p>
        </w:tc>
        <w:tc>
          <w:tcPr>
            <w:tcW w:w="3024" w:type="dxa"/>
            <w:shd w:val="clear" w:color="auto" w:fill="D9E2F3"/>
            <w:tcMar>
              <w:top w:w="55" w:type="dxa"/>
              <w:left w:w="65" w:type="dxa"/>
              <w:bottom w:w="55" w:type="dxa"/>
              <w:right w:w="65" w:type="dxa"/>
            </w:tcMar>
            <w:vAlign w:val="center"/>
          </w:tcPr>
          <w:p w:rsidR="00E57435" w:rsidRDefault="00DB40B1">
            <w:pPr>
              <w:spacing w:after="0"/>
              <w:jc w:val="center"/>
            </w:pPr>
            <w:r>
              <w:rPr>
                <w:rFonts w:ascii="Times New Roman" w:hAnsi="Times New Roman"/>
                <w:b/>
                <w:sz w:val="18"/>
              </w:rPr>
              <w:t>Calibration-in-the-large</w:t>
            </w:r>
          </w:p>
        </w:tc>
        <w:tc>
          <w:tcPr>
            <w:tcW w:w="2088" w:type="dxa"/>
            <w:shd w:val="clear" w:color="auto" w:fill="D9E2F3"/>
            <w:tcMar>
              <w:top w:w="55" w:type="dxa"/>
              <w:left w:w="65" w:type="dxa"/>
              <w:bottom w:w="55" w:type="dxa"/>
              <w:right w:w="65" w:type="dxa"/>
            </w:tcMar>
            <w:vAlign w:val="center"/>
          </w:tcPr>
          <w:p w:rsidR="00E57435" w:rsidRDefault="00DB40B1">
            <w:pPr>
              <w:spacing w:after="0"/>
              <w:jc w:val="center"/>
            </w:pPr>
            <w:r>
              <w:rPr>
                <w:rFonts w:ascii="Times New Roman" w:hAnsi="Times New Roman"/>
                <w:b/>
                <w:sz w:val="18"/>
              </w:rPr>
              <w:t>Calibration slope</w:t>
            </w:r>
          </w:p>
        </w:tc>
      </w:tr>
      <w:tr w:rsidR="00E57435">
        <w:trPr>
          <w:jc w:val="center"/>
        </w:trPr>
        <w:tc>
          <w:tcPr>
            <w:tcW w:w="1800" w:type="dxa"/>
            <w:tcMar>
              <w:top w:w="55" w:type="dxa"/>
              <w:left w:w="65" w:type="dxa"/>
              <w:bottom w:w="55" w:type="dxa"/>
              <w:right w:w="65" w:type="dxa"/>
            </w:tcMar>
            <w:vAlign w:val="center"/>
          </w:tcPr>
          <w:p w:rsidR="00E57435" w:rsidRDefault="00DB40B1">
            <w:pPr>
              <w:spacing w:after="0"/>
            </w:pPr>
            <w:r>
              <w:rPr>
                <w:rFonts w:ascii="Times New Roman" w:hAnsi="Times New Roman"/>
                <w:sz w:val="18"/>
              </w:rPr>
              <w:t>IL-17</w:t>
            </w:r>
          </w:p>
        </w:tc>
        <w:tc>
          <w:tcPr>
            <w:tcW w:w="1800" w:type="dxa"/>
            <w:tcMar>
              <w:top w:w="55" w:type="dxa"/>
              <w:left w:w="65" w:type="dxa"/>
              <w:bottom w:w="55" w:type="dxa"/>
              <w:right w:w="65" w:type="dxa"/>
            </w:tcMar>
            <w:vAlign w:val="center"/>
          </w:tcPr>
          <w:p w:rsidR="00E57435" w:rsidRDefault="00DB40B1">
            <w:pPr>
              <w:spacing w:after="0"/>
              <w:jc w:val="center"/>
            </w:pPr>
            <w:r>
              <w:rPr>
                <w:rFonts w:ascii="Times New Roman" w:hAnsi="Times New Roman"/>
                <w:sz w:val="18"/>
              </w:rPr>
              <w:t>0.055</w:t>
            </w:r>
          </w:p>
        </w:tc>
        <w:tc>
          <w:tcPr>
            <w:tcW w:w="3024" w:type="dxa"/>
            <w:tcMar>
              <w:top w:w="55" w:type="dxa"/>
              <w:left w:w="65" w:type="dxa"/>
              <w:bottom w:w="55" w:type="dxa"/>
              <w:right w:w="65" w:type="dxa"/>
            </w:tcMar>
            <w:vAlign w:val="center"/>
          </w:tcPr>
          <w:p w:rsidR="00E57435" w:rsidRDefault="00DB40B1">
            <w:pPr>
              <w:spacing w:after="0"/>
              <w:jc w:val="center"/>
            </w:pPr>
            <w:r>
              <w:rPr>
                <w:rFonts w:ascii="Times New Roman" w:hAnsi="Times New Roman"/>
                <w:sz w:val="18"/>
              </w:rPr>
              <w:t>0.043</w:t>
            </w:r>
          </w:p>
        </w:tc>
        <w:tc>
          <w:tcPr>
            <w:tcW w:w="2088" w:type="dxa"/>
            <w:tcMar>
              <w:top w:w="55" w:type="dxa"/>
              <w:left w:w="65" w:type="dxa"/>
              <w:bottom w:w="55" w:type="dxa"/>
              <w:right w:w="65" w:type="dxa"/>
            </w:tcMar>
            <w:vAlign w:val="center"/>
          </w:tcPr>
          <w:p w:rsidR="00E57435" w:rsidRDefault="00DB40B1">
            <w:pPr>
              <w:spacing w:after="0"/>
              <w:jc w:val="center"/>
            </w:pPr>
            <w:r>
              <w:rPr>
                <w:rFonts w:ascii="Times New Roman" w:hAnsi="Times New Roman"/>
                <w:sz w:val="18"/>
              </w:rPr>
              <w:t>1.241</w:t>
            </w:r>
          </w:p>
        </w:tc>
      </w:tr>
      <w:tr w:rsidR="00E57435">
        <w:trPr>
          <w:jc w:val="center"/>
        </w:trPr>
        <w:tc>
          <w:tcPr>
            <w:tcW w:w="1800" w:type="dxa"/>
            <w:tcMar>
              <w:top w:w="55" w:type="dxa"/>
              <w:left w:w="65" w:type="dxa"/>
              <w:bottom w:w="55" w:type="dxa"/>
              <w:right w:w="65" w:type="dxa"/>
            </w:tcMar>
            <w:vAlign w:val="center"/>
          </w:tcPr>
          <w:p w:rsidR="00E57435" w:rsidRDefault="00DB40B1">
            <w:pPr>
              <w:spacing w:after="0"/>
            </w:pPr>
            <w:r>
              <w:rPr>
                <w:rFonts w:ascii="Times New Roman" w:hAnsi="Times New Roman"/>
                <w:sz w:val="18"/>
              </w:rPr>
              <w:t>IFN-γ</w:t>
            </w:r>
          </w:p>
        </w:tc>
        <w:tc>
          <w:tcPr>
            <w:tcW w:w="1800" w:type="dxa"/>
            <w:tcMar>
              <w:top w:w="55" w:type="dxa"/>
              <w:left w:w="65" w:type="dxa"/>
              <w:bottom w:w="55" w:type="dxa"/>
              <w:right w:w="65" w:type="dxa"/>
            </w:tcMar>
            <w:vAlign w:val="center"/>
          </w:tcPr>
          <w:p w:rsidR="00E57435" w:rsidRDefault="00DB40B1">
            <w:pPr>
              <w:spacing w:after="0"/>
              <w:jc w:val="center"/>
            </w:pPr>
            <w:r>
              <w:rPr>
                <w:rFonts w:ascii="Times New Roman" w:hAnsi="Times New Roman"/>
                <w:sz w:val="18"/>
              </w:rPr>
              <w:t>0.059</w:t>
            </w:r>
          </w:p>
        </w:tc>
        <w:tc>
          <w:tcPr>
            <w:tcW w:w="3024" w:type="dxa"/>
            <w:tcMar>
              <w:top w:w="55" w:type="dxa"/>
              <w:left w:w="65" w:type="dxa"/>
              <w:bottom w:w="55" w:type="dxa"/>
              <w:right w:w="65" w:type="dxa"/>
            </w:tcMar>
            <w:vAlign w:val="center"/>
          </w:tcPr>
          <w:p w:rsidR="00E57435" w:rsidRDefault="00DB40B1">
            <w:pPr>
              <w:spacing w:after="0"/>
              <w:jc w:val="center"/>
            </w:pPr>
            <w:r>
              <w:rPr>
                <w:rFonts w:ascii="Times New Roman" w:hAnsi="Times New Roman"/>
                <w:sz w:val="18"/>
              </w:rPr>
              <w:t>0.033</w:t>
            </w:r>
          </w:p>
        </w:tc>
        <w:tc>
          <w:tcPr>
            <w:tcW w:w="2088" w:type="dxa"/>
            <w:tcMar>
              <w:top w:w="55" w:type="dxa"/>
              <w:left w:w="65" w:type="dxa"/>
              <w:bottom w:w="55" w:type="dxa"/>
              <w:right w:w="65" w:type="dxa"/>
            </w:tcMar>
            <w:vAlign w:val="center"/>
          </w:tcPr>
          <w:p w:rsidR="00E57435" w:rsidRDefault="00DB40B1">
            <w:pPr>
              <w:spacing w:after="0"/>
              <w:jc w:val="center"/>
            </w:pPr>
            <w:r>
              <w:rPr>
                <w:rFonts w:ascii="Times New Roman" w:hAnsi="Times New Roman"/>
                <w:sz w:val="18"/>
              </w:rPr>
              <w:t>1.230</w:t>
            </w:r>
          </w:p>
        </w:tc>
      </w:tr>
    </w:tbl>
    <w:p w:rsidR="00E57435" w:rsidRDefault="00DB40B1">
      <w:pPr>
        <w:spacing w:before="120" w:after="40"/>
      </w:pPr>
      <w:r>
        <w:rPr>
          <w:rFonts w:ascii="Times New Roman" w:hAnsi="Times New Roman"/>
          <w:sz w:val="17"/>
        </w:rPr>
        <w:t xml:space="preserve">Calibration was assessed in the same dataset used to fit the models </w:t>
      </w:r>
      <w:r>
        <w:rPr>
          <w:rFonts w:ascii="Times New Roman" w:hAnsi="Times New Roman"/>
          <w:sz w:val="17"/>
        </w:rPr>
        <w:t>and therefore represents apparent, rather than internally or externally validated, calibration.</w:t>
      </w:r>
    </w:p>
    <w:p w:rsidR="00E57435" w:rsidRDefault="00DB40B1">
      <w:pPr>
        <w:spacing w:after="40"/>
      </w:pPr>
      <w:r>
        <w:rPr>
          <w:rFonts w:ascii="Times New Roman" w:hAnsi="Times New Roman"/>
          <w:sz w:val="17"/>
        </w:rPr>
        <w:t>Each Firth penalized logistic regression model included one cytokine and was adjusted for age, sex, smoking status, and BMI.</w:t>
      </w:r>
    </w:p>
    <w:p w:rsidR="00E57435" w:rsidRDefault="00DB40B1">
      <w:pPr>
        <w:spacing w:after="40"/>
      </w:pPr>
      <w:r>
        <w:rPr>
          <w:rFonts w:ascii="Times New Roman" w:hAnsi="Times New Roman"/>
          <w:sz w:val="17"/>
        </w:rPr>
        <w:t>The Brier score summarizes the mean</w:t>
      </w:r>
      <w:r>
        <w:rPr>
          <w:rFonts w:ascii="Times New Roman" w:hAnsi="Times New Roman"/>
          <w:sz w:val="17"/>
        </w:rPr>
        <w:t xml:space="preserve"> squared difference between predicted probabilities and observed outcomes; lower values indicate smaller prediction error. Calibration-in-the-large values closer to 0 and calibration slopes closer to 1 indicate better apparent agreement between predicted a</w:t>
      </w:r>
      <w:r>
        <w:rPr>
          <w:rFonts w:ascii="Times New Roman" w:hAnsi="Times New Roman"/>
          <w:sz w:val="17"/>
        </w:rPr>
        <w:t>nd observed risks. These measures should not be interpreted as evidence of validated predictive performance.</w:t>
      </w:r>
    </w:p>
    <w:p w:rsidR="00E57435" w:rsidRDefault="00DB40B1">
      <w:pPr>
        <w:spacing w:before="20" w:after="0"/>
      </w:pPr>
      <w:r>
        <w:rPr>
          <w:rFonts w:ascii="Times New Roman" w:hAnsi="Times New Roman"/>
          <w:sz w:val="17"/>
        </w:rPr>
        <w:t>Abbreviations: IL, interleukin; IFN, interferon; BMI, body mass index.</w:t>
      </w:r>
    </w:p>
    <w:p w:rsidR="00E57435" w:rsidRDefault="00DB40B1">
      <w:r>
        <w:br w:type="page"/>
      </w:r>
    </w:p>
    <w:p w:rsidR="00E57435" w:rsidRDefault="00DB40B1">
      <w:pPr>
        <w:spacing w:after="80"/>
      </w:pPr>
      <w:r>
        <w:rPr>
          <w:rFonts w:ascii="Times New Roman" w:hAnsi="Times New Roman"/>
          <w:b/>
        </w:rPr>
        <w:lastRenderedPageBreak/>
        <w:t>Supplemental Table 5. Within-COPD correlations between circulating cytokin</w:t>
      </w:r>
      <w:r>
        <w:rPr>
          <w:rFonts w:ascii="Times New Roman" w:hAnsi="Times New Roman"/>
          <w:b/>
        </w:rPr>
        <w:t>es and selected metabolites</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224"/>
        <w:gridCol w:w="1944"/>
        <w:gridCol w:w="792"/>
        <w:gridCol w:w="1512"/>
        <w:gridCol w:w="1368"/>
        <w:gridCol w:w="3528"/>
      </w:tblGrid>
      <w:tr w:rsidR="00E57435">
        <w:trPr>
          <w:tblHeader/>
          <w:jc w:val="center"/>
        </w:trPr>
        <w:tc>
          <w:tcPr>
            <w:tcW w:w="1224" w:type="dxa"/>
            <w:shd w:val="clear" w:color="auto" w:fill="D9E2F3"/>
            <w:tcMar>
              <w:top w:w="35" w:type="dxa"/>
              <w:left w:w="35" w:type="dxa"/>
              <w:bottom w:w="35" w:type="dxa"/>
              <w:right w:w="35" w:type="dxa"/>
            </w:tcMar>
            <w:vAlign w:val="center"/>
          </w:tcPr>
          <w:p w:rsidR="00E57435" w:rsidRDefault="00DB40B1">
            <w:pPr>
              <w:spacing w:after="0"/>
            </w:pPr>
            <w:r>
              <w:rPr>
                <w:rFonts w:ascii="Times New Roman" w:hAnsi="Times New Roman"/>
                <w:b/>
                <w:sz w:val="16"/>
              </w:rPr>
              <w:t>Cytokine</w:t>
            </w:r>
          </w:p>
        </w:tc>
        <w:tc>
          <w:tcPr>
            <w:tcW w:w="1944" w:type="dxa"/>
            <w:shd w:val="clear" w:color="auto" w:fill="D9E2F3"/>
            <w:tcMar>
              <w:top w:w="35" w:type="dxa"/>
              <w:left w:w="35" w:type="dxa"/>
              <w:bottom w:w="35" w:type="dxa"/>
              <w:right w:w="35" w:type="dxa"/>
            </w:tcMar>
            <w:vAlign w:val="center"/>
          </w:tcPr>
          <w:p w:rsidR="00E57435" w:rsidRDefault="00DB40B1">
            <w:pPr>
              <w:spacing w:after="0"/>
            </w:pPr>
            <w:r>
              <w:rPr>
                <w:rFonts w:ascii="Times New Roman" w:hAnsi="Times New Roman"/>
                <w:b/>
                <w:sz w:val="16"/>
              </w:rPr>
              <w:t>Metabolite</w:t>
            </w:r>
          </w:p>
        </w:tc>
        <w:tc>
          <w:tcPr>
            <w:tcW w:w="792" w:type="dxa"/>
            <w:shd w:val="clear" w:color="auto" w:fill="D9E2F3"/>
            <w:tcMar>
              <w:top w:w="35" w:type="dxa"/>
              <w:left w:w="35" w:type="dxa"/>
              <w:bottom w:w="35" w:type="dxa"/>
              <w:right w:w="35" w:type="dxa"/>
            </w:tcMar>
            <w:vAlign w:val="center"/>
          </w:tcPr>
          <w:p w:rsidR="00E57435" w:rsidRDefault="00DB40B1">
            <w:pPr>
              <w:spacing w:after="0"/>
              <w:jc w:val="center"/>
            </w:pPr>
            <w:r>
              <w:rPr>
                <w:rFonts w:ascii="Times New Roman" w:hAnsi="Times New Roman"/>
                <w:b/>
                <w:sz w:val="16"/>
              </w:rPr>
              <w:t>N</w:t>
            </w:r>
          </w:p>
        </w:tc>
        <w:tc>
          <w:tcPr>
            <w:tcW w:w="1512" w:type="dxa"/>
            <w:shd w:val="clear" w:color="auto" w:fill="D9E2F3"/>
            <w:tcMar>
              <w:top w:w="35" w:type="dxa"/>
              <w:left w:w="35" w:type="dxa"/>
              <w:bottom w:w="35" w:type="dxa"/>
              <w:right w:w="35" w:type="dxa"/>
            </w:tcMar>
            <w:vAlign w:val="center"/>
          </w:tcPr>
          <w:p w:rsidR="00E57435" w:rsidRDefault="00DB40B1">
            <w:pPr>
              <w:spacing w:after="0"/>
              <w:jc w:val="center"/>
            </w:pPr>
            <w:r>
              <w:rPr>
                <w:rFonts w:ascii="Times New Roman" w:hAnsi="Times New Roman"/>
                <w:b/>
                <w:sz w:val="16"/>
              </w:rPr>
              <w:t>Spearman ρ</w:t>
            </w:r>
          </w:p>
        </w:tc>
        <w:tc>
          <w:tcPr>
            <w:tcW w:w="1368" w:type="dxa"/>
            <w:shd w:val="clear" w:color="auto" w:fill="D9E2F3"/>
            <w:tcMar>
              <w:top w:w="35" w:type="dxa"/>
              <w:left w:w="35" w:type="dxa"/>
              <w:bottom w:w="35" w:type="dxa"/>
              <w:right w:w="35" w:type="dxa"/>
            </w:tcMar>
            <w:vAlign w:val="center"/>
          </w:tcPr>
          <w:p w:rsidR="00E57435" w:rsidRDefault="00DB40B1">
            <w:pPr>
              <w:spacing w:after="0"/>
              <w:jc w:val="center"/>
            </w:pPr>
            <w:r>
              <w:rPr>
                <w:rFonts w:ascii="Times New Roman" w:hAnsi="Times New Roman"/>
                <w:b/>
                <w:sz w:val="16"/>
              </w:rPr>
              <w:t>P value</w:t>
            </w:r>
          </w:p>
        </w:tc>
        <w:tc>
          <w:tcPr>
            <w:tcW w:w="1728" w:type="dxa"/>
            <w:shd w:val="clear" w:color="auto" w:fill="D9E2F3"/>
            <w:tcMar>
              <w:top w:w="35" w:type="dxa"/>
              <w:left w:w="35" w:type="dxa"/>
              <w:bottom w:w="35" w:type="dxa"/>
              <w:right w:w="35" w:type="dxa"/>
            </w:tcMar>
            <w:vAlign w:val="center"/>
          </w:tcPr>
          <w:p w:rsidR="00E57435" w:rsidRDefault="00DB40B1">
            <w:pPr>
              <w:spacing w:after="0"/>
              <w:jc w:val="center"/>
            </w:pPr>
            <w:r>
              <w:rPr>
                <w:rFonts w:ascii="Times New Roman" w:hAnsi="Times New Roman"/>
                <w:b/>
                <w:sz w:val="16"/>
              </w:rPr>
              <w:t>BH-FDR q value</w:t>
            </w:r>
          </w:p>
        </w:tc>
      </w:tr>
      <w:tr w:rsidR="00E57435">
        <w:trPr>
          <w:jc w:val="center"/>
        </w:trPr>
        <w:tc>
          <w:tcPr>
            <w:tcW w:w="10368" w:type="dxa"/>
            <w:gridSpan w:val="6"/>
            <w:shd w:val="clear" w:color="auto" w:fill="EDEDED"/>
            <w:tcMar>
              <w:top w:w="18" w:type="dxa"/>
              <w:left w:w="35" w:type="dxa"/>
              <w:bottom w:w="18" w:type="dxa"/>
              <w:right w:w="35" w:type="dxa"/>
            </w:tcMar>
          </w:tcPr>
          <w:p w:rsidR="00E57435" w:rsidRDefault="00DB40B1">
            <w:pPr>
              <w:spacing w:after="0"/>
            </w:pPr>
            <w:r>
              <w:rPr>
                <w:rFonts w:ascii="Times New Roman" w:hAnsi="Times New Roman"/>
                <w:b/>
                <w:sz w:val="15"/>
              </w:rPr>
              <w:t>IL-5</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IL-5</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Cystine</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0.167</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0.228</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0.707</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IL-5</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Glutamic acid</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0.181</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0.190</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0.707</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IL-5</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Glutamine</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0.027</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0.845</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0.969</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IL-5</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Glycine</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0.103</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0.457</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0.775</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IL-5</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Lysine</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-0.023</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0.869</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0.969</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IL-5</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Ornithine</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-0.056</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0.687</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0.961</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IL-5</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Proline</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-0.012</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0.930</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0.969</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IL-5</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Tryptophan</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0.021</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0.880</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0.969</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IL-5</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LPC 16:0</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-0.019</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0.890</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0.969</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IL-5</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PC 34:2</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0.188</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0.173</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0.707</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IL-5</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PC 36:2</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0.192</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0.165</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0.707</w:t>
            </w:r>
          </w:p>
        </w:tc>
      </w:tr>
      <w:tr w:rsidR="00E57435">
        <w:trPr>
          <w:jc w:val="center"/>
        </w:trPr>
        <w:tc>
          <w:tcPr>
            <w:tcW w:w="10368" w:type="dxa"/>
            <w:gridSpan w:val="6"/>
            <w:shd w:val="clear" w:color="auto" w:fill="EDEDED"/>
            <w:tcMar>
              <w:top w:w="18" w:type="dxa"/>
              <w:left w:w="35" w:type="dxa"/>
              <w:bottom w:w="18" w:type="dxa"/>
              <w:right w:w="35" w:type="dxa"/>
            </w:tcMar>
          </w:tcPr>
          <w:p w:rsidR="00E57435" w:rsidRDefault="00DB40B1">
            <w:pPr>
              <w:spacing w:after="0"/>
            </w:pPr>
            <w:r>
              <w:rPr>
                <w:rFonts w:ascii="Times New Roman" w:hAnsi="Times New Roman"/>
                <w:b/>
                <w:sz w:val="15"/>
              </w:rPr>
              <w:t>IL-17</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IL-17</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Cystine</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0.161</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0.244</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0.707</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IL-17</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Glutamic acid</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0.022</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0.875</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0.969</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IL-17</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Glutamine</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-0.224</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0.103</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0.707</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IL-17</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Glycine</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-0.179</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0.195</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0.707</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IL-17</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Lysine</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-0.210</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0.127</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0.707</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IL-17</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Ornithine</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0.276</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0.043</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0.707</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IL-17</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Proline</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-0.005</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0.969</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0.969</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IL-17</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Tryptophan</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-0.109</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0.433</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0.775</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IL-17</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LPC 16:0</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0.091</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0.511</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0.775</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IL-17</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PC 34:2</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-0.012</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0.933</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0.969</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IL-17</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PC 36:2</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0.055</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0.695</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0.961</w:t>
            </w:r>
          </w:p>
        </w:tc>
      </w:tr>
      <w:tr w:rsidR="00E57435">
        <w:trPr>
          <w:jc w:val="center"/>
        </w:trPr>
        <w:tc>
          <w:tcPr>
            <w:tcW w:w="10368" w:type="dxa"/>
            <w:gridSpan w:val="6"/>
            <w:shd w:val="clear" w:color="auto" w:fill="EDEDED"/>
            <w:tcMar>
              <w:top w:w="18" w:type="dxa"/>
              <w:left w:w="35" w:type="dxa"/>
              <w:bottom w:w="18" w:type="dxa"/>
              <w:right w:w="35" w:type="dxa"/>
            </w:tcMar>
          </w:tcPr>
          <w:p w:rsidR="00E57435" w:rsidRDefault="00DB40B1">
            <w:pPr>
              <w:spacing w:after="0"/>
            </w:pPr>
            <w:r>
              <w:rPr>
                <w:rFonts w:ascii="Times New Roman" w:hAnsi="Times New Roman"/>
                <w:b/>
                <w:sz w:val="15"/>
              </w:rPr>
              <w:t>TSLP</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TSLP</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Cystine</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0.009</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0.948</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0.969</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TSLP</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Glutamic acid</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-0.164</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0.236</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0.707</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TSLP</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Glutamine</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-0.099</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0.478</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0.775</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TSLP</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Glycine</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0.257</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0.061</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0.707</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TSLP</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Lysine</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-0.117</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0.401</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0.775</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TSLP</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Ornithine</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-0.152</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0.273</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0.707</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TSLP</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Proline</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-0.013</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0.925</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0.969</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TSLP</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Tryptophan</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0.020</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0.889</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0.969</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TSLP</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LPC 16:0</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-0.123</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0.375</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0.775</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TSLP</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PC 34:2</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-0.185</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0.181</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0.707</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TSLP</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PC 36:2</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-0.155</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0.263</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0.707</w:t>
            </w:r>
          </w:p>
        </w:tc>
      </w:tr>
      <w:tr w:rsidR="00E57435">
        <w:trPr>
          <w:jc w:val="center"/>
        </w:trPr>
        <w:tc>
          <w:tcPr>
            <w:tcW w:w="10368" w:type="dxa"/>
            <w:gridSpan w:val="6"/>
            <w:shd w:val="clear" w:color="auto" w:fill="EDEDED"/>
            <w:tcMar>
              <w:top w:w="18" w:type="dxa"/>
              <w:left w:w="35" w:type="dxa"/>
              <w:bottom w:w="18" w:type="dxa"/>
              <w:right w:w="35" w:type="dxa"/>
            </w:tcMar>
          </w:tcPr>
          <w:p w:rsidR="00E57435" w:rsidRDefault="00DB40B1">
            <w:pPr>
              <w:spacing w:after="0"/>
            </w:pPr>
            <w:r>
              <w:rPr>
                <w:rFonts w:ascii="Times New Roman" w:hAnsi="Times New Roman"/>
                <w:b/>
                <w:sz w:val="15"/>
              </w:rPr>
              <w:t>IFN-γ</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IFN-γ</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Cystine</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-0.054</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0.699</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0.961</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IFN-γ</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Glutamic acid</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-0.035</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0.803</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0.969</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IFN-γ</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Glutamine</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0.099</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0.475</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0.775</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IFN-γ</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Glycine</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-0.231</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0.093</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0.707</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IFN-γ</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Lysine</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-0.103</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0.458</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0.775</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IFN-γ</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Ornithine</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0.097</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0.484</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0.775</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IFN-γ</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Proline</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0.131</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0.346</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0.775</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IFN-γ</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Tryptophan</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-0.121</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0.383</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0.775</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IFN-γ</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LPC 16:0</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0.092</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0.506</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0.775</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IFN-γ</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PC 34:2</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-0.171</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0.218</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0.707</w:t>
            </w:r>
          </w:p>
        </w:tc>
      </w:tr>
      <w:tr w:rsidR="00E57435">
        <w:trPr>
          <w:jc w:val="center"/>
        </w:trPr>
        <w:tc>
          <w:tcPr>
            <w:tcW w:w="1224" w:type="dxa"/>
            <w:tcMar>
              <w:top w:w="20" w:type="dxa"/>
              <w:left w:w="35" w:type="dxa"/>
              <w:bottom w:w="20" w:type="dxa"/>
              <w:right w:w="35" w:type="dxa"/>
            </w:tcMar>
            <w:vAlign w:val="center"/>
          </w:tcPr>
          <w:p w:rsidR="00E57435" w:rsidRDefault="00DB40B1">
            <w:pPr>
              <w:spacing w:after="0"/>
            </w:pPr>
            <w:r>
              <w:rPr>
                <w:rFonts w:ascii="Times New Roman" w:hAnsi="Times New Roman"/>
                <w:sz w:val="15"/>
              </w:rPr>
              <w:t>IFN-γ</w:t>
            </w:r>
          </w:p>
        </w:tc>
        <w:tc>
          <w:tcPr>
            <w:tcW w:w="1944" w:type="dxa"/>
            <w:tcMar>
              <w:top w:w="20" w:type="dxa"/>
              <w:left w:w="35" w:type="dxa"/>
              <w:bottom w:w="20" w:type="dxa"/>
              <w:right w:w="35" w:type="dxa"/>
            </w:tcMar>
            <w:vAlign w:val="center"/>
          </w:tcPr>
          <w:p w:rsidR="00E57435" w:rsidRDefault="00DB40B1">
            <w:pPr>
              <w:spacing w:after="0"/>
            </w:pPr>
            <w:r>
              <w:rPr>
                <w:rFonts w:ascii="Times New Roman" w:hAnsi="Times New Roman"/>
                <w:sz w:val="15"/>
              </w:rPr>
              <w:t>PC 36:2</w:t>
            </w:r>
          </w:p>
        </w:tc>
        <w:tc>
          <w:tcPr>
            <w:tcW w:w="79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54</w:t>
            </w:r>
          </w:p>
        </w:tc>
        <w:tc>
          <w:tcPr>
            <w:tcW w:w="1512"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-0.153</w:t>
            </w:r>
          </w:p>
        </w:tc>
        <w:tc>
          <w:tcPr>
            <w:tcW w:w="136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0.269</w:t>
            </w:r>
          </w:p>
        </w:tc>
        <w:tc>
          <w:tcPr>
            <w:tcW w:w="1728" w:type="dxa"/>
            <w:tcMar>
              <w:top w:w="20" w:type="dxa"/>
              <w:left w:w="35" w:type="dxa"/>
              <w:bottom w:w="20" w:type="dxa"/>
              <w:right w:w="35" w:type="dxa"/>
            </w:tcMar>
            <w:vAlign w:val="center"/>
          </w:tcPr>
          <w:p w:rsidR="00E57435" w:rsidRDefault="00DB40B1">
            <w:pPr>
              <w:spacing w:after="0"/>
              <w:jc w:val="center"/>
            </w:pPr>
            <w:r>
              <w:rPr>
                <w:rFonts w:ascii="Times New Roman" w:hAnsi="Times New Roman"/>
                <w:sz w:val="15"/>
              </w:rPr>
              <w:t>0.707</w:t>
            </w:r>
          </w:p>
        </w:tc>
      </w:tr>
    </w:tbl>
    <w:p w:rsidR="00E57435" w:rsidRDefault="00DB40B1">
      <w:pPr>
        <w:spacing w:before="80" w:after="20"/>
      </w:pPr>
      <w:r>
        <w:rPr>
          <w:rFonts w:ascii="Times New Roman" w:hAnsi="Times New Roman"/>
          <w:sz w:val="15"/>
        </w:rPr>
        <w:t xml:space="preserve">Spearman rank correlations </w:t>
      </w:r>
      <w:r>
        <w:rPr>
          <w:rFonts w:ascii="Times New Roman" w:hAnsi="Times New Roman"/>
          <w:sz w:val="15"/>
        </w:rPr>
        <w:t>were calculated within the 54 participants with COPD between the four quantitatively reliable cytokines and the 11 originally selected metabolites (44 tests).</w:t>
      </w:r>
    </w:p>
    <w:p w:rsidR="00E57435" w:rsidRDefault="00DB40B1">
      <w:pPr>
        <w:spacing w:after="20"/>
      </w:pPr>
      <w:r>
        <w:rPr>
          <w:rFonts w:ascii="Times New Roman" w:hAnsi="Times New Roman"/>
          <w:sz w:val="15"/>
        </w:rPr>
        <w:t>BH-FDR correction was applied across all 44 cytokine–metabolite correlation tests. No association</w:t>
      </w:r>
      <w:r>
        <w:rPr>
          <w:rFonts w:ascii="Times New Roman" w:hAnsi="Times New Roman"/>
          <w:sz w:val="15"/>
        </w:rPr>
        <w:t xml:space="preserve"> remained significant after correction for multiple testing.</w:t>
      </w:r>
    </w:p>
    <w:p w:rsidR="00E57435" w:rsidRDefault="00DB40B1">
      <w:pPr>
        <w:spacing w:after="20"/>
      </w:pPr>
      <w:r>
        <w:rPr>
          <w:rFonts w:ascii="Times New Roman" w:hAnsi="Times New Roman"/>
          <w:sz w:val="15"/>
        </w:rPr>
        <w:t>The only nominal association was IL-17 with ornithine (ρ = 0.276, P = 0.043, q = 0.707). In an exploratory rank-based partial correlation adjusted for age, sex, smoking status, and BMI, this asso</w:t>
      </w:r>
      <w:r>
        <w:rPr>
          <w:rFonts w:ascii="Times New Roman" w:hAnsi="Times New Roman"/>
          <w:sz w:val="15"/>
        </w:rPr>
        <w:t>ciation was attenuated (partial ρ = 0.253, P = 0.077).</w:t>
      </w:r>
    </w:p>
    <w:p w:rsidR="00E57435" w:rsidRDefault="00DB40B1">
      <w:pPr>
        <w:spacing w:after="20"/>
      </w:pPr>
      <w:r>
        <w:rPr>
          <w:rFonts w:ascii="Times New Roman" w:hAnsi="Times New Roman"/>
          <w:sz w:val="15"/>
        </w:rPr>
        <w:t xml:space="preserve">Abbreviations: COPD, chronic obstructive pulmonary disease; BH-FDR, Benjamini–Hochberg false discovery rate; IL, interleukin; TSLP, thymic stromal lymphopoietin; IFN, interferon; LPC, </w:t>
      </w:r>
      <w:r>
        <w:rPr>
          <w:rFonts w:ascii="Times New Roman" w:hAnsi="Times New Roman"/>
          <w:sz w:val="15"/>
        </w:rPr>
        <w:t>lysophosphatidylcholine; PC, phosphatidylcholine; BMI, body mass index.</w:t>
      </w:r>
    </w:p>
    <w:p w:rsidR="00E57435" w:rsidRDefault="00DB40B1">
      <w:pPr>
        <w:spacing w:after="80"/>
      </w:pPr>
      <w:r>
        <w:rPr>
          <w:rFonts w:ascii="Times New Roman" w:hAnsi="Times New Roman"/>
          <w:b/>
          <w:sz w:val="21"/>
        </w:rPr>
        <w:lastRenderedPageBreak/>
        <w:t>Supplemental Table 6. Within-COPD correlations between circulating cytokines and clinical characteristics</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3240"/>
        <w:gridCol w:w="792"/>
        <w:gridCol w:w="1440"/>
        <w:gridCol w:w="1296"/>
        <w:gridCol w:w="3742"/>
      </w:tblGrid>
      <w:tr w:rsidR="00E57435">
        <w:trPr>
          <w:tblHeader/>
          <w:jc w:val="center"/>
        </w:trPr>
        <w:tc>
          <w:tcPr>
            <w:tcW w:w="3240" w:type="dxa"/>
            <w:shd w:val="clear" w:color="auto" w:fill="D9E2F3"/>
            <w:tcMar>
              <w:top w:w="30" w:type="dxa"/>
              <w:left w:w="35" w:type="dxa"/>
              <w:bottom w:w="30" w:type="dxa"/>
              <w:right w:w="35" w:type="dxa"/>
            </w:tcMar>
            <w:vAlign w:val="center"/>
          </w:tcPr>
          <w:p w:rsidR="00E57435" w:rsidRDefault="00DB40B1">
            <w:pPr>
              <w:spacing w:after="0"/>
            </w:pPr>
            <w:r>
              <w:rPr>
                <w:rFonts w:ascii="Times New Roman" w:hAnsi="Times New Roman"/>
                <w:b/>
                <w:sz w:val="15"/>
              </w:rPr>
              <w:t>Clinical characteristic</w:t>
            </w:r>
          </w:p>
        </w:tc>
        <w:tc>
          <w:tcPr>
            <w:tcW w:w="792" w:type="dxa"/>
            <w:shd w:val="clear" w:color="auto" w:fill="D9E2F3"/>
            <w:tcMar>
              <w:top w:w="30" w:type="dxa"/>
              <w:left w:w="35" w:type="dxa"/>
              <w:bottom w:w="30" w:type="dxa"/>
              <w:right w:w="35" w:type="dxa"/>
            </w:tcMar>
            <w:vAlign w:val="center"/>
          </w:tcPr>
          <w:p w:rsidR="00E57435" w:rsidRDefault="00DB40B1">
            <w:pPr>
              <w:spacing w:after="0"/>
              <w:jc w:val="center"/>
            </w:pPr>
            <w:r>
              <w:rPr>
                <w:rFonts w:ascii="Times New Roman" w:hAnsi="Times New Roman"/>
                <w:b/>
                <w:sz w:val="15"/>
              </w:rPr>
              <w:t>N</w:t>
            </w:r>
          </w:p>
        </w:tc>
        <w:tc>
          <w:tcPr>
            <w:tcW w:w="1440" w:type="dxa"/>
            <w:shd w:val="clear" w:color="auto" w:fill="D9E2F3"/>
            <w:tcMar>
              <w:top w:w="30" w:type="dxa"/>
              <w:left w:w="35" w:type="dxa"/>
              <w:bottom w:w="30" w:type="dxa"/>
              <w:right w:w="35" w:type="dxa"/>
            </w:tcMar>
            <w:vAlign w:val="center"/>
          </w:tcPr>
          <w:p w:rsidR="00E57435" w:rsidRDefault="00DB40B1">
            <w:pPr>
              <w:spacing w:after="0"/>
              <w:jc w:val="center"/>
            </w:pPr>
            <w:r>
              <w:rPr>
                <w:rFonts w:ascii="Times New Roman" w:hAnsi="Times New Roman"/>
                <w:b/>
                <w:sz w:val="15"/>
              </w:rPr>
              <w:t>Spearman ρ</w:t>
            </w:r>
          </w:p>
        </w:tc>
        <w:tc>
          <w:tcPr>
            <w:tcW w:w="1296" w:type="dxa"/>
            <w:shd w:val="clear" w:color="auto" w:fill="D9E2F3"/>
            <w:tcMar>
              <w:top w:w="30" w:type="dxa"/>
              <w:left w:w="35" w:type="dxa"/>
              <w:bottom w:w="30" w:type="dxa"/>
              <w:right w:w="35" w:type="dxa"/>
            </w:tcMar>
            <w:vAlign w:val="center"/>
          </w:tcPr>
          <w:p w:rsidR="00E57435" w:rsidRDefault="00DB40B1">
            <w:pPr>
              <w:spacing w:after="0"/>
              <w:jc w:val="center"/>
            </w:pPr>
            <w:r>
              <w:rPr>
                <w:rFonts w:ascii="Times New Roman" w:hAnsi="Times New Roman"/>
                <w:b/>
                <w:sz w:val="15"/>
              </w:rPr>
              <w:t>P value</w:t>
            </w:r>
          </w:p>
        </w:tc>
        <w:tc>
          <w:tcPr>
            <w:tcW w:w="1656" w:type="dxa"/>
            <w:shd w:val="clear" w:color="auto" w:fill="D9E2F3"/>
            <w:tcMar>
              <w:top w:w="30" w:type="dxa"/>
              <w:left w:w="35" w:type="dxa"/>
              <w:bottom w:w="30" w:type="dxa"/>
              <w:right w:w="35" w:type="dxa"/>
            </w:tcMar>
            <w:vAlign w:val="center"/>
          </w:tcPr>
          <w:p w:rsidR="00E57435" w:rsidRDefault="00DB40B1">
            <w:pPr>
              <w:spacing w:after="0"/>
              <w:jc w:val="center"/>
            </w:pPr>
            <w:r>
              <w:rPr>
                <w:rFonts w:ascii="Times New Roman" w:hAnsi="Times New Roman"/>
                <w:b/>
                <w:sz w:val="15"/>
              </w:rPr>
              <w:t>BH-FDR q value</w:t>
            </w:r>
          </w:p>
        </w:tc>
      </w:tr>
      <w:tr w:rsidR="00E57435">
        <w:trPr>
          <w:jc w:val="center"/>
        </w:trPr>
        <w:tc>
          <w:tcPr>
            <w:tcW w:w="10510" w:type="dxa"/>
            <w:gridSpan w:val="5"/>
            <w:shd w:val="clear" w:color="auto" w:fill="EDEDED"/>
            <w:tcMar>
              <w:top w:w="15" w:type="dxa"/>
              <w:left w:w="35" w:type="dxa"/>
              <w:bottom w:w="15" w:type="dxa"/>
              <w:right w:w="35" w:type="dxa"/>
            </w:tcMar>
          </w:tcPr>
          <w:p w:rsidR="00E57435" w:rsidRDefault="00DB40B1">
            <w:pPr>
              <w:spacing w:after="0"/>
            </w:pPr>
            <w:r>
              <w:rPr>
                <w:rFonts w:ascii="Times New Roman" w:hAnsi="Times New Roman"/>
                <w:b/>
                <w:sz w:val="15"/>
              </w:rPr>
              <w:t>IL-5</w:t>
            </w:r>
          </w:p>
        </w:tc>
      </w:tr>
      <w:tr w:rsidR="00E57435">
        <w:trPr>
          <w:jc w:val="center"/>
        </w:trPr>
        <w:tc>
          <w:tcPr>
            <w:tcW w:w="3240" w:type="dxa"/>
            <w:tcMar>
              <w:top w:w="18" w:type="dxa"/>
              <w:left w:w="35" w:type="dxa"/>
              <w:bottom w:w="18" w:type="dxa"/>
              <w:right w:w="35" w:type="dxa"/>
            </w:tcMar>
            <w:vAlign w:val="center"/>
          </w:tcPr>
          <w:p w:rsidR="00E57435" w:rsidRDefault="00DB40B1">
            <w:pPr>
              <w:spacing w:after="0"/>
            </w:pPr>
            <w:r>
              <w:rPr>
                <w:rFonts w:ascii="Times New Roman" w:hAnsi="Times New Roman"/>
                <w:sz w:val="14"/>
              </w:rPr>
              <w:t xml:space="preserve">FEV₁ % </w:t>
            </w:r>
            <w:r>
              <w:rPr>
                <w:rFonts w:ascii="Times New Roman" w:hAnsi="Times New Roman"/>
                <w:sz w:val="14"/>
              </w:rPr>
              <w:t>predicted</w:t>
            </w:r>
          </w:p>
        </w:tc>
        <w:tc>
          <w:tcPr>
            <w:tcW w:w="792"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54</w:t>
            </w:r>
          </w:p>
        </w:tc>
        <w:tc>
          <w:tcPr>
            <w:tcW w:w="1440"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-0.279</w:t>
            </w:r>
          </w:p>
        </w:tc>
        <w:tc>
          <w:tcPr>
            <w:tcW w:w="129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0.041</w:t>
            </w:r>
          </w:p>
        </w:tc>
        <w:tc>
          <w:tcPr>
            <w:tcW w:w="165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0.328</w:t>
            </w:r>
          </w:p>
        </w:tc>
      </w:tr>
      <w:tr w:rsidR="00E57435">
        <w:trPr>
          <w:jc w:val="center"/>
        </w:trPr>
        <w:tc>
          <w:tcPr>
            <w:tcW w:w="3240" w:type="dxa"/>
            <w:tcMar>
              <w:top w:w="18" w:type="dxa"/>
              <w:left w:w="35" w:type="dxa"/>
              <w:bottom w:w="18" w:type="dxa"/>
              <w:right w:w="35" w:type="dxa"/>
            </w:tcMar>
            <w:vAlign w:val="center"/>
          </w:tcPr>
          <w:p w:rsidR="00E57435" w:rsidRDefault="00DB40B1">
            <w:pPr>
              <w:spacing w:after="0"/>
            </w:pPr>
            <w:r>
              <w:rPr>
                <w:rFonts w:ascii="Times New Roman" w:hAnsi="Times New Roman"/>
                <w:sz w:val="14"/>
              </w:rPr>
              <w:t>Post-BD FEV₁/FVC (%)</w:t>
            </w:r>
          </w:p>
        </w:tc>
        <w:tc>
          <w:tcPr>
            <w:tcW w:w="792"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54</w:t>
            </w:r>
          </w:p>
        </w:tc>
        <w:tc>
          <w:tcPr>
            <w:tcW w:w="1440"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-0.174</w:t>
            </w:r>
          </w:p>
        </w:tc>
        <w:tc>
          <w:tcPr>
            <w:tcW w:w="129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0.208</w:t>
            </w:r>
          </w:p>
        </w:tc>
        <w:tc>
          <w:tcPr>
            <w:tcW w:w="165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0.492</w:t>
            </w:r>
          </w:p>
        </w:tc>
      </w:tr>
      <w:tr w:rsidR="00E57435">
        <w:trPr>
          <w:jc w:val="center"/>
        </w:trPr>
        <w:tc>
          <w:tcPr>
            <w:tcW w:w="3240" w:type="dxa"/>
            <w:tcMar>
              <w:top w:w="18" w:type="dxa"/>
              <w:left w:w="35" w:type="dxa"/>
              <w:bottom w:w="18" w:type="dxa"/>
              <w:right w:w="35" w:type="dxa"/>
            </w:tcMar>
            <w:vAlign w:val="center"/>
          </w:tcPr>
          <w:p w:rsidR="00E57435" w:rsidRDefault="00DB40B1">
            <w:pPr>
              <w:spacing w:after="0"/>
            </w:pPr>
            <w:r>
              <w:rPr>
                <w:rFonts w:ascii="Times New Roman" w:hAnsi="Times New Roman"/>
                <w:sz w:val="14"/>
              </w:rPr>
              <w:t>CAT score</w:t>
            </w:r>
          </w:p>
        </w:tc>
        <w:tc>
          <w:tcPr>
            <w:tcW w:w="792"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52</w:t>
            </w:r>
          </w:p>
        </w:tc>
        <w:tc>
          <w:tcPr>
            <w:tcW w:w="1440"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0.379</w:t>
            </w:r>
          </w:p>
        </w:tc>
        <w:tc>
          <w:tcPr>
            <w:tcW w:w="129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0.006</w:t>
            </w:r>
          </w:p>
        </w:tc>
        <w:tc>
          <w:tcPr>
            <w:tcW w:w="165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0.124</w:t>
            </w:r>
          </w:p>
        </w:tc>
      </w:tr>
      <w:tr w:rsidR="00E57435">
        <w:trPr>
          <w:jc w:val="center"/>
        </w:trPr>
        <w:tc>
          <w:tcPr>
            <w:tcW w:w="3240" w:type="dxa"/>
            <w:tcMar>
              <w:top w:w="18" w:type="dxa"/>
              <w:left w:w="35" w:type="dxa"/>
              <w:bottom w:w="18" w:type="dxa"/>
              <w:right w:w="35" w:type="dxa"/>
            </w:tcMar>
            <w:vAlign w:val="center"/>
          </w:tcPr>
          <w:p w:rsidR="00E57435" w:rsidRDefault="00DB40B1">
            <w:pPr>
              <w:spacing w:after="0"/>
            </w:pPr>
            <w:r>
              <w:rPr>
                <w:rFonts w:ascii="Times New Roman" w:hAnsi="Times New Roman"/>
                <w:sz w:val="14"/>
              </w:rPr>
              <w:t>mMRC score</w:t>
            </w:r>
          </w:p>
        </w:tc>
        <w:tc>
          <w:tcPr>
            <w:tcW w:w="792"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52</w:t>
            </w:r>
          </w:p>
        </w:tc>
        <w:tc>
          <w:tcPr>
            <w:tcW w:w="1440"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0.138</w:t>
            </w:r>
          </w:p>
        </w:tc>
        <w:tc>
          <w:tcPr>
            <w:tcW w:w="129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0.331</w:t>
            </w:r>
          </w:p>
        </w:tc>
        <w:tc>
          <w:tcPr>
            <w:tcW w:w="165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0.661</w:t>
            </w:r>
          </w:p>
        </w:tc>
      </w:tr>
      <w:tr w:rsidR="00E57435">
        <w:trPr>
          <w:jc w:val="center"/>
        </w:trPr>
        <w:tc>
          <w:tcPr>
            <w:tcW w:w="3240" w:type="dxa"/>
            <w:tcMar>
              <w:top w:w="18" w:type="dxa"/>
              <w:left w:w="35" w:type="dxa"/>
              <w:bottom w:w="18" w:type="dxa"/>
              <w:right w:w="35" w:type="dxa"/>
            </w:tcMar>
            <w:vAlign w:val="center"/>
          </w:tcPr>
          <w:p w:rsidR="00E57435" w:rsidRDefault="00DB40B1">
            <w:pPr>
              <w:spacing w:after="0"/>
            </w:pPr>
            <w:r>
              <w:rPr>
                <w:rFonts w:ascii="Times New Roman" w:hAnsi="Times New Roman"/>
                <w:sz w:val="14"/>
              </w:rPr>
              <w:t>Blood eosinophils (/µL)</w:t>
            </w:r>
          </w:p>
        </w:tc>
        <w:tc>
          <w:tcPr>
            <w:tcW w:w="792"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53</w:t>
            </w:r>
          </w:p>
        </w:tc>
        <w:tc>
          <w:tcPr>
            <w:tcW w:w="1440"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0.210</w:t>
            </w:r>
          </w:p>
        </w:tc>
        <w:tc>
          <w:tcPr>
            <w:tcW w:w="129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0.131</w:t>
            </w:r>
          </w:p>
        </w:tc>
        <w:tc>
          <w:tcPr>
            <w:tcW w:w="165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0.492</w:t>
            </w:r>
          </w:p>
        </w:tc>
      </w:tr>
      <w:tr w:rsidR="00E57435">
        <w:trPr>
          <w:jc w:val="center"/>
        </w:trPr>
        <w:tc>
          <w:tcPr>
            <w:tcW w:w="3240" w:type="dxa"/>
            <w:tcMar>
              <w:top w:w="18" w:type="dxa"/>
              <w:left w:w="35" w:type="dxa"/>
              <w:bottom w:w="18" w:type="dxa"/>
              <w:right w:w="35" w:type="dxa"/>
            </w:tcMar>
            <w:vAlign w:val="center"/>
          </w:tcPr>
          <w:p w:rsidR="00E57435" w:rsidRDefault="00DB40B1">
            <w:pPr>
              <w:spacing w:after="0"/>
            </w:pPr>
            <w:r>
              <w:rPr>
                <w:rFonts w:ascii="Times New Roman" w:hAnsi="Times New Roman"/>
                <w:sz w:val="14"/>
              </w:rPr>
              <w:t>FeNO (ppb)</w:t>
            </w:r>
          </w:p>
        </w:tc>
        <w:tc>
          <w:tcPr>
            <w:tcW w:w="792"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54</w:t>
            </w:r>
          </w:p>
        </w:tc>
        <w:tc>
          <w:tcPr>
            <w:tcW w:w="1440"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-0.032</w:t>
            </w:r>
          </w:p>
        </w:tc>
        <w:tc>
          <w:tcPr>
            <w:tcW w:w="129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0.818</w:t>
            </w:r>
          </w:p>
        </w:tc>
        <w:tc>
          <w:tcPr>
            <w:tcW w:w="165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0.899</w:t>
            </w:r>
          </w:p>
        </w:tc>
      </w:tr>
      <w:tr w:rsidR="00E57435">
        <w:trPr>
          <w:jc w:val="center"/>
        </w:trPr>
        <w:tc>
          <w:tcPr>
            <w:tcW w:w="10510" w:type="dxa"/>
            <w:gridSpan w:val="5"/>
            <w:shd w:val="clear" w:color="auto" w:fill="EDEDED"/>
            <w:tcMar>
              <w:top w:w="15" w:type="dxa"/>
              <w:left w:w="35" w:type="dxa"/>
              <w:bottom w:w="15" w:type="dxa"/>
              <w:right w:w="35" w:type="dxa"/>
            </w:tcMar>
          </w:tcPr>
          <w:p w:rsidR="00E57435" w:rsidRDefault="00DB40B1">
            <w:pPr>
              <w:spacing w:after="0"/>
            </w:pPr>
            <w:r>
              <w:rPr>
                <w:rFonts w:ascii="Times New Roman" w:hAnsi="Times New Roman"/>
                <w:b/>
                <w:sz w:val="15"/>
              </w:rPr>
              <w:t>IL-17</w:t>
            </w:r>
          </w:p>
        </w:tc>
      </w:tr>
      <w:tr w:rsidR="00E57435">
        <w:trPr>
          <w:jc w:val="center"/>
        </w:trPr>
        <w:tc>
          <w:tcPr>
            <w:tcW w:w="3240" w:type="dxa"/>
            <w:tcMar>
              <w:top w:w="18" w:type="dxa"/>
              <w:left w:w="35" w:type="dxa"/>
              <w:bottom w:w="18" w:type="dxa"/>
              <w:right w:w="35" w:type="dxa"/>
            </w:tcMar>
            <w:vAlign w:val="center"/>
          </w:tcPr>
          <w:p w:rsidR="00E57435" w:rsidRDefault="00DB40B1">
            <w:pPr>
              <w:spacing w:after="0"/>
            </w:pPr>
            <w:r>
              <w:rPr>
                <w:rFonts w:ascii="Times New Roman" w:hAnsi="Times New Roman"/>
                <w:sz w:val="14"/>
              </w:rPr>
              <w:t>FEV₁ % predicted</w:t>
            </w:r>
          </w:p>
        </w:tc>
        <w:tc>
          <w:tcPr>
            <w:tcW w:w="792"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54</w:t>
            </w:r>
          </w:p>
        </w:tc>
        <w:tc>
          <w:tcPr>
            <w:tcW w:w="1440"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0.114</w:t>
            </w:r>
          </w:p>
        </w:tc>
        <w:tc>
          <w:tcPr>
            <w:tcW w:w="129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0.411</w:t>
            </w:r>
          </w:p>
        </w:tc>
        <w:tc>
          <w:tcPr>
            <w:tcW w:w="165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0.758</w:t>
            </w:r>
          </w:p>
        </w:tc>
      </w:tr>
      <w:tr w:rsidR="00E57435">
        <w:trPr>
          <w:jc w:val="center"/>
        </w:trPr>
        <w:tc>
          <w:tcPr>
            <w:tcW w:w="3240" w:type="dxa"/>
            <w:tcMar>
              <w:top w:w="18" w:type="dxa"/>
              <w:left w:w="35" w:type="dxa"/>
              <w:bottom w:w="18" w:type="dxa"/>
              <w:right w:w="35" w:type="dxa"/>
            </w:tcMar>
            <w:vAlign w:val="center"/>
          </w:tcPr>
          <w:p w:rsidR="00E57435" w:rsidRDefault="00DB40B1">
            <w:pPr>
              <w:spacing w:after="0"/>
            </w:pPr>
            <w:r>
              <w:rPr>
                <w:rFonts w:ascii="Times New Roman" w:hAnsi="Times New Roman"/>
                <w:sz w:val="14"/>
              </w:rPr>
              <w:t>Post-BD FEV₁/FVC (%)</w:t>
            </w:r>
          </w:p>
        </w:tc>
        <w:tc>
          <w:tcPr>
            <w:tcW w:w="792"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54</w:t>
            </w:r>
          </w:p>
        </w:tc>
        <w:tc>
          <w:tcPr>
            <w:tcW w:w="1440"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0.346</w:t>
            </w:r>
          </w:p>
        </w:tc>
        <w:tc>
          <w:tcPr>
            <w:tcW w:w="129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0.010</w:t>
            </w:r>
          </w:p>
        </w:tc>
        <w:tc>
          <w:tcPr>
            <w:tcW w:w="165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0.124</w:t>
            </w:r>
          </w:p>
        </w:tc>
      </w:tr>
      <w:tr w:rsidR="00E57435">
        <w:trPr>
          <w:jc w:val="center"/>
        </w:trPr>
        <w:tc>
          <w:tcPr>
            <w:tcW w:w="3240" w:type="dxa"/>
            <w:tcMar>
              <w:top w:w="18" w:type="dxa"/>
              <w:left w:w="35" w:type="dxa"/>
              <w:bottom w:w="18" w:type="dxa"/>
              <w:right w:w="35" w:type="dxa"/>
            </w:tcMar>
            <w:vAlign w:val="center"/>
          </w:tcPr>
          <w:p w:rsidR="00E57435" w:rsidRDefault="00DB40B1">
            <w:pPr>
              <w:spacing w:after="0"/>
            </w:pPr>
            <w:r>
              <w:rPr>
                <w:rFonts w:ascii="Times New Roman" w:hAnsi="Times New Roman"/>
                <w:sz w:val="14"/>
              </w:rPr>
              <w:t>CAT score</w:t>
            </w:r>
          </w:p>
        </w:tc>
        <w:tc>
          <w:tcPr>
            <w:tcW w:w="792"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52</w:t>
            </w:r>
          </w:p>
        </w:tc>
        <w:tc>
          <w:tcPr>
            <w:tcW w:w="1440"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0.031</w:t>
            </w:r>
          </w:p>
        </w:tc>
        <w:tc>
          <w:tcPr>
            <w:tcW w:w="129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0.828</w:t>
            </w:r>
          </w:p>
        </w:tc>
        <w:tc>
          <w:tcPr>
            <w:tcW w:w="165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0.899</w:t>
            </w:r>
          </w:p>
        </w:tc>
      </w:tr>
      <w:tr w:rsidR="00E57435">
        <w:trPr>
          <w:jc w:val="center"/>
        </w:trPr>
        <w:tc>
          <w:tcPr>
            <w:tcW w:w="3240" w:type="dxa"/>
            <w:tcMar>
              <w:top w:w="18" w:type="dxa"/>
              <w:left w:w="35" w:type="dxa"/>
              <w:bottom w:w="18" w:type="dxa"/>
              <w:right w:w="35" w:type="dxa"/>
            </w:tcMar>
            <w:vAlign w:val="center"/>
          </w:tcPr>
          <w:p w:rsidR="00E57435" w:rsidRDefault="00DB40B1">
            <w:pPr>
              <w:spacing w:after="0"/>
            </w:pPr>
            <w:r>
              <w:rPr>
                <w:rFonts w:ascii="Times New Roman" w:hAnsi="Times New Roman"/>
                <w:sz w:val="14"/>
              </w:rPr>
              <w:t>mMRC score</w:t>
            </w:r>
          </w:p>
        </w:tc>
        <w:tc>
          <w:tcPr>
            <w:tcW w:w="792"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52</w:t>
            </w:r>
          </w:p>
        </w:tc>
        <w:tc>
          <w:tcPr>
            <w:tcW w:w="1440"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-0.026</w:t>
            </w:r>
          </w:p>
        </w:tc>
        <w:tc>
          <w:tcPr>
            <w:tcW w:w="129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0.857</w:t>
            </w:r>
          </w:p>
        </w:tc>
        <w:tc>
          <w:tcPr>
            <w:tcW w:w="165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0.899</w:t>
            </w:r>
          </w:p>
        </w:tc>
      </w:tr>
      <w:tr w:rsidR="00E57435">
        <w:trPr>
          <w:jc w:val="center"/>
        </w:trPr>
        <w:tc>
          <w:tcPr>
            <w:tcW w:w="3240" w:type="dxa"/>
            <w:tcMar>
              <w:top w:w="18" w:type="dxa"/>
              <w:left w:w="35" w:type="dxa"/>
              <w:bottom w:w="18" w:type="dxa"/>
              <w:right w:w="35" w:type="dxa"/>
            </w:tcMar>
            <w:vAlign w:val="center"/>
          </w:tcPr>
          <w:p w:rsidR="00E57435" w:rsidRDefault="00DB40B1">
            <w:pPr>
              <w:spacing w:after="0"/>
            </w:pPr>
            <w:r>
              <w:rPr>
                <w:rFonts w:ascii="Times New Roman" w:hAnsi="Times New Roman"/>
                <w:sz w:val="14"/>
              </w:rPr>
              <w:t>Blood eosinophils (/µL)</w:t>
            </w:r>
          </w:p>
        </w:tc>
        <w:tc>
          <w:tcPr>
            <w:tcW w:w="792"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53</w:t>
            </w:r>
          </w:p>
        </w:tc>
        <w:tc>
          <w:tcPr>
            <w:tcW w:w="1440"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0.070</w:t>
            </w:r>
          </w:p>
        </w:tc>
        <w:tc>
          <w:tcPr>
            <w:tcW w:w="129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0.618</w:t>
            </w:r>
          </w:p>
        </w:tc>
        <w:tc>
          <w:tcPr>
            <w:tcW w:w="165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0.899</w:t>
            </w:r>
          </w:p>
        </w:tc>
      </w:tr>
      <w:tr w:rsidR="00E57435">
        <w:trPr>
          <w:jc w:val="center"/>
        </w:trPr>
        <w:tc>
          <w:tcPr>
            <w:tcW w:w="3240" w:type="dxa"/>
            <w:tcMar>
              <w:top w:w="18" w:type="dxa"/>
              <w:left w:w="35" w:type="dxa"/>
              <w:bottom w:w="18" w:type="dxa"/>
              <w:right w:w="35" w:type="dxa"/>
            </w:tcMar>
            <w:vAlign w:val="center"/>
          </w:tcPr>
          <w:p w:rsidR="00E57435" w:rsidRDefault="00DB40B1">
            <w:pPr>
              <w:spacing w:after="0"/>
            </w:pPr>
            <w:r>
              <w:rPr>
                <w:rFonts w:ascii="Times New Roman" w:hAnsi="Times New Roman"/>
                <w:sz w:val="14"/>
              </w:rPr>
              <w:t>FeNO (ppb)</w:t>
            </w:r>
          </w:p>
        </w:tc>
        <w:tc>
          <w:tcPr>
            <w:tcW w:w="792"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54</w:t>
            </w:r>
          </w:p>
        </w:tc>
        <w:tc>
          <w:tcPr>
            <w:tcW w:w="1440"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0.036</w:t>
            </w:r>
          </w:p>
        </w:tc>
        <w:tc>
          <w:tcPr>
            <w:tcW w:w="129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0.797</w:t>
            </w:r>
          </w:p>
        </w:tc>
        <w:tc>
          <w:tcPr>
            <w:tcW w:w="165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0.899</w:t>
            </w:r>
          </w:p>
        </w:tc>
      </w:tr>
      <w:tr w:rsidR="00E57435">
        <w:trPr>
          <w:jc w:val="center"/>
        </w:trPr>
        <w:tc>
          <w:tcPr>
            <w:tcW w:w="10510" w:type="dxa"/>
            <w:gridSpan w:val="5"/>
            <w:shd w:val="clear" w:color="auto" w:fill="EDEDED"/>
            <w:tcMar>
              <w:top w:w="15" w:type="dxa"/>
              <w:left w:w="35" w:type="dxa"/>
              <w:bottom w:w="15" w:type="dxa"/>
              <w:right w:w="35" w:type="dxa"/>
            </w:tcMar>
          </w:tcPr>
          <w:p w:rsidR="00E57435" w:rsidRDefault="00DB40B1">
            <w:pPr>
              <w:spacing w:after="0"/>
            </w:pPr>
            <w:r>
              <w:rPr>
                <w:rFonts w:ascii="Times New Roman" w:hAnsi="Times New Roman"/>
                <w:b/>
                <w:sz w:val="15"/>
              </w:rPr>
              <w:t>TSLP</w:t>
            </w:r>
          </w:p>
        </w:tc>
      </w:tr>
      <w:tr w:rsidR="00E57435">
        <w:trPr>
          <w:jc w:val="center"/>
        </w:trPr>
        <w:tc>
          <w:tcPr>
            <w:tcW w:w="3240" w:type="dxa"/>
            <w:tcMar>
              <w:top w:w="18" w:type="dxa"/>
              <w:left w:w="35" w:type="dxa"/>
              <w:bottom w:w="18" w:type="dxa"/>
              <w:right w:w="35" w:type="dxa"/>
            </w:tcMar>
            <w:vAlign w:val="center"/>
          </w:tcPr>
          <w:p w:rsidR="00E57435" w:rsidRDefault="00DB40B1">
            <w:pPr>
              <w:spacing w:after="0"/>
            </w:pPr>
            <w:r>
              <w:rPr>
                <w:rFonts w:ascii="Times New Roman" w:hAnsi="Times New Roman"/>
                <w:sz w:val="14"/>
              </w:rPr>
              <w:t>FEV₁ % predicted</w:t>
            </w:r>
          </w:p>
        </w:tc>
        <w:tc>
          <w:tcPr>
            <w:tcW w:w="792"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54</w:t>
            </w:r>
          </w:p>
        </w:tc>
        <w:tc>
          <w:tcPr>
            <w:tcW w:w="1440"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0.186</w:t>
            </w:r>
          </w:p>
        </w:tc>
        <w:tc>
          <w:tcPr>
            <w:tcW w:w="129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0.178</w:t>
            </w:r>
          </w:p>
        </w:tc>
        <w:tc>
          <w:tcPr>
            <w:tcW w:w="165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0.492</w:t>
            </w:r>
          </w:p>
        </w:tc>
      </w:tr>
      <w:tr w:rsidR="00E57435">
        <w:trPr>
          <w:jc w:val="center"/>
        </w:trPr>
        <w:tc>
          <w:tcPr>
            <w:tcW w:w="3240" w:type="dxa"/>
            <w:tcMar>
              <w:top w:w="18" w:type="dxa"/>
              <w:left w:w="35" w:type="dxa"/>
              <w:bottom w:w="18" w:type="dxa"/>
              <w:right w:w="35" w:type="dxa"/>
            </w:tcMar>
            <w:vAlign w:val="center"/>
          </w:tcPr>
          <w:p w:rsidR="00E57435" w:rsidRDefault="00DB40B1">
            <w:pPr>
              <w:spacing w:after="0"/>
            </w:pPr>
            <w:r>
              <w:rPr>
                <w:rFonts w:ascii="Times New Roman" w:hAnsi="Times New Roman"/>
                <w:sz w:val="14"/>
              </w:rPr>
              <w:t xml:space="preserve">Post-BD </w:t>
            </w:r>
            <w:r>
              <w:rPr>
                <w:rFonts w:ascii="Times New Roman" w:hAnsi="Times New Roman"/>
                <w:sz w:val="14"/>
              </w:rPr>
              <w:t>FEV₁/FVC (%)</w:t>
            </w:r>
          </w:p>
        </w:tc>
        <w:tc>
          <w:tcPr>
            <w:tcW w:w="792"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54</w:t>
            </w:r>
          </w:p>
        </w:tc>
        <w:tc>
          <w:tcPr>
            <w:tcW w:w="1440"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-0.015</w:t>
            </w:r>
          </w:p>
        </w:tc>
        <w:tc>
          <w:tcPr>
            <w:tcW w:w="129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0.915</w:t>
            </w:r>
          </w:p>
        </w:tc>
        <w:tc>
          <w:tcPr>
            <w:tcW w:w="165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0.915</w:t>
            </w:r>
          </w:p>
        </w:tc>
      </w:tr>
      <w:tr w:rsidR="00E57435">
        <w:trPr>
          <w:jc w:val="center"/>
        </w:trPr>
        <w:tc>
          <w:tcPr>
            <w:tcW w:w="3240" w:type="dxa"/>
            <w:tcMar>
              <w:top w:w="18" w:type="dxa"/>
              <w:left w:w="35" w:type="dxa"/>
              <w:bottom w:w="18" w:type="dxa"/>
              <w:right w:w="35" w:type="dxa"/>
            </w:tcMar>
            <w:vAlign w:val="center"/>
          </w:tcPr>
          <w:p w:rsidR="00E57435" w:rsidRDefault="00DB40B1">
            <w:pPr>
              <w:spacing w:after="0"/>
            </w:pPr>
            <w:r>
              <w:rPr>
                <w:rFonts w:ascii="Times New Roman" w:hAnsi="Times New Roman"/>
                <w:sz w:val="14"/>
              </w:rPr>
              <w:t>CAT score</w:t>
            </w:r>
          </w:p>
        </w:tc>
        <w:tc>
          <w:tcPr>
            <w:tcW w:w="792"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52</w:t>
            </w:r>
          </w:p>
        </w:tc>
        <w:tc>
          <w:tcPr>
            <w:tcW w:w="1440"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-0.203</w:t>
            </w:r>
          </w:p>
        </w:tc>
        <w:tc>
          <w:tcPr>
            <w:tcW w:w="129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0.149</w:t>
            </w:r>
          </w:p>
        </w:tc>
        <w:tc>
          <w:tcPr>
            <w:tcW w:w="165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0.492</w:t>
            </w:r>
          </w:p>
        </w:tc>
      </w:tr>
      <w:tr w:rsidR="00E57435">
        <w:trPr>
          <w:jc w:val="center"/>
        </w:trPr>
        <w:tc>
          <w:tcPr>
            <w:tcW w:w="3240" w:type="dxa"/>
            <w:tcMar>
              <w:top w:w="18" w:type="dxa"/>
              <w:left w:w="35" w:type="dxa"/>
              <w:bottom w:w="18" w:type="dxa"/>
              <w:right w:w="35" w:type="dxa"/>
            </w:tcMar>
            <w:vAlign w:val="center"/>
          </w:tcPr>
          <w:p w:rsidR="00E57435" w:rsidRDefault="00DB40B1">
            <w:pPr>
              <w:spacing w:after="0"/>
            </w:pPr>
            <w:r>
              <w:rPr>
                <w:rFonts w:ascii="Times New Roman" w:hAnsi="Times New Roman"/>
                <w:sz w:val="14"/>
              </w:rPr>
              <w:t>mMRC score</w:t>
            </w:r>
          </w:p>
        </w:tc>
        <w:tc>
          <w:tcPr>
            <w:tcW w:w="792"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52</w:t>
            </w:r>
          </w:p>
        </w:tc>
        <w:tc>
          <w:tcPr>
            <w:tcW w:w="1440"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-0.049</w:t>
            </w:r>
          </w:p>
        </w:tc>
        <w:tc>
          <w:tcPr>
            <w:tcW w:w="129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0.729</w:t>
            </w:r>
          </w:p>
        </w:tc>
        <w:tc>
          <w:tcPr>
            <w:tcW w:w="165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0.899</w:t>
            </w:r>
          </w:p>
        </w:tc>
      </w:tr>
      <w:tr w:rsidR="00E57435">
        <w:trPr>
          <w:jc w:val="center"/>
        </w:trPr>
        <w:tc>
          <w:tcPr>
            <w:tcW w:w="3240" w:type="dxa"/>
            <w:tcMar>
              <w:top w:w="18" w:type="dxa"/>
              <w:left w:w="35" w:type="dxa"/>
              <w:bottom w:w="18" w:type="dxa"/>
              <w:right w:w="35" w:type="dxa"/>
            </w:tcMar>
            <w:vAlign w:val="center"/>
          </w:tcPr>
          <w:p w:rsidR="00E57435" w:rsidRDefault="00DB40B1">
            <w:pPr>
              <w:spacing w:after="0"/>
            </w:pPr>
            <w:r>
              <w:rPr>
                <w:rFonts w:ascii="Times New Roman" w:hAnsi="Times New Roman"/>
                <w:sz w:val="14"/>
              </w:rPr>
              <w:t>Blood eosinophils (/µL)</w:t>
            </w:r>
          </w:p>
        </w:tc>
        <w:tc>
          <w:tcPr>
            <w:tcW w:w="792"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53</w:t>
            </w:r>
          </w:p>
        </w:tc>
        <w:tc>
          <w:tcPr>
            <w:tcW w:w="1440"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0.025</w:t>
            </w:r>
          </w:p>
        </w:tc>
        <w:tc>
          <w:tcPr>
            <w:tcW w:w="129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0.861</w:t>
            </w:r>
          </w:p>
        </w:tc>
        <w:tc>
          <w:tcPr>
            <w:tcW w:w="165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0.899</w:t>
            </w:r>
          </w:p>
        </w:tc>
      </w:tr>
      <w:tr w:rsidR="00E57435">
        <w:trPr>
          <w:jc w:val="center"/>
        </w:trPr>
        <w:tc>
          <w:tcPr>
            <w:tcW w:w="3240" w:type="dxa"/>
            <w:tcMar>
              <w:top w:w="18" w:type="dxa"/>
              <w:left w:w="35" w:type="dxa"/>
              <w:bottom w:w="18" w:type="dxa"/>
              <w:right w:w="35" w:type="dxa"/>
            </w:tcMar>
            <w:vAlign w:val="center"/>
          </w:tcPr>
          <w:p w:rsidR="00E57435" w:rsidRDefault="00DB40B1">
            <w:pPr>
              <w:spacing w:after="0"/>
            </w:pPr>
            <w:r>
              <w:rPr>
                <w:rFonts w:ascii="Times New Roman" w:hAnsi="Times New Roman"/>
                <w:sz w:val="14"/>
              </w:rPr>
              <w:t>FeNO (ppb)</w:t>
            </w:r>
          </w:p>
        </w:tc>
        <w:tc>
          <w:tcPr>
            <w:tcW w:w="792"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54</w:t>
            </w:r>
          </w:p>
        </w:tc>
        <w:tc>
          <w:tcPr>
            <w:tcW w:w="1440"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-0.065</w:t>
            </w:r>
          </w:p>
        </w:tc>
        <w:tc>
          <w:tcPr>
            <w:tcW w:w="129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0.639</w:t>
            </w:r>
          </w:p>
        </w:tc>
        <w:tc>
          <w:tcPr>
            <w:tcW w:w="165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0.899</w:t>
            </w:r>
          </w:p>
        </w:tc>
      </w:tr>
      <w:tr w:rsidR="00E57435">
        <w:trPr>
          <w:jc w:val="center"/>
        </w:trPr>
        <w:tc>
          <w:tcPr>
            <w:tcW w:w="10510" w:type="dxa"/>
            <w:gridSpan w:val="5"/>
            <w:shd w:val="clear" w:color="auto" w:fill="EDEDED"/>
            <w:tcMar>
              <w:top w:w="15" w:type="dxa"/>
              <w:left w:w="35" w:type="dxa"/>
              <w:bottom w:w="15" w:type="dxa"/>
              <w:right w:w="35" w:type="dxa"/>
            </w:tcMar>
          </w:tcPr>
          <w:p w:rsidR="00E57435" w:rsidRDefault="00DB40B1">
            <w:pPr>
              <w:spacing w:after="0"/>
            </w:pPr>
            <w:r>
              <w:rPr>
                <w:rFonts w:ascii="Times New Roman" w:hAnsi="Times New Roman"/>
                <w:b/>
                <w:sz w:val="15"/>
              </w:rPr>
              <w:t>IFN-γ</w:t>
            </w:r>
          </w:p>
        </w:tc>
      </w:tr>
      <w:tr w:rsidR="00E57435">
        <w:trPr>
          <w:jc w:val="center"/>
        </w:trPr>
        <w:tc>
          <w:tcPr>
            <w:tcW w:w="3240" w:type="dxa"/>
            <w:tcMar>
              <w:top w:w="18" w:type="dxa"/>
              <w:left w:w="35" w:type="dxa"/>
              <w:bottom w:w="18" w:type="dxa"/>
              <w:right w:w="35" w:type="dxa"/>
            </w:tcMar>
            <w:vAlign w:val="center"/>
          </w:tcPr>
          <w:p w:rsidR="00E57435" w:rsidRDefault="00DB40B1">
            <w:pPr>
              <w:spacing w:after="0"/>
            </w:pPr>
            <w:r>
              <w:rPr>
                <w:rFonts w:ascii="Times New Roman" w:hAnsi="Times New Roman"/>
                <w:sz w:val="14"/>
              </w:rPr>
              <w:t>FEV₁ % predicted</w:t>
            </w:r>
          </w:p>
        </w:tc>
        <w:tc>
          <w:tcPr>
            <w:tcW w:w="792"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54</w:t>
            </w:r>
          </w:p>
        </w:tc>
        <w:tc>
          <w:tcPr>
            <w:tcW w:w="1440"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0.249</w:t>
            </w:r>
          </w:p>
        </w:tc>
        <w:tc>
          <w:tcPr>
            <w:tcW w:w="129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0.070</w:t>
            </w:r>
          </w:p>
        </w:tc>
        <w:tc>
          <w:tcPr>
            <w:tcW w:w="165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0.399</w:t>
            </w:r>
          </w:p>
        </w:tc>
      </w:tr>
      <w:tr w:rsidR="00E57435">
        <w:trPr>
          <w:jc w:val="center"/>
        </w:trPr>
        <w:tc>
          <w:tcPr>
            <w:tcW w:w="3240" w:type="dxa"/>
            <w:tcMar>
              <w:top w:w="18" w:type="dxa"/>
              <w:left w:w="35" w:type="dxa"/>
              <w:bottom w:w="18" w:type="dxa"/>
              <w:right w:w="35" w:type="dxa"/>
            </w:tcMar>
            <w:vAlign w:val="center"/>
          </w:tcPr>
          <w:p w:rsidR="00E57435" w:rsidRDefault="00DB40B1">
            <w:pPr>
              <w:spacing w:after="0"/>
            </w:pPr>
            <w:r>
              <w:rPr>
                <w:rFonts w:ascii="Times New Roman" w:hAnsi="Times New Roman"/>
                <w:sz w:val="14"/>
              </w:rPr>
              <w:t>Post-BD FEV₁/FVC (%)</w:t>
            </w:r>
          </w:p>
        </w:tc>
        <w:tc>
          <w:tcPr>
            <w:tcW w:w="792"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54</w:t>
            </w:r>
          </w:p>
        </w:tc>
        <w:tc>
          <w:tcPr>
            <w:tcW w:w="1440"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0.238</w:t>
            </w:r>
          </w:p>
        </w:tc>
        <w:tc>
          <w:tcPr>
            <w:tcW w:w="129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0.083</w:t>
            </w:r>
          </w:p>
        </w:tc>
        <w:tc>
          <w:tcPr>
            <w:tcW w:w="165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0.399</w:t>
            </w:r>
          </w:p>
        </w:tc>
      </w:tr>
      <w:tr w:rsidR="00E57435">
        <w:trPr>
          <w:jc w:val="center"/>
        </w:trPr>
        <w:tc>
          <w:tcPr>
            <w:tcW w:w="3240" w:type="dxa"/>
            <w:tcMar>
              <w:top w:w="18" w:type="dxa"/>
              <w:left w:w="35" w:type="dxa"/>
              <w:bottom w:w="18" w:type="dxa"/>
              <w:right w:w="35" w:type="dxa"/>
            </w:tcMar>
            <w:vAlign w:val="center"/>
          </w:tcPr>
          <w:p w:rsidR="00E57435" w:rsidRDefault="00DB40B1">
            <w:pPr>
              <w:spacing w:after="0"/>
            </w:pPr>
            <w:r>
              <w:rPr>
                <w:rFonts w:ascii="Times New Roman" w:hAnsi="Times New Roman"/>
                <w:sz w:val="14"/>
              </w:rPr>
              <w:t>CAT score</w:t>
            </w:r>
          </w:p>
        </w:tc>
        <w:tc>
          <w:tcPr>
            <w:tcW w:w="792"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52</w:t>
            </w:r>
          </w:p>
        </w:tc>
        <w:tc>
          <w:tcPr>
            <w:tcW w:w="1440"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0.059</w:t>
            </w:r>
          </w:p>
        </w:tc>
        <w:tc>
          <w:tcPr>
            <w:tcW w:w="129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0.677</w:t>
            </w:r>
          </w:p>
        </w:tc>
        <w:tc>
          <w:tcPr>
            <w:tcW w:w="165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0.899</w:t>
            </w:r>
          </w:p>
        </w:tc>
      </w:tr>
      <w:tr w:rsidR="00E57435">
        <w:trPr>
          <w:jc w:val="center"/>
        </w:trPr>
        <w:tc>
          <w:tcPr>
            <w:tcW w:w="3240" w:type="dxa"/>
            <w:tcMar>
              <w:top w:w="18" w:type="dxa"/>
              <w:left w:w="35" w:type="dxa"/>
              <w:bottom w:w="18" w:type="dxa"/>
              <w:right w:w="35" w:type="dxa"/>
            </w:tcMar>
            <w:vAlign w:val="center"/>
          </w:tcPr>
          <w:p w:rsidR="00E57435" w:rsidRDefault="00DB40B1">
            <w:pPr>
              <w:spacing w:after="0"/>
            </w:pPr>
            <w:r>
              <w:rPr>
                <w:rFonts w:ascii="Times New Roman" w:hAnsi="Times New Roman"/>
                <w:sz w:val="14"/>
              </w:rPr>
              <w:t>mMRC score</w:t>
            </w:r>
          </w:p>
        </w:tc>
        <w:tc>
          <w:tcPr>
            <w:tcW w:w="792"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52</w:t>
            </w:r>
          </w:p>
        </w:tc>
        <w:tc>
          <w:tcPr>
            <w:tcW w:w="1440"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-0.039</w:t>
            </w:r>
          </w:p>
        </w:tc>
        <w:tc>
          <w:tcPr>
            <w:tcW w:w="129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0.786</w:t>
            </w:r>
          </w:p>
        </w:tc>
        <w:tc>
          <w:tcPr>
            <w:tcW w:w="165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0.899</w:t>
            </w:r>
          </w:p>
        </w:tc>
      </w:tr>
      <w:tr w:rsidR="00E57435">
        <w:trPr>
          <w:jc w:val="center"/>
        </w:trPr>
        <w:tc>
          <w:tcPr>
            <w:tcW w:w="3240" w:type="dxa"/>
            <w:tcMar>
              <w:top w:w="18" w:type="dxa"/>
              <w:left w:w="35" w:type="dxa"/>
              <w:bottom w:w="18" w:type="dxa"/>
              <w:right w:w="35" w:type="dxa"/>
            </w:tcMar>
            <w:vAlign w:val="center"/>
          </w:tcPr>
          <w:p w:rsidR="00E57435" w:rsidRDefault="00DB40B1">
            <w:pPr>
              <w:spacing w:after="0"/>
            </w:pPr>
            <w:r>
              <w:rPr>
                <w:rFonts w:ascii="Times New Roman" w:hAnsi="Times New Roman"/>
                <w:sz w:val="14"/>
              </w:rPr>
              <w:t>Blood eosinophils (/µL)</w:t>
            </w:r>
          </w:p>
        </w:tc>
        <w:tc>
          <w:tcPr>
            <w:tcW w:w="792"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53</w:t>
            </w:r>
          </w:p>
        </w:tc>
        <w:tc>
          <w:tcPr>
            <w:tcW w:w="1440"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0.176</w:t>
            </w:r>
          </w:p>
        </w:tc>
        <w:tc>
          <w:tcPr>
            <w:tcW w:w="129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0.207</w:t>
            </w:r>
          </w:p>
        </w:tc>
        <w:tc>
          <w:tcPr>
            <w:tcW w:w="165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0.492</w:t>
            </w:r>
          </w:p>
        </w:tc>
      </w:tr>
      <w:tr w:rsidR="00E57435">
        <w:trPr>
          <w:jc w:val="center"/>
        </w:trPr>
        <w:tc>
          <w:tcPr>
            <w:tcW w:w="3240" w:type="dxa"/>
            <w:tcMar>
              <w:top w:w="18" w:type="dxa"/>
              <w:left w:w="35" w:type="dxa"/>
              <w:bottom w:w="18" w:type="dxa"/>
              <w:right w:w="35" w:type="dxa"/>
            </w:tcMar>
            <w:vAlign w:val="center"/>
          </w:tcPr>
          <w:p w:rsidR="00E57435" w:rsidRDefault="00DB40B1">
            <w:pPr>
              <w:spacing w:after="0"/>
            </w:pPr>
            <w:r>
              <w:rPr>
                <w:rFonts w:ascii="Times New Roman" w:hAnsi="Times New Roman"/>
                <w:sz w:val="14"/>
              </w:rPr>
              <w:t>FeNO (ppb)</w:t>
            </w:r>
          </w:p>
        </w:tc>
        <w:tc>
          <w:tcPr>
            <w:tcW w:w="792"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54</w:t>
            </w:r>
          </w:p>
        </w:tc>
        <w:tc>
          <w:tcPr>
            <w:tcW w:w="1440"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0.168</w:t>
            </w:r>
          </w:p>
        </w:tc>
        <w:tc>
          <w:tcPr>
            <w:tcW w:w="129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0.225</w:t>
            </w:r>
          </w:p>
        </w:tc>
        <w:tc>
          <w:tcPr>
            <w:tcW w:w="1656" w:type="dxa"/>
            <w:tcMar>
              <w:top w:w="18" w:type="dxa"/>
              <w:left w:w="35" w:type="dxa"/>
              <w:bottom w:w="18" w:type="dxa"/>
              <w:right w:w="35" w:type="dxa"/>
            </w:tcMar>
            <w:vAlign w:val="center"/>
          </w:tcPr>
          <w:p w:rsidR="00E57435" w:rsidRDefault="00DB40B1">
            <w:pPr>
              <w:spacing w:after="0"/>
              <w:jc w:val="center"/>
            </w:pPr>
            <w:r>
              <w:rPr>
                <w:rFonts w:ascii="Times New Roman" w:hAnsi="Times New Roman"/>
                <w:sz w:val="14"/>
              </w:rPr>
              <w:t>0.492</w:t>
            </w:r>
          </w:p>
        </w:tc>
      </w:tr>
    </w:tbl>
    <w:p w:rsidR="00E57435" w:rsidRDefault="00DB40B1">
      <w:pPr>
        <w:spacing w:before="60" w:after="10"/>
      </w:pPr>
      <w:r>
        <w:rPr>
          <w:rFonts w:ascii="Times New Roman" w:hAnsi="Times New Roman"/>
          <w:sz w:val="14"/>
        </w:rPr>
        <w:t xml:space="preserve">Spearman rank correlations were calculated within patients with COPD between the four </w:t>
      </w:r>
      <w:r>
        <w:rPr>
          <w:rFonts w:ascii="Times New Roman" w:hAnsi="Times New Roman"/>
          <w:sz w:val="14"/>
        </w:rPr>
        <w:t>quantitatively reliable cytokines and six prespecified clinical characteristics. Sample size varied because of missing clinical data.</w:t>
      </w:r>
    </w:p>
    <w:p w:rsidR="00E57435" w:rsidRDefault="00DB40B1">
      <w:pPr>
        <w:spacing w:after="10"/>
      </w:pPr>
      <w:r>
        <w:rPr>
          <w:rFonts w:ascii="Times New Roman" w:hAnsi="Times New Roman"/>
          <w:sz w:val="14"/>
        </w:rPr>
        <w:t>BH-FDR correction was applied across all 24 cytokine–clinical correlation tests. No association remained significant after</w:t>
      </w:r>
      <w:r>
        <w:rPr>
          <w:rFonts w:ascii="Times New Roman" w:hAnsi="Times New Roman"/>
          <w:sz w:val="14"/>
        </w:rPr>
        <w:t xml:space="preserve"> correction for multiple testing.</w:t>
      </w:r>
    </w:p>
    <w:p w:rsidR="00E57435" w:rsidRDefault="00DB40B1">
      <w:pPr>
        <w:spacing w:after="10"/>
      </w:pPr>
      <w:r>
        <w:rPr>
          <w:rFonts w:ascii="Times New Roman" w:hAnsi="Times New Roman"/>
          <w:sz w:val="14"/>
        </w:rPr>
        <w:t>The nominal associations with P &lt; 0.05 were IL-5 with CAT score (ρ = 0.379, P = 0.006, q = 0.124), IL-17 with post-BD FEV₁/FVC (ρ = 0.346, P = 0.010, q = 0.124), and IL-5 with FEV₁ % predicted (ρ = −0.279, P = 0.041, q = 0</w:t>
      </w:r>
      <w:r>
        <w:rPr>
          <w:rFonts w:ascii="Times New Roman" w:hAnsi="Times New Roman"/>
          <w:sz w:val="14"/>
        </w:rPr>
        <w:t>.328). Exploratory rank-based partial correlations adjusted for age, sex, smoking status, and BMI were ρ = 0.333 (P = 0.021), ρ = 0.333 (P = 0.018), and ρ = −0.321 (P = 0.023), respectively.</w:t>
      </w:r>
    </w:p>
    <w:p w:rsidR="00E57435" w:rsidRDefault="00DB40B1">
      <w:pPr>
        <w:spacing w:after="10"/>
      </w:pPr>
      <w:r>
        <w:rPr>
          <w:rFonts w:ascii="Times New Roman" w:hAnsi="Times New Roman"/>
          <w:sz w:val="14"/>
        </w:rPr>
        <w:t>Abbreviations: COPD, chronic obstructive pulmonary disease; BH-FD</w:t>
      </w:r>
      <w:r>
        <w:rPr>
          <w:rFonts w:ascii="Times New Roman" w:hAnsi="Times New Roman"/>
          <w:sz w:val="14"/>
        </w:rPr>
        <w:t>R, Benjamini–Hochberg false discovery rate; IL, interleukin; TSLP, thymic stromal lymphopoietin; IFN, interferon; FEV₁, forced expiratory volume in 1 second; FVC, forced vital capacity; post-BD, post-bronchodilator; CAT, COPD Assessment Test; mMRC, modifie</w:t>
      </w:r>
      <w:r>
        <w:rPr>
          <w:rFonts w:ascii="Times New Roman" w:hAnsi="Times New Roman"/>
          <w:sz w:val="14"/>
        </w:rPr>
        <w:t>d Medical Research Council dyspnea scale; FeNO, fractional exhaled nitric oxide; BMI, body mass index.</w:t>
      </w:r>
    </w:p>
    <w:p w:rsidR="00E57435" w:rsidRDefault="00DB40B1">
      <w:r>
        <w:br w:type="page"/>
      </w:r>
    </w:p>
    <w:p w:rsidR="00E57435" w:rsidRDefault="00DB40B1">
      <w:pPr>
        <w:spacing w:after="80"/>
      </w:pPr>
      <w:r>
        <w:rPr>
          <w:rFonts w:ascii="Times New Roman" w:hAnsi="Times New Roman"/>
          <w:b/>
          <w:sz w:val="21"/>
        </w:rPr>
        <w:lastRenderedPageBreak/>
        <w:t>Supplemental Table 7. Complete between-group comparison results for all 189 targeted metabolites</w:t>
      </w:r>
    </w:p>
    <w:tbl>
      <w:tblPr>
        <w:tblW w:w="0" w:type="auto"/>
        <w:jc w:val="center"/>
        <w:tblBorders>
          <w:top w:val="single" w:sz="3" w:space="0" w:color="C7C7C7"/>
          <w:left w:val="single" w:sz="3" w:space="0" w:color="C7C7C7"/>
          <w:bottom w:val="single" w:sz="3" w:space="0" w:color="C7C7C7"/>
          <w:right w:val="single" w:sz="3" w:space="0" w:color="C7C7C7"/>
          <w:insideH w:val="single" w:sz="3" w:space="0" w:color="C7C7C7"/>
          <w:insideV w:val="single" w:sz="3" w:space="0" w:color="C7C7C7"/>
        </w:tblBorders>
        <w:tblLayout w:type="fixed"/>
        <w:tblLook w:val="04A0" w:firstRow="1" w:lastRow="0" w:firstColumn="1" w:lastColumn="0" w:noHBand="0" w:noVBand="1"/>
      </w:tblPr>
      <w:tblGrid>
        <w:gridCol w:w="2952"/>
        <w:gridCol w:w="1656"/>
        <w:gridCol w:w="1656"/>
        <w:gridCol w:w="1656"/>
        <w:gridCol w:w="1656"/>
      </w:tblGrid>
      <w:tr w:rsidR="00E57435">
        <w:trPr>
          <w:cantSplit/>
          <w:tblHeader/>
          <w:jc w:val="center"/>
        </w:trPr>
        <w:tc>
          <w:tcPr>
            <w:tcW w:w="2952" w:type="dxa"/>
            <w:shd w:val="clear" w:color="auto" w:fill="D9E2F3"/>
            <w:tcMar>
              <w:top w:w="24" w:type="dxa"/>
              <w:left w:w="28" w:type="dxa"/>
              <w:bottom w:w="24" w:type="dxa"/>
              <w:right w:w="28" w:type="dxa"/>
            </w:tcMar>
            <w:vAlign w:val="center"/>
          </w:tcPr>
          <w:p w:rsidR="00E57435" w:rsidRDefault="00DB40B1">
            <w:pPr>
              <w:spacing w:after="0"/>
            </w:pPr>
            <w:r>
              <w:rPr>
                <w:rFonts w:ascii="Times New Roman" w:hAnsi="Times New Roman"/>
                <w:b/>
                <w:sz w:val="14"/>
              </w:rPr>
              <w:t>Metabolite</w:t>
            </w:r>
          </w:p>
        </w:tc>
        <w:tc>
          <w:tcPr>
            <w:tcW w:w="1656" w:type="dxa"/>
            <w:shd w:val="clear" w:color="auto" w:fill="D9E2F3"/>
            <w:tcMar>
              <w:top w:w="24" w:type="dxa"/>
              <w:left w:w="28" w:type="dxa"/>
              <w:bottom w:w="24" w:type="dxa"/>
              <w:right w:w="28" w:type="dxa"/>
            </w:tcMar>
            <w:vAlign w:val="center"/>
          </w:tcPr>
          <w:p w:rsidR="00E57435" w:rsidRDefault="00DB40B1">
            <w:pPr>
              <w:spacing w:after="0"/>
              <w:jc w:val="center"/>
            </w:pPr>
            <w:r>
              <w:rPr>
                <w:rFonts w:ascii="Times New Roman" w:hAnsi="Times New Roman"/>
                <w:b/>
                <w:sz w:val="14"/>
              </w:rPr>
              <w:t>Control mean</w:t>
            </w:r>
            <w:r>
              <w:rPr>
                <w:rFonts w:ascii="Times New Roman" w:hAnsi="Times New Roman"/>
                <w:b/>
                <w:sz w:val="14"/>
              </w:rPr>
              <w:br/>
              <w:t>(n = 41)</w:t>
            </w:r>
          </w:p>
        </w:tc>
        <w:tc>
          <w:tcPr>
            <w:tcW w:w="1656" w:type="dxa"/>
            <w:shd w:val="clear" w:color="auto" w:fill="D9E2F3"/>
            <w:tcMar>
              <w:top w:w="24" w:type="dxa"/>
              <w:left w:w="28" w:type="dxa"/>
              <w:bottom w:w="24" w:type="dxa"/>
              <w:right w:w="28" w:type="dxa"/>
            </w:tcMar>
            <w:vAlign w:val="center"/>
          </w:tcPr>
          <w:p w:rsidR="00E57435" w:rsidRDefault="00DB40B1">
            <w:pPr>
              <w:spacing w:after="0"/>
              <w:jc w:val="center"/>
            </w:pPr>
            <w:r>
              <w:rPr>
                <w:rFonts w:ascii="Times New Roman" w:hAnsi="Times New Roman"/>
                <w:b/>
                <w:sz w:val="14"/>
              </w:rPr>
              <w:t>COPD mean</w:t>
            </w:r>
            <w:r>
              <w:rPr>
                <w:rFonts w:ascii="Times New Roman" w:hAnsi="Times New Roman"/>
                <w:b/>
                <w:sz w:val="14"/>
              </w:rPr>
              <w:br/>
              <w:t>(n = 54)</w:t>
            </w:r>
          </w:p>
        </w:tc>
        <w:tc>
          <w:tcPr>
            <w:tcW w:w="1656" w:type="dxa"/>
            <w:shd w:val="clear" w:color="auto" w:fill="D9E2F3"/>
            <w:tcMar>
              <w:top w:w="24" w:type="dxa"/>
              <w:left w:w="28" w:type="dxa"/>
              <w:bottom w:w="24" w:type="dxa"/>
              <w:right w:w="28" w:type="dxa"/>
            </w:tcMar>
            <w:vAlign w:val="center"/>
          </w:tcPr>
          <w:p w:rsidR="00E57435" w:rsidRDefault="00DB40B1">
            <w:pPr>
              <w:spacing w:after="0"/>
              <w:jc w:val="center"/>
            </w:pPr>
            <w:r>
              <w:rPr>
                <w:rFonts w:ascii="Times New Roman" w:hAnsi="Times New Roman"/>
                <w:b/>
                <w:sz w:val="14"/>
              </w:rPr>
              <w:t>No</w:t>
            </w:r>
            <w:r>
              <w:rPr>
                <w:rFonts w:ascii="Times New Roman" w:hAnsi="Times New Roman"/>
                <w:b/>
                <w:sz w:val="14"/>
              </w:rPr>
              <w:t>minal P value</w:t>
            </w:r>
          </w:p>
        </w:tc>
        <w:tc>
          <w:tcPr>
            <w:tcW w:w="1656" w:type="dxa"/>
            <w:shd w:val="clear" w:color="auto" w:fill="D9E2F3"/>
            <w:tcMar>
              <w:top w:w="24" w:type="dxa"/>
              <w:left w:w="28" w:type="dxa"/>
              <w:bottom w:w="24" w:type="dxa"/>
              <w:right w:w="28" w:type="dxa"/>
            </w:tcMar>
            <w:vAlign w:val="center"/>
          </w:tcPr>
          <w:p w:rsidR="00E57435" w:rsidRDefault="00DB40B1">
            <w:pPr>
              <w:spacing w:after="0"/>
              <w:jc w:val="center"/>
            </w:pPr>
            <w:r>
              <w:rPr>
                <w:rFonts w:ascii="Times New Roman" w:hAnsi="Times New Roman"/>
                <w:b/>
                <w:sz w:val="14"/>
              </w:rPr>
              <w:t>BH-FDR q value</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PE 34:1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1.063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1.811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9.09e-07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0.0001718</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SM C22:0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49.241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41.329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0.0000129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0.0009642</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SM C23:0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18.983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14.995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0.0000153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0.0009642</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LPC 16:1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1.783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2.473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0.000032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0.001148</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SM C21:0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7.251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5.718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0.0000353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0.001148</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Glutamine</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403.333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488.598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0.0000365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0.001148</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38:1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4.048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3.227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0.0000458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0.00123</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36:1b</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11.417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9.371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0.000052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0.00123</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SM C23:1ab</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14.543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12.055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0.0000837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0.001758</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36:0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0.251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0.188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0.0000978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0.001849</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Tryptophan</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55.055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64.015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0.0001525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0.002619</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SM C24:0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32.722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27.957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0.000456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0.006002</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Dihydro SM C24:0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0.346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0.274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0.0004562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0.006002</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LPE 16:0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1.241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1.633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0.0004826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0.006002</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36:1ab</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1.840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1.579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0.0004964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0.006002</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LPC 20:4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5.164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6.685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0.000525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0.006002</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LPC 20:3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1.234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1.741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0.0005399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0.006002</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LPE 18:1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0.822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1.178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0.0006376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0.00652</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Dihydro SM C22:0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1.056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0.817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0.0006555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0.00652</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PE 38:5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0.983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1.422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0.0007517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0.007104</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Phenylalanine</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55.299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60.640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0.0008266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0.007268</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Aspartic acid</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3.931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5.224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0.0008723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0.007268</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PE 34:2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2.406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3.453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0.0008845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0.007268</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LPC 20:2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0.363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0.470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0.0009459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0.007449</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32:1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8.248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12.067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0.001183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0.008197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PE 36:3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1.005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1.404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0.001218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0.008197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LPC 20:1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0.338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0.439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0.00125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0.008197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34:2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7.428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5.868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0.00125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0.008197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LPC 18:1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17.832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22.021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0.001317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0.008197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LPE 20:4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0.670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0.849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0.001317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0.008197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LPE 18:0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1.498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1.934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0.001352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0.008197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LPE 22:6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0.862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1.071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0.001388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0.008197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LPC 16:0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100.519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116.674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0.0015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0.00859</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SM C20:0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22.253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19.348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0.002199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0.012225</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Dihydro SM C18:0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1.593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1.273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0.002554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0.013793</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Cystine</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84.836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69.065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0.002684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0.014089</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PE 38:3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0.349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0.522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0.003426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0.017501</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34:2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581.536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533.105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0.003683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0.01781</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LPC(P-16:0/0:0)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0.785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0.916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0.003817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0.01781</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40:5a</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6.573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8.135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0.003863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0.01781</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PE 36:4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2.061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2.717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0.003863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0.01781</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Dihydro SM C20:0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0.686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0.578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0.004052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0.017847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LPC(O-18:1/0:0)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0.971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1.181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0.00415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0.017847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Ornithine</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112.049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131.690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0.004249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0.017847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PE 36:1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0.808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1.128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0.004249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0.017847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SM C17:0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3.186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2.811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0.004455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0.018304</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38:0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0.335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0.285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0.004561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0.018341</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PE 40:7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0.407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0.547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0.00478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0.018498</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PCp 34:2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9.725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8.212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0.004894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0.018498</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SM C26:0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0.219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0.187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0.004894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0.018498</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LPC 22:6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1.973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2.447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0.006753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0.025027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SM C15:0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5.155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4.550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0.008829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0.032091</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42:2b</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0.098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0.087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0.0104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0.037085</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36:4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16.530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14.503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0.013863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0.048519</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 xml:space="preserve">PE </w:t>
            </w:r>
            <w:r>
              <w:rPr>
                <w:rFonts w:ascii="Times New Roman" w:hAnsi="Times New Roman"/>
                <w:sz w:val="14"/>
              </w:rPr>
              <w:t>40:5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0.302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0.438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0.018492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0.063546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LPC(O-18:0/0:0)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0.424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0.497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0.019254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0.064981</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LPC 18:0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38.493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44.641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0.019644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0.065137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PE 36:2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5.482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6.727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0.020042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0.06531</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PEp 34:2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0.134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0.114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0.023028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0.073767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38:5a</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29.161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33.571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0.023485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0.073979</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SM C18:1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12.964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11.372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0.02395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0.074206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lastRenderedPageBreak/>
              <w:t>PCe 42:6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0.632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0.756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0.025889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0.075136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Methionine</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27.540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29.170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0.026393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0.075136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PE 40:6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2.867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3.525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0.026908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0.075136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Glutamic acid</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56.750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68.482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0.027427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0.075136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Histidine</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92.643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97.893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0.027431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0.075136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Proline</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167.403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184.682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0.027431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0.075136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LPC 22:5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0.079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0.100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0.027431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0.075136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SM C18:0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30.485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26.777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0.027431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0.075136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36:2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354.799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330.711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0.028502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0.076956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SM C20:1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8.849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8.038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0.03254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0.086622</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Dihydro SM C16:0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7.221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6.445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0.033156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0.087033</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PE 38:6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4.294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5.069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0.033781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0.087459</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Tyrosine</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73.169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79.897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0.036047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0.092066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Lysine</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218.041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233.892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0.037746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0.095119</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PEp 36:3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0.091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0.077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0.040236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0.100062</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40:7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4.286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4.924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0.041348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0.10149</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32:2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3.051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2.805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0.042862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0.103857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36:4a</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25.405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22.592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0.045235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0.108222</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40:6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36.002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41.045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0.047713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0.110946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36:3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1.572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1.356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0.047713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0.110946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Glycine</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229.770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251.437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0.048135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0.110946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PEp 40:4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0.032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0.037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0.057791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0.131597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Isoleucine</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62.078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66.774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0.059295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0.133414</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Citrulline</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37.181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41.738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0.06083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0.135258</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44:6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1.083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1.265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0.065085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0.143036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SM C22:1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24.749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23.276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0.066187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0.143787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Leucine</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115.684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123.765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0.068435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0.14698</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36:4b</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158.720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176.723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0.070746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0.150237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LPC 20:0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0.233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0.259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0.071927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0.151046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34:1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211.716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237.254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0.076805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0.159518</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LPC 20:5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0.579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0.820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0.081952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0.166548</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38:2a</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6.303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6.915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0.081952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0.166548</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38:3a</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28.232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31.868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0.084628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0.167945</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PE 38:4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6.994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8.356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0.084628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0.167945</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PEp 34:1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0.029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0.033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0.085306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0.167945</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36:1a</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38.259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43.526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0.087374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0.168507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SM C19:0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4.027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3.757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0.087374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0.168507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44:5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1.298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1.480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0.093082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0.175925</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PEp 36:2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0.195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0.176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0.093082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0.175925</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LPC 14:0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0.912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1.089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0.097556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0.182556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LPC(P-18:0/0:0)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0.122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0.135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0.10702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0.196376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40:4a</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2.172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2.468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0.10702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0.196376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40:4b</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0.514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0.546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0.112017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0.203569</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LPC 22:0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0.062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0.067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0.113723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0.204701</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30:0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0.130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0.149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0.115449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0.205848</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PEp 36:1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0.036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0.041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0.122557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0.216479</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42:5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0.928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1.040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0.124392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0.217687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LPC(O-16:0/0:0)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1.633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1.747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0.135827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0.235517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LPC 17:1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0.225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0.253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0.14389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0.245002</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42:2a</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0.089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0.101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0.14389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0.245002</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36:0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0.056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0.062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0.149112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0.251177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36:3b</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54.586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61.253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0.150175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0.251177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Taurine</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68.517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75.665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0.158873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0.263394</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PEp 38:5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0.350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0.313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0.167954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0.276029</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40:6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1.292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1.405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0.175016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0.285155</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38:4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104.089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114.429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0.187272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0.302517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SM C13:0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0.114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0.106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0.213663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0.336521</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38:2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2.311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2.236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0.213664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0.336521</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PCp 36:2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2.192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2.019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0.213664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0.336521</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38:6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3.462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3.278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0.21925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0.342465</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28:1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1.345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1.257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0.22494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0.348472</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34:0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0.317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0.334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0.239624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0.368203</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40:8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1.177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1.268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0.254971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0.388625</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lastRenderedPageBreak/>
              <w:t>SM C12:0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0.210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0.192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0.258121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0.390279</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SM C26:2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0.602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0.656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0.261297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0.391946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40:2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0.241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0.264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0.264501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0.393627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LPC 19:0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0.140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0.148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0.269355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0.397719</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44:4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0.129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0.143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0.323114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0.473399</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36:3a</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68.733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65.829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0.326807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0.475127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38:5b</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15.748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18.761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0.334275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0.482275</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34:3abc</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14.109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13.666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0.34185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0.485791</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LPC 24:0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0.122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0.128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0.341853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0.485791</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Alanine</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388.555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405.804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0.357335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0.504003</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SM C16:1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18.176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17.491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0.365239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0.511335</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Dihydro SM C14:0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0.222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0.206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0.3896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0.541429</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38:4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5.102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4.961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0.397935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0.548976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32:0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15.595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16.722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0.410619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0.558348</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36:5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1.299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1.435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0.410637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0.558348</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34:4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0.680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0.772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0.427942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0.573237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PCp 34:1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2.566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2.716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0.427942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0.573237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38:6a</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6.391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6.782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0.436752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0.573237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38:6b</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104.097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108.033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0.436752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0.573237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PCp 36:1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0.341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0.362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0.436752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0.573237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36:6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0.471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0.452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0.441195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0.575075</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LPC 15:0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0.735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0.746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0.459227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0.594479</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LPE 18:2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2.010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2.282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0.463798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0.596312</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Valine</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234.871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239.800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0.484679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0.61366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LPC 17:0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1.131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1.174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0.487032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0.61366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40:5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1.171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1.224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0.487032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0.61366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PEp 40:7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0.134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0.141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0.496499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0.621445</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40:3ab</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0.164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0.173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0.57051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0.709384</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LPC 18:2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34.472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36.295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0.585919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0.719083</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36:5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20.327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21.166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0.585919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0.719083</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SM C14:0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8.470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8.186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0.596299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0.724122</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38:3b</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9.561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9.756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0.601519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0.724122</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PCp 32:0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1.766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1.789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0.601519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0.724122</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SM C24:2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37.773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38.810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0.606761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0.725808</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38:5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12.148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11.758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0.612022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0.727498</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40:4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0.713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0.744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0.622605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0.730884</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SM C24:3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4.607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4.759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0.622605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0.730884</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Serine</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132.595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129.905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0.649403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0.757637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34:0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4.068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4.281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0.660252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0.760901</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34:1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4.809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4.953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0.660253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0.760901</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40:5b</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2.260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2.320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0.676662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0.775086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PCp 38:5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2.998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2.891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0.693226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0.789276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SM C22:2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2.684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2.780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0.709938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0.803463</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38:7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0.779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0.803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0.721159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0.811303</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PEp 36:4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0.436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0.417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0.732439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0.819118</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PEp 36:5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0.043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0.054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0.738101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0.820595</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SM C16:0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158.302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155.851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0.743777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0.82207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Arginine</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86.507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88.151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0.749468</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0.823543</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PEp 38:6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0.297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0.297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0.755172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0.825014</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38:3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0.434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0.433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0.772363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0.838946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40:3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0.346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0.355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0.789666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0.847994</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42:4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0.355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0.365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0.789666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0.847994</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PCp 38:4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2.382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2.376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0.836297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0.892995</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SM C26:1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0.512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0.522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0.848052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0.900459</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Threonine</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130.816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130.602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0.87166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0.920357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Asparagine</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53.561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53.823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0.889443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0.933915</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SM C14:1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0.509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0.499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0.895385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0.93496</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PEp 40:6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0.256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0.267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0.901331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0.935998</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 38:2b</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17.363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17.557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0.907283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0.93703</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32:0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2.279</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2.275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0.913241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0.938057</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PCp 36:4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10.776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10.457</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0.919203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0.939078</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42:3</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0.395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0.415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0.943094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0.958305</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SM C24:1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71.255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71.981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0.95506</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0.965274</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lastRenderedPageBreak/>
              <w:t>PEp 38:4</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0.590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0.610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0.997002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w:t>
            </w:r>
          </w:p>
        </w:tc>
      </w:tr>
      <w:tr w:rsidR="00E57435">
        <w:trPr>
          <w:cantSplit/>
          <w:jc w:val="center"/>
        </w:trPr>
        <w:tc>
          <w:tcPr>
            <w:tcW w:w="2952" w:type="dxa"/>
            <w:tcMar>
              <w:top w:w="12" w:type="dxa"/>
              <w:left w:w="28" w:type="dxa"/>
              <w:bottom w:w="12" w:type="dxa"/>
              <w:right w:w="28" w:type="dxa"/>
            </w:tcMar>
            <w:vAlign w:val="center"/>
          </w:tcPr>
          <w:p w:rsidR="00E57435" w:rsidRDefault="00DB40B1">
            <w:pPr>
              <w:spacing w:after="0"/>
            </w:pPr>
            <w:r>
              <w:rPr>
                <w:rFonts w:ascii="Times New Roman" w:hAnsi="Times New Roman"/>
                <w:sz w:val="14"/>
              </w:rPr>
              <w:t>PCe 36:2</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1.860</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2.005</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w:t>
            </w:r>
          </w:p>
        </w:tc>
        <w:tc>
          <w:tcPr>
            <w:tcW w:w="1656" w:type="dxa"/>
            <w:tcMar>
              <w:top w:w="12" w:type="dxa"/>
              <w:left w:w="28" w:type="dxa"/>
              <w:bottom w:w="12" w:type="dxa"/>
              <w:right w:w="28" w:type="dxa"/>
            </w:tcMar>
            <w:vAlign w:val="center"/>
          </w:tcPr>
          <w:p w:rsidR="00E57435" w:rsidRDefault="00DB40B1">
            <w:pPr>
              <w:spacing w:after="0"/>
              <w:jc w:val="center"/>
            </w:pPr>
            <w:r>
              <w:rPr>
                <w:rFonts w:ascii="Times New Roman" w:hAnsi="Times New Roman"/>
                <w:sz w:val="14"/>
              </w:rPr>
              <w:t>1</w:t>
            </w:r>
          </w:p>
        </w:tc>
      </w:tr>
    </w:tbl>
    <w:p w:rsidR="00E57435" w:rsidRDefault="00DB40B1">
      <w:pPr>
        <w:spacing w:before="60" w:after="10"/>
      </w:pPr>
      <w:r>
        <w:rPr>
          <w:rFonts w:ascii="Times New Roman" w:hAnsi="Times New Roman"/>
          <w:sz w:val="14"/>
        </w:rPr>
        <w:t xml:space="preserve">Values are group means from the targeted metabolomics dataset. </w:t>
      </w:r>
      <w:r>
        <w:rPr>
          <w:rFonts w:ascii="Times New Roman" w:hAnsi="Times New Roman"/>
          <w:sz w:val="14"/>
        </w:rPr>
        <w:t>Metabolites are presented in the order of increasing nominal P value, as in the All_189 worksheet of the analysis workbook.</w:t>
      </w:r>
    </w:p>
    <w:p w:rsidR="00E57435" w:rsidRDefault="00DB40B1">
      <w:pPr>
        <w:spacing w:after="10"/>
      </w:pPr>
      <w:r>
        <w:rPr>
          <w:rFonts w:ascii="Times New Roman" w:hAnsi="Times New Roman"/>
          <w:sz w:val="14"/>
        </w:rPr>
        <w:t>Between-group comparisons were performed using two-sided Mann–Whitney U tests. Benjamini–Hochberg false discovery rate correction wa</w:t>
      </w:r>
      <w:r>
        <w:rPr>
          <w:rFonts w:ascii="Times New Roman" w:hAnsi="Times New Roman"/>
          <w:sz w:val="14"/>
        </w:rPr>
        <w:t>s applied across all 189 metabolites.</w:t>
      </w:r>
    </w:p>
    <w:p w:rsidR="00E57435" w:rsidRDefault="00DB40B1">
      <w:pPr>
        <w:spacing w:after="10"/>
      </w:pPr>
      <w:r>
        <w:rPr>
          <w:rFonts w:ascii="Times New Roman" w:hAnsi="Times New Roman"/>
          <w:sz w:val="14"/>
        </w:rPr>
        <w:t>Of the 189 metabolites, 82 had nominal P &lt; 0.05 and 54 remained significant after BH-FDR correction (q &lt; 0.05).</w:t>
      </w:r>
    </w:p>
    <w:p w:rsidR="00E57435" w:rsidRDefault="00DB40B1">
      <w:pPr>
        <w:spacing w:after="10"/>
      </w:pPr>
      <w:r>
        <w:rPr>
          <w:rFonts w:ascii="Times New Roman" w:hAnsi="Times New Roman"/>
          <w:sz w:val="14"/>
        </w:rPr>
        <w:t>Abbreviations: COPD, chronic obstructive pulmonary disease; BH-FDR, Benjamini–Hochberg false discovery rat</w:t>
      </w:r>
      <w:r>
        <w:rPr>
          <w:rFonts w:ascii="Times New Roman" w:hAnsi="Times New Roman"/>
          <w:sz w:val="14"/>
        </w:rPr>
        <w:t>e.</w:t>
      </w:r>
    </w:p>
    <w:p w:rsidR="00E57435" w:rsidRDefault="00DB40B1">
      <w:r>
        <w:br w:type="page"/>
      </w:r>
    </w:p>
    <w:p w:rsidR="00E57435" w:rsidRDefault="00DB40B1">
      <w:r>
        <w:rPr>
          <w:rFonts w:ascii="Times New Roman" w:hAnsi="Times New Roman"/>
          <w:b/>
          <w:sz w:val="20"/>
        </w:rPr>
        <w:lastRenderedPageBreak/>
        <w:t>Supplemental Figure 1. Within-COPD correlations between circulating cytokines and selected metabolites.</w:t>
      </w:r>
    </w:p>
    <w:p w:rsidR="00E57435" w:rsidRDefault="00DB40B1">
      <w:pPr>
        <w:jc w:val="center"/>
      </w:pPr>
      <w:r>
        <w:rPr>
          <w:noProof/>
          <w:lang w:eastAsia="zh-TW"/>
        </w:rPr>
        <w:drawing>
          <wp:inline distT="0" distB="0" distL="0" distR="0">
            <wp:extent cx="6126480" cy="246210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l_Figure_1_Cytokine_Metabolite_Heatmap.png"/>
                    <pic:cNvPicPr/>
                  </pic:nvPicPr>
                  <pic:blipFill>
                    <a:blip r:embed="rId6"/>
                    <a:stretch>
                      <a:fillRect/>
                    </a:stretch>
                  </pic:blipFill>
                  <pic:spPr>
                    <a:xfrm>
                      <a:off x="0" y="0"/>
                      <a:ext cx="6126480" cy="2462106"/>
                    </a:xfrm>
                    <a:prstGeom prst="rect">
                      <a:avLst/>
                    </a:prstGeom>
                  </pic:spPr>
                </pic:pic>
              </a:graphicData>
            </a:graphic>
          </wp:inline>
        </w:drawing>
      </w:r>
    </w:p>
    <w:p w:rsidR="00E57435" w:rsidRDefault="00DB40B1">
      <w:r>
        <w:rPr>
          <w:rFonts w:ascii="Times New Roman" w:hAnsi="Times New Roman"/>
          <w:sz w:val="18"/>
        </w:rPr>
        <w:t xml:space="preserve">Heatmap showing Spearman rank correlation coefficients (ρ) between four quantitatively reliable circulating cytokines (IL-5, IL-17, TSLP, and </w:t>
      </w:r>
      <w:r>
        <w:rPr>
          <w:rFonts w:ascii="Times New Roman" w:hAnsi="Times New Roman"/>
          <w:sz w:val="18"/>
        </w:rPr>
        <w:t>IFN-γ) and 11 selected metabolites among patients with COPD (n = 54). Values within cells represent Spearman ρ. Benjamini–Hochberg false discovery rate correction was applied across all 44 correlation tests. No cytokine–metabolite association remained stat</w:t>
      </w:r>
      <w:r>
        <w:rPr>
          <w:rFonts w:ascii="Times New Roman" w:hAnsi="Times New Roman"/>
          <w:sz w:val="18"/>
        </w:rPr>
        <w:t>istically significant after correction for multiple testing. COPD, chronic obstructive pulmonary disease; IL, interleukin; TSLP, thymic stromal lymphopoietin; IFN, interferon; LPC, lysophosphatidylcholine; PC, phosphatidylcholine.</w:t>
      </w:r>
    </w:p>
    <w:p w:rsidR="00E57435" w:rsidRDefault="00DB40B1">
      <w:r>
        <w:br w:type="page"/>
      </w:r>
    </w:p>
    <w:p w:rsidR="00E57435" w:rsidRDefault="00DB40B1">
      <w:r>
        <w:rPr>
          <w:rFonts w:ascii="Times New Roman" w:hAnsi="Times New Roman"/>
          <w:b/>
          <w:sz w:val="20"/>
        </w:rPr>
        <w:lastRenderedPageBreak/>
        <w:t xml:space="preserve">Supplemental Figure 2. </w:t>
      </w:r>
      <w:r>
        <w:rPr>
          <w:rFonts w:ascii="Times New Roman" w:hAnsi="Times New Roman"/>
          <w:b/>
          <w:sz w:val="20"/>
        </w:rPr>
        <w:t>Within-COPD correlations between circulating cytokines and clinical characteristics.</w:t>
      </w:r>
    </w:p>
    <w:p w:rsidR="00E57435" w:rsidRDefault="00DB40B1">
      <w:pPr>
        <w:jc w:val="center"/>
      </w:pPr>
      <w:r>
        <w:rPr>
          <w:noProof/>
          <w:lang w:eastAsia="zh-TW"/>
        </w:rPr>
        <w:drawing>
          <wp:inline distT="0" distB="0" distL="0" distR="0">
            <wp:extent cx="6126480" cy="30366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l_Figure_2_Cytokine_Clinical_Heatmap.png"/>
                    <pic:cNvPicPr/>
                  </pic:nvPicPr>
                  <pic:blipFill>
                    <a:blip r:embed="rId7"/>
                    <a:stretch>
                      <a:fillRect/>
                    </a:stretch>
                  </pic:blipFill>
                  <pic:spPr>
                    <a:xfrm>
                      <a:off x="0" y="0"/>
                      <a:ext cx="6126480" cy="3036634"/>
                    </a:xfrm>
                    <a:prstGeom prst="rect">
                      <a:avLst/>
                    </a:prstGeom>
                  </pic:spPr>
                </pic:pic>
              </a:graphicData>
            </a:graphic>
          </wp:inline>
        </w:drawing>
      </w:r>
    </w:p>
    <w:p w:rsidR="00E57435" w:rsidRDefault="00DB40B1">
      <w:r>
        <w:rPr>
          <w:rFonts w:ascii="Times New Roman" w:hAnsi="Times New Roman"/>
          <w:sz w:val="18"/>
        </w:rPr>
        <w:t>Heatmap showing Spearman rank correlation coefficients (ρ) between four quantitatively reliable circulating cytokines (IL-5, IL-17, TSLP, and IFN-γ) and six clinical cha</w:t>
      </w:r>
      <w:r>
        <w:rPr>
          <w:rFonts w:ascii="Times New Roman" w:hAnsi="Times New Roman"/>
          <w:sz w:val="18"/>
        </w:rPr>
        <w:t>racteristics within the COPD group: post-bronchodilator FEV₁ % predicted, post-bronchodilator FEV₁/FVC, COPD Assessment Test (CAT) score, modified Medical Research Council (mMRC) dyspnea score, absolute blood eosinophil count, and fractional exhaled nitric</w:t>
      </w:r>
      <w:r>
        <w:rPr>
          <w:rFonts w:ascii="Times New Roman" w:hAnsi="Times New Roman"/>
          <w:sz w:val="18"/>
        </w:rPr>
        <w:t xml:space="preserve"> oxide (FeNO). Values within cells represent Spearman ρ. Sample size varied according to the availability of individual clinical measurements. Benjamini–Hochberg false discovery rate correction was applied across all 24 correlation tests. No cytokine–clini</w:t>
      </w:r>
      <w:r>
        <w:rPr>
          <w:rFonts w:ascii="Times New Roman" w:hAnsi="Times New Roman"/>
          <w:sz w:val="18"/>
        </w:rPr>
        <w:t>cal association remained statistically significant after correction for multiple testing. COPD, chronic obstructive pulmonary disease; FEV₁, forced expiratory volume in 1 second; FVC, forced vital capacity; CAT, COPD Assessment Test; mMRC, modified Medical</w:t>
      </w:r>
      <w:r>
        <w:rPr>
          <w:rFonts w:ascii="Times New Roman" w:hAnsi="Times New Roman"/>
          <w:sz w:val="18"/>
        </w:rPr>
        <w:t xml:space="preserve"> Research Council; FeNO, fractional exhaled nitric oxide; IL, interleukin; TSLP, thymic stromal lymphopoietin; IFN, interferon.</w:t>
      </w:r>
    </w:p>
    <w:sectPr w:rsidR="00E57435"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DB40B1"/>
    <w:rsid w:val="00E5743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04195C0C-E489-43E5-9140-2505CFAE1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0156A-D194-4086-89EC-05428EB79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4310</Words>
  <Characters>24572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28825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志宇 黃</cp:lastModifiedBy>
  <cp:revision>2</cp:revision>
  <dcterms:created xsi:type="dcterms:W3CDTF">2013-12-23T23:15:00Z</dcterms:created>
  <dcterms:modified xsi:type="dcterms:W3CDTF">2026-09-18T14:22:00Z</dcterms:modified>
  <cp:category/>
</cp:coreProperties>
</file>