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E0ECB">
      <w:pPr>
        <w:pStyle w:val="31"/>
        <w:spacing w:line="252" w:lineRule="auto"/>
        <w:rPr>
          <w:rFonts w:ascii="Arial" w:hAnsi="Arial"/>
          <w:b/>
          <w:color w:val="000000"/>
          <w:sz w:val="26"/>
        </w:rPr>
      </w:pPr>
      <w:r>
        <w:rPr>
          <w:rFonts w:ascii="Arial" w:hAnsi="Arial"/>
          <w:b/>
          <w:color w:val="000000"/>
          <w:sz w:val="26"/>
        </w:rPr>
        <w:t>Additional file 1 Supplementary tables and figure</w:t>
      </w:r>
    </w:p>
    <w:p w14:paraId="0F7A149F">
      <w:pPr>
        <w:pStyle w:val="31"/>
        <w:spacing w:line="252" w:lineRule="auto"/>
        <w:rPr>
          <w:rFonts w:ascii="Arial" w:hAnsi="Arial"/>
          <w:b/>
          <w:color w:val="000000"/>
          <w:sz w:val="26"/>
        </w:rPr>
      </w:pPr>
    </w:p>
    <w:p w14:paraId="5558A8E7">
      <w:pPr>
        <w:pStyle w:val="31"/>
        <w:spacing w:line="252" w:lineRule="auto"/>
        <w:rPr>
          <w:rFonts w:ascii="Arial" w:hAnsi="Arial"/>
          <w:b/>
          <w:i w:val="0"/>
          <w:color w:val="000000"/>
          <w:sz w:val="22"/>
        </w:rPr>
      </w:pPr>
      <w:r>
        <w:rPr>
          <w:rFonts w:ascii="Arial" w:hAnsi="Arial"/>
          <w:b/>
          <w:i w:val="0"/>
          <w:color w:val="000000"/>
          <w:sz w:val="22"/>
        </w:rPr>
        <w:t>Table M1 Published FI items and coding information from Feng et al. [23]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168"/>
        <w:gridCol w:w="5472"/>
      </w:tblGrid>
      <w:tr w14:paraId="62A1A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648" w:type="dxa"/>
          </w:tcPr>
          <w:p w14:paraId="646355E7">
            <w:pPr>
              <w:spacing w:before="20" w:after="20" w:line="240" w:lineRule="auto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No.</w:t>
            </w:r>
          </w:p>
        </w:tc>
        <w:tc>
          <w:tcPr>
            <w:tcW w:w="3168" w:type="dxa"/>
          </w:tcPr>
          <w:p w14:paraId="2390927C">
            <w:pPr>
              <w:spacing w:before="20" w:after="20" w:line="240" w:lineRule="auto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Indicator</w:t>
            </w:r>
          </w:p>
        </w:tc>
        <w:tc>
          <w:tcPr>
            <w:tcW w:w="5472" w:type="dxa"/>
          </w:tcPr>
          <w:p w14:paraId="29B4511E">
            <w:pPr>
              <w:spacing w:before="20" w:after="20" w:line="240" w:lineRule="auto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Published coding information</w:t>
            </w:r>
          </w:p>
        </w:tc>
      </w:tr>
      <w:tr w14:paraId="48128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012AD84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w="3168" w:type="dxa"/>
          </w:tcPr>
          <w:p w14:paraId="5BFC8452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Vision problems</w:t>
            </w:r>
          </w:p>
        </w:tc>
        <w:tc>
          <w:tcPr>
            <w:tcW w:w="5472" w:type="dxa"/>
          </w:tcPr>
          <w:p w14:paraId="430D312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</w:t>
            </w:r>
          </w:p>
        </w:tc>
      </w:tr>
      <w:tr w14:paraId="30011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0C59825B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</w:t>
            </w:r>
          </w:p>
        </w:tc>
        <w:tc>
          <w:tcPr>
            <w:tcW w:w="3168" w:type="dxa"/>
          </w:tcPr>
          <w:p w14:paraId="29EB08B3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Hearing problems</w:t>
            </w:r>
          </w:p>
        </w:tc>
        <w:tc>
          <w:tcPr>
            <w:tcW w:w="5472" w:type="dxa"/>
          </w:tcPr>
          <w:p w14:paraId="1862C2E3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</w:t>
            </w:r>
          </w:p>
        </w:tc>
      </w:tr>
      <w:tr w14:paraId="06A8B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48F33EBA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3</w:t>
            </w:r>
          </w:p>
        </w:tc>
        <w:tc>
          <w:tcPr>
            <w:tcW w:w="3168" w:type="dxa"/>
          </w:tcPr>
          <w:p w14:paraId="58E81706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Hypertension</w:t>
            </w:r>
          </w:p>
        </w:tc>
        <w:tc>
          <w:tcPr>
            <w:tcW w:w="5472" w:type="dxa"/>
          </w:tcPr>
          <w:p w14:paraId="2372E0E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</w:t>
            </w:r>
          </w:p>
        </w:tc>
      </w:tr>
      <w:tr w14:paraId="58D10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06D889CA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4</w:t>
            </w:r>
          </w:p>
        </w:tc>
        <w:tc>
          <w:tcPr>
            <w:tcW w:w="3168" w:type="dxa"/>
          </w:tcPr>
          <w:p w14:paraId="4DA7C84A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Diabetes</w:t>
            </w:r>
          </w:p>
        </w:tc>
        <w:tc>
          <w:tcPr>
            <w:tcW w:w="5472" w:type="dxa"/>
          </w:tcPr>
          <w:p w14:paraId="4494BE97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</w:t>
            </w:r>
          </w:p>
        </w:tc>
      </w:tr>
      <w:tr w14:paraId="7B221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5B1B804C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5</w:t>
            </w:r>
          </w:p>
        </w:tc>
        <w:tc>
          <w:tcPr>
            <w:tcW w:w="3168" w:type="dxa"/>
          </w:tcPr>
          <w:p w14:paraId="2AB4309A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Cancer</w:t>
            </w:r>
          </w:p>
        </w:tc>
        <w:tc>
          <w:tcPr>
            <w:tcW w:w="5472" w:type="dxa"/>
          </w:tcPr>
          <w:p w14:paraId="2216788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</w:t>
            </w:r>
          </w:p>
        </w:tc>
      </w:tr>
      <w:tr w14:paraId="0931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4E6053E6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6</w:t>
            </w:r>
          </w:p>
        </w:tc>
        <w:tc>
          <w:tcPr>
            <w:tcW w:w="3168" w:type="dxa"/>
          </w:tcPr>
          <w:p w14:paraId="2EAD0422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Heart disease</w:t>
            </w:r>
          </w:p>
        </w:tc>
        <w:tc>
          <w:tcPr>
            <w:tcW w:w="5472" w:type="dxa"/>
          </w:tcPr>
          <w:p w14:paraId="38F1BCC7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</w:t>
            </w:r>
          </w:p>
        </w:tc>
      </w:tr>
      <w:tr w14:paraId="21044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20150777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7</w:t>
            </w:r>
          </w:p>
        </w:tc>
        <w:tc>
          <w:tcPr>
            <w:tcW w:w="3168" w:type="dxa"/>
          </w:tcPr>
          <w:p w14:paraId="701B031F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Stroke</w:t>
            </w:r>
          </w:p>
        </w:tc>
        <w:tc>
          <w:tcPr>
            <w:tcW w:w="5472" w:type="dxa"/>
          </w:tcPr>
          <w:p w14:paraId="6AEC71C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</w:t>
            </w:r>
          </w:p>
        </w:tc>
      </w:tr>
      <w:tr w14:paraId="0E7BF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7C24ABB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8</w:t>
            </w:r>
          </w:p>
        </w:tc>
        <w:tc>
          <w:tcPr>
            <w:tcW w:w="3168" w:type="dxa"/>
          </w:tcPr>
          <w:p w14:paraId="6B8FD61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Emotional/psychiatric problems</w:t>
            </w:r>
          </w:p>
        </w:tc>
        <w:tc>
          <w:tcPr>
            <w:tcW w:w="5472" w:type="dxa"/>
          </w:tcPr>
          <w:p w14:paraId="5FAC47C3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</w:t>
            </w:r>
          </w:p>
        </w:tc>
      </w:tr>
      <w:tr w14:paraId="77C0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78699A8C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9</w:t>
            </w:r>
          </w:p>
        </w:tc>
        <w:tc>
          <w:tcPr>
            <w:tcW w:w="3168" w:type="dxa"/>
          </w:tcPr>
          <w:p w14:paraId="7ECDF7A1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Memory disease</w:t>
            </w:r>
          </w:p>
        </w:tc>
        <w:tc>
          <w:tcPr>
            <w:tcW w:w="5472" w:type="dxa"/>
          </w:tcPr>
          <w:p w14:paraId="5E7A0704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</w:t>
            </w:r>
          </w:p>
        </w:tc>
      </w:tr>
      <w:tr w14:paraId="792F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79A4DBB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10</w:t>
            </w:r>
          </w:p>
        </w:tc>
        <w:tc>
          <w:tcPr>
            <w:tcW w:w="3168" w:type="dxa"/>
          </w:tcPr>
          <w:p w14:paraId="786C543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Arthritis/rheumatism</w:t>
            </w:r>
          </w:p>
        </w:tc>
        <w:tc>
          <w:tcPr>
            <w:tcW w:w="5472" w:type="dxa"/>
          </w:tcPr>
          <w:p w14:paraId="41F0725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A</w:t>
            </w:r>
          </w:p>
        </w:tc>
      </w:tr>
      <w:tr w14:paraId="4867B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24C2CB61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11</w:t>
            </w:r>
          </w:p>
        </w:tc>
        <w:tc>
          <w:tcPr>
            <w:tcW w:w="3168" w:type="dxa"/>
          </w:tcPr>
          <w:p w14:paraId="02146E45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Rising from a chair</w:t>
            </w:r>
          </w:p>
        </w:tc>
        <w:tc>
          <w:tcPr>
            <w:tcW w:w="5472" w:type="dxa"/>
          </w:tcPr>
          <w:p w14:paraId="6A43EF70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18DB8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6AFB4E09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12</w:t>
            </w:r>
          </w:p>
        </w:tc>
        <w:tc>
          <w:tcPr>
            <w:tcW w:w="3168" w:type="dxa"/>
          </w:tcPr>
          <w:p w14:paraId="38EEEBB6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Climbing stairs</w:t>
            </w:r>
          </w:p>
        </w:tc>
        <w:tc>
          <w:tcPr>
            <w:tcW w:w="5472" w:type="dxa"/>
          </w:tcPr>
          <w:p w14:paraId="54481E12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503AE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4F8E2A9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13</w:t>
            </w:r>
          </w:p>
        </w:tc>
        <w:tc>
          <w:tcPr>
            <w:tcW w:w="3168" w:type="dxa"/>
          </w:tcPr>
          <w:p w14:paraId="12CDAD3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Stooping/kneeling/crouching</w:t>
            </w:r>
          </w:p>
        </w:tc>
        <w:tc>
          <w:tcPr>
            <w:tcW w:w="5472" w:type="dxa"/>
          </w:tcPr>
          <w:p w14:paraId="70E15C17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4CD62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05F2DA87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14</w:t>
            </w:r>
          </w:p>
        </w:tc>
        <w:tc>
          <w:tcPr>
            <w:tcW w:w="3168" w:type="dxa"/>
          </w:tcPr>
          <w:p w14:paraId="3AD78F22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Reaching overhead</w:t>
            </w:r>
          </w:p>
        </w:tc>
        <w:tc>
          <w:tcPr>
            <w:tcW w:w="5472" w:type="dxa"/>
          </w:tcPr>
          <w:p w14:paraId="70DBC1D0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500F9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678F1732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15</w:t>
            </w:r>
          </w:p>
        </w:tc>
        <w:tc>
          <w:tcPr>
            <w:tcW w:w="3168" w:type="dxa"/>
          </w:tcPr>
          <w:p w14:paraId="2761C960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Carrying &gt;10 jin</w:t>
            </w:r>
          </w:p>
        </w:tc>
        <w:tc>
          <w:tcPr>
            <w:tcW w:w="5472" w:type="dxa"/>
          </w:tcPr>
          <w:p w14:paraId="3640E82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5C04B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53D94C72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16</w:t>
            </w:r>
          </w:p>
        </w:tc>
        <w:tc>
          <w:tcPr>
            <w:tcW w:w="3168" w:type="dxa"/>
          </w:tcPr>
          <w:p w14:paraId="734989B0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Picking up a coin</w:t>
            </w:r>
          </w:p>
        </w:tc>
        <w:tc>
          <w:tcPr>
            <w:tcW w:w="5472" w:type="dxa"/>
          </w:tcPr>
          <w:p w14:paraId="551E4BEC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431A9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0AA39DA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17</w:t>
            </w:r>
          </w:p>
        </w:tc>
        <w:tc>
          <w:tcPr>
            <w:tcW w:w="3168" w:type="dxa"/>
          </w:tcPr>
          <w:p w14:paraId="7D6CE5AA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Dressing</w:t>
            </w:r>
          </w:p>
        </w:tc>
        <w:tc>
          <w:tcPr>
            <w:tcW w:w="5472" w:type="dxa"/>
          </w:tcPr>
          <w:p w14:paraId="2CD56A64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5B302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7E9C7A45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18</w:t>
            </w:r>
          </w:p>
        </w:tc>
        <w:tc>
          <w:tcPr>
            <w:tcW w:w="3168" w:type="dxa"/>
          </w:tcPr>
          <w:p w14:paraId="27EF5840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Bathing</w:t>
            </w:r>
          </w:p>
        </w:tc>
        <w:tc>
          <w:tcPr>
            <w:tcW w:w="5472" w:type="dxa"/>
          </w:tcPr>
          <w:p w14:paraId="75A317C3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64545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029884FA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19</w:t>
            </w:r>
          </w:p>
        </w:tc>
        <w:tc>
          <w:tcPr>
            <w:tcW w:w="3168" w:type="dxa"/>
          </w:tcPr>
          <w:p w14:paraId="277A8F3C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Eating</w:t>
            </w:r>
          </w:p>
        </w:tc>
        <w:tc>
          <w:tcPr>
            <w:tcW w:w="5472" w:type="dxa"/>
          </w:tcPr>
          <w:p w14:paraId="54972C79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7C9E2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48C644D0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20</w:t>
            </w:r>
          </w:p>
        </w:tc>
        <w:tc>
          <w:tcPr>
            <w:tcW w:w="3168" w:type="dxa"/>
          </w:tcPr>
          <w:p w14:paraId="4F5FABF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Toilet use</w:t>
            </w:r>
          </w:p>
        </w:tc>
        <w:tc>
          <w:tcPr>
            <w:tcW w:w="5472" w:type="dxa"/>
          </w:tcPr>
          <w:p w14:paraId="50D60016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05000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68EE9472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21</w:t>
            </w:r>
          </w:p>
        </w:tc>
        <w:tc>
          <w:tcPr>
            <w:tcW w:w="3168" w:type="dxa"/>
          </w:tcPr>
          <w:p w14:paraId="543C626F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Preparing meals</w:t>
            </w:r>
          </w:p>
        </w:tc>
        <w:tc>
          <w:tcPr>
            <w:tcW w:w="5472" w:type="dxa"/>
          </w:tcPr>
          <w:p w14:paraId="02159479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711C9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4AB6668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22</w:t>
            </w:r>
          </w:p>
        </w:tc>
        <w:tc>
          <w:tcPr>
            <w:tcW w:w="3168" w:type="dxa"/>
          </w:tcPr>
          <w:p w14:paraId="651EE3E0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Grocery shopping</w:t>
            </w:r>
          </w:p>
        </w:tc>
        <w:tc>
          <w:tcPr>
            <w:tcW w:w="5472" w:type="dxa"/>
          </w:tcPr>
          <w:p w14:paraId="0FE89359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5C4F9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5BF1360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23</w:t>
            </w:r>
          </w:p>
        </w:tc>
        <w:tc>
          <w:tcPr>
            <w:tcW w:w="3168" w:type="dxa"/>
          </w:tcPr>
          <w:p w14:paraId="6A037102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Managing money</w:t>
            </w:r>
          </w:p>
        </w:tc>
        <w:tc>
          <w:tcPr>
            <w:tcW w:w="5472" w:type="dxa"/>
          </w:tcPr>
          <w:p w14:paraId="6EA90078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2277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4E2DC9E4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24</w:t>
            </w:r>
          </w:p>
        </w:tc>
        <w:tc>
          <w:tcPr>
            <w:tcW w:w="3168" w:type="dxa"/>
          </w:tcPr>
          <w:p w14:paraId="3A61149C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Taking medicines</w:t>
            </w:r>
          </w:p>
        </w:tc>
        <w:tc>
          <w:tcPr>
            <w:tcW w:w="5472" w:type="dxa"/>
          </w:tcPr>
          <w:p w14:paraId="12593847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1006C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572AA707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25</w:t>
            </w:r>
          </w:p>
        </w:tc>
        <w:tc>
          <w:tcPr>
            <w:tcW w:w="3168" w:type="dxa"/>
          </w:tcPr>
          <w:p w14:paraId="487CC6D7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Bed transfers</w:t>
            </w:r>
          </w:p>
        </w:tc>
        <w:tc>
          <w:tcPr>
            <w:tcW w:w="5472" w:type="dxa"/>
          </w:tcPr>
          <w:p w14:paraId="0A441E7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</w:t>
            </w:r>
          </w:p>
        </w:tc>
      </w:tr>
      <w:tr w14:paraId="299E6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3B82C895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26</w:t>
            </w:r>
          </w:p>
        </w:tc>
        <w:tc>
          <w:tcPr>
            <w:tcW w:w="3168" w:type="dxa"/>
          </w:tcPr>
          <w:p w14:paraId="2FA9230A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BMI</w:t>
            </w:r>
          </w:p>
        </w:tc>
        <w:tc>
          <w:tcPr>
            <w:tcW w:w="5472" w:type="dxa"/>
          </w:tcPr>
          <w:p w14:paraId="4A5CCDF2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Weight/height²; transformation unspecified</w:t>
            </w:r>
          </w:p>
        </w:tc>
      </w:tr>
      <w:tr w14:paraId="1168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5DA53273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27</w:t>
            </w:r>
          </w:p>
        </w:tc>
        <w:tc>
          <w:tcPr>
            <w:tcW w:w="3168" w:type="dxa"/>
          </w:tcPr>
          <w:p w14:paraId="02394E49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Systolic blood pressure</w:t>
            </w:r>
          </w:p>
        </w:tc>
        <w:tc>
          <w:tcPr>
            <w:tcW w:w="5472" w:type="dxa"/>
          </w:tcPr>
          <w:p w14:paraId="13C2596B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Measurement mean; transformation unspecified</w:t>
            </w:r>
          </w:p>
        </w:tc>
      </w:tr>
      <w:tr w14:paraId="0E7B9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670A597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28</w:t>
            </w:r>
          </w:p>
        </w:tc>
        <w:tc>
          <w:tcPr>
            <w:tcW w:w="3168" w:type="dxa"/>
          </w:tcPr>
          <w:p w14:paraId="6F361364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Diastolic blood pressure</w:t>
            </w:r>
          </w:p>
        </w:tc>
        <w:tc>
          <w:tcPr>
            <w:tcW w:w="5472" w:type="dxa"/>
          </w:tcPr>
          <w:p w14:paraId="334A0007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Measurement mean; transformation unspecified</w:t>
            </w:r>
          </w:p>
        </w:tc>
      </w:tr>
      <w:tr w14:paraId="2E27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751B9141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29</w:t>
            </w:r>
          </w:p>
        </w:tc>
        <w:tc>
          <w:tcPr>
            <w:tcW w:w="3168" w:type="dxa"/>
          </w:tcPr>
          <w:p w14:paraId="42788C6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Pulse</w:t>
            </w:r>
          </w:p>
        </w:tc>
        <w:tc>
          <w:tcPr>
            <w:tcW w:w="5472" w:type="dxa"/>
          </w:tcPr>
          <w:p w14:paraId="6A35D403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Measurement mean; transformation unspecified</w:t>
            </w:r>
          </w:p>
        </w:tc>
      </w:tr>
      <w:tr w14:paraId="2D576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5EF0905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30</w:t>
            </w:r>
          </w:p>
        </w:tc>
        <w:tc>
          <w:tcPr>
            <w:tcW w:w="3168" w:type="dxa"/>
          </w:tcPr>
          <w:p w14:paraId="34F2258D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Peak expiratory flow</w:t>
            </w:r>
          </w:p>
        </w:tc>
        <w:tc>
          <w:tcPr>
            <w:tcW w:w="5472" w:type="dxa"/>
          </w:tcPr>
          <w:p w14:paraId="7DDAA451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Measurement mean; transformation unspecified</w:t>
            </w:r>
          </w:p>
        </w:tc>
      </w:tr>
      <w:tr w14:paraId="37CFB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339DA82B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31</w:t>
            </w:r>
          </w:p>
        </w:tc>
        <w:tc>
          <w:tcPr>
            <w:tcW w:w="3168" w:type="dxa"/>
          </w:tcPr>
          <w:p w14:paraId="600DE7B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Grip strength</w:t>
            </w:r>
          </w:p>
        </w:tc>
        <w:tc>
          <w:tcPr>
            <w:tcW w:w="5472" w:type="dxa"/>
          </w:tcPr>
          <w:p w14:paraId="00B7B5F3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Measurement mean; transformation unspecified</w:t>
            </w:r>
          </w:p>
        </w:tc>
      </w:tr>
      <w:tr w14:paraId="08BBB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5043B879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32</w:t>
            </w:r>
          </w:p>
        </w:tc>
        <w:tc>
          <w:tcPr>
            <w:tcW w:w="3168" w:type="dxa"/>
          </w:tcPr>
          <w:p w14:paraId="4B65653A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Cognition</w:t>
            </w:r>
          </w:p>
        </w:tc>
        <w:tc>
          <w:tcPr>
            <w:tcW w:w="5472" w:type="dxa"/>
          </w:tcPr>
          <w:p w14:paraId="6A9A3AD6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(Memory + orientation)/14; deficit direction unspecified</w:t>
            </w:r>
          </w:p>
        </w:tc>
      </w:tr>
      <w:tr w14:paraId="5F884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</w:tcPr>
          <w:p w14:paraId="38B21F6A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33</w:t>
            </w:r>
          </w:p>
        </w:tc>
        <w:tc>
          <w:tcPr>
            <w:tcW w:w="3168" w:type="dxa"/>
          </w:tcPr>
          <w:p w14:paraId="194560A7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Depression</w:t>
            </w:r>
          </w:p>
        </w:tc>
        <w:tc>
          <w:tcPr>
            <w:tcW w:w="5472" w:type="dxa"/>
          </w:tcPr>
          <w:p w14:paraId="252E896E">
            <w:pPr>
              <w:spacing w:before="20" w:after="20" w:line="240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CESD-10; 0–1 scaling unspecified</w:t>
            </w:r>
          </w:p>
        </w:tc>
      </w:tr>
    </w:tbl>
    <w:p w14:paraId="1ECF0361">
      <w:pPr>
        <w:rPr>
          <w:rFonts w:ascii="Arial" w:hAnsi="Arial"/>
          <w:b w:val="0"/>
          <w:color w:val="000000"/>
          <w:sz w:val="18"/>
        </w:rPr>
      </w:pPr>
      <w:r>
        <w:rPr>
          <w:rFonts w:ascii="Arial" w:hAnsi="Arial"/>
          <w:b w:val="0"/>
          <w:color w:val="000000"/>
          <w:sz w:val="18"/>
        </w:rPr>
        <w:t>A: CHARLS source code 1 denotes a problem and 2 its absence; deficit scores are 1 and 0. B: difficulty codes ≥2 denote a deficit; code 1 denotes none. These mappings apply to valid responses, not missing or nonresponse codes. Study rule: all 33 indicators must be observed; FI = sum of 33 deficit scores / 33. Any missing item precludes FI calculation; no prorating or item-level imputation is used. Items 26–33 lack a complete published conversion to deficit scores; the table documents the reported specification rather than a participant-level reconstruction.</w:t>
      </w:r>
    </w:p>
    <w:p w14:paraId="7D50EC12">
      <w:pPr>
        <w:rPr>
          <w:rFonts w:ascii="Arial" w:hAnsi="Arial"/>
          <w:b w:val="0"/>
          <w:color w:val="000000"/>
          <w:sz w:val="18"/>
        </w:rPr>
      </w:pPr>
    </w:p>
    <w:p w14:paraId="7D639B07">
      <w:bookmarkStart w:id="0" w:name="_GoBack"/>
      <w:bookmarkEnd w:id="0"/>
      <w:r>
        <w:rPr>
          <w:rFonts w:ascii="Arial" w:hAnsi="Arial"/>
          <w:b/>
          <w:i w:val="0"/>
          <w:color w:val="000000"/>
          <w:sz w:val="22"/>
        </w:rPr>
        <w:t>Table S1 Included versus otherwise eligible excluded participants</w:t>
      </w:r>
    </w:p>
    <w:tbl>
      <w:tblPr>
        <w:tblStyle w:val="32"/>
        <w:tblW w:w="0" w:type="auto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736"/>
        <w:gridCol w:w="2736"/>
        <w:gridCol w:w="1152"/>
      </w:tblGrid>
      <w:tr w14:paraId="079778F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160" w:type="dxa"/>
            <w:shd w:val="clear" w:color="auto" w:fill="E7EEF4"/>
            <w:vAlign w:val="center"/>
          </w:tcPr>
          <w:p w14:paraId="6181980B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/>
                <w:sz w:val="18"/>
              </w:rPr>
              <w:t>Characteristic</w:t>
            </w:r>
          </w:p>
        </w:tc>
        <w:tc>
          <w:tcPr>
            <w:tcW w:w="2736" w:type="dxa"/>
            <w:shd w:val="clear" w:color="auto" w:fill="E7EEF4"/>
            <w:vAlign w:val="center"/>
          </w:tcPr>
          <w:p w14:paraId="58C85A6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Included n=7,443</w:t>
            </w:r>
          </w:p>
        </w:tc>
        <w:tc>
          <w:tcPr>
            <w:tcW w:w="2736" w:type="dxa"/>
            <w:shd w:val="clear" w:color="auto" w:fill="E7EEF4"/>
            <w:vAlign w:val="center"/>
          </w:tcPr>
          <w:p w14:paraId="04DA309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Excluded n=6,898</w:t>
            </w:r>
          </w:p>
        </w:tc>
        <w:tc>
          <w:tcPr>
            <w:tcW w:w="1152" w:type="dxa"/>
            <w:shd w:val="clear" w:color="auto" w:fill="E7EEF4"/>
            <w:vAlign w:val="center"/>
          </w:tcPr>
          <w:p w14:paraId="431011A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SMD</w:t>
            </w:r>
          </w:p>
        </w:tc>
      </w:tr>
      <w:tr w14:paraId="73273F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5264E3F8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Age, years</w:t>
            </w:r>
          </w:p>
        </w:tc>
        <w:tc>
          <w:tcPr>
            <w:tcW w:w="2736" w:type="dxa"/>
            <w:vAlign w:val="center"/>
          </w:tcPr>
          <w:p w14:paraId="41B7487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59.00 (52.00, 65.00)</w:t>
            </w:r>
          </w:p>
        </w:tc>
        <w:tc>
          <w:tcPr>
            <w:tcW w:w="2736" w:type="dxa"/>
            <w:vAlign w:val="center"/>
          </w:tcPr>
          <w:p w14:paraId="22A1B2B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57.00 (50.00, 63.00)</w:t>
            </w:r>
          </w:p>
        </w:tc>
        <w:tc>
          <w:tcPr>
            <w:tcW w:w="1152" w:type="dxa"/>
            <w:vAlign w:val="center"/>
          </w:tcPr>
          <w:p w14:paraId="7302D4F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0.145</w:t>
            </w:r>
          </w:p>
        </w:tc>
      </w:tr>
      <w:tr w14:paraId="3DF7A14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0AE1B516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BMI, kg/m²</w:t>
            </w:r>
          </w:p>
        </w:tc>
        <w:tc>
          <w:tcPr>
            <w:tcW w:w="2736" w:type="dxa"/>
            <w:vAlign w:val="center"/>
          </w:tcPr>
          <w:p w14:paraId="2C4750C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23.52 (21.30, 26.05)</w:t>
            </w:r>
          </w:p>
        </w:tc>
        <w:tc>
          <w:tcPr>
            <w:tcW w:w="2736" w:type="dxa"/>
            <w:vAlign w:val="center"/>
          </w:tcPr>
          <w:p w14:paraId="10DBE82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22.46 (20.28, 25.16)</w:t>
            </w:r>
          </w:p>
        </w:tc>
        <w:tc>
          <w:tcPr>
            <w:tcW w:w="1152" w:type="dxa"/>
            <w:vAlign w:val="center"/>
          </w:tcPr>
          <w:p w14:paraId="241CC1C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0.027</w:t>
            </w:r>
          </w:p>
        </w:tc>
      </w:tr>
      <w:tr w14:paraId="20002BC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197CE63F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RCII</w:t>
            </w:r>
          </w:p>
        </w:tc>
        <w:tc>
          <w:tcPr>
            <w:tcW w:w="2736" w:type="dxa"/>
            <w:vAlign w:val="center"/>
          </w:tcPr>
          <w:p w14:paraId="5DA93CC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2.12 (0.84, 5.52)</w:t>
            </w:r>
          </w:p>
        </w:tc>
        <w:tc>
          <w:tcPr>
            <w:tcW w:w="2736" w:type="dxa"/>
            <w:vAlign w:val="center"/>
          </w:tcPr>
          <w:p w14:paraId="7CCF6C7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1.77 (0.71, 5.28)</w:t>
            </w:r>
          </w:p>
        </w:tc>
        <w:tc>
          <w:tcPr>
            <w:tcW w:w="1152" w:type="dxa"/>
            <w:vAlign w:val="center"/>
          </w:tcPr>
          <w:p w14:paraId="0320DB0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0.004</w:t>
            </w:r>
          </w:p>
        </w:tc>
      </w:tr>
      <w:tr w14:paraId="70C3AFA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158804E6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Frailty index</w:t>
            </w:r>
          </w:p>
        </w:tc>
        <w:tc>
          <w:tcPr>
            <w:tcW w:w="2736" w:type="dxa"/>
            <w:vAlign w:val="center"/>
          </w:tcPr>
          <w:p w14:paraId="067AD78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0.10 (0.05, 0.17)</w:t>
            </w:r>
          </w:p>
        </w:tc>
        <w:tc>
          <w:tcPr>
            <w:tcW w:w="2736" w:type="dxa"/>
            <w:vAlign w:val="center"/>
          </w:tcPr>
          <w:p w14:paraId="25A0C78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0.08 (0.04, 0.17)</w:t>
            </w:r>
          </w:p>
        </w:tc>
        <w:tc>
          <w:tcPr>
            <w:tcW w:w="1152" w:type="dxa"/>
            <w:vAlign w:val="center"/>
          </w:tcPr>
          <w:p w14:paraId="3A5E0CB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0.014</w:t>
            </w:r>
          </w:p>
        </w:tc>
      </w:tr>
      <w:tr w14:paraId="163A322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3306B308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Male</w:t>
            </w:r>
          </w:p>
        </w:tc>
        <w:tc>
          <w:tcPr>
            <w:tcW w:w="2736" w:type="dxa"/>
            <w:vAlign w:val="center"/>
          </w:tcPr>
          <w:p w14:paraId="7A646ED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3555 (47.8)</w:t>
            </w:r>
          </w:p>
        </w:tc>
        <w:tc>
          <w:tcPr>
            <w:tcW w:w="2736" w:type="dxa"/>
            <w:vAlign w:val="center"/>
          </w:tcPr>
          <w:p w14:paraId="55C2A6A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3268 (47.4)</w:t>
            </w:r>
          </w:p>
        </w:tc>
        <w:tc>
          <w:tcPr>
            <w:tcW w:w="1152" w:type="dxa"/>
            <w:vAlign w:val="center"/>
          </w:tcPr>
          <w:p w14:paraId="4730FE7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0.008</w:t>
            </w:r>
          </w:p>
        </w:tc>
      </w:tr>
      <w:tr w14:paraId="0B525A9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6A48571A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Rural residence</w:t>
            </w:r>
          </w:p>
        </w:tc>
        <w:tc>
          <w:tcPr>
            <w:tcW w:w="2736" w:type="dxa"/>
            <w:vAlign w:val="center"/>
          </w:tcPr>
          <w:p w14:paraId="425CC93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4808 (64.6)</w:t>
            </w:r>
          </w:p>
        </w:tc>
        <w:tc>
          <w:tcPr>
            <w:tcW w:w="2736" w:type="dxa"/>
            <w:vAlign w:val="center"/>
          </w:tcPr>
          <w:p w14:paraId="70D5034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3885 (56.3)</w:t>
            </w:r>
          </w:p>
        </w:tc>
        <w:tc>
          <w:tcPr>
            <w:tcW w:w="1152" w:type="dxa"/>
            <w:vAlign w:val="center"/>
          </w:tcPr>
          <w:p w14:paraId="5EE4674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0.170</w:t>
            </w:r>
          </w:p>
        </w:tc>
      </w:tr>
      <w:tr w14:paraId="121757A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46C722FF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Current smoking</w:t>
            </w:r>
          </w:p>
        </w:tc>
        <w:tc>
          <w:tcPr>
            <w:tcW w:w="2736" w:type="dxa"/>
            <w:vAlign w:val="center"/>
          </w:tcPr>
          <w:p w14:paraId="1BD9E3A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2298 (30.9)</w:t>
            </w:r>
          </w:p>
        </w:tc>
        <w:tc>
          <w:tcPr>
            <w:tcW w:w="2736" w:type="dxa"/>
            <w:vAlign w:val="center"/>
          </w:tcPr>
          <w:p w14:paraId="63AB2D0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1718 (26.9)</w:t>
            </w:r>
          </w:p>
        </w:tc>
        <w:tc>
          <w:tcPr>
            <w:tcW w:w="1152" w:type="dxa"/>
            <w:vAlign w:val="center"/>
          </w:tcPr>
          <w:p w14:paraId="346B91BB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0.090</w:t>
            </w:r>
          </w:p>
        </w:tc>
      </w:tr>
      <w:tr w14:paraId="5FB2A31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3F130A02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Current drinking</w:t>
            </w:r>
          </w:p>
        </w:tc>
        <w:tc>
          <w:tcPr>
            <w:tcW w:w="2736" w:type="dxa"/>
            <w:vAlign w:val="center"/>
          </w:tcPr>
          <w:p w14:paraId="3CD3155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2536 (34.1)</w:t>
            </w:r>
          </w:p>
        </w:tc>
        <w:tc>
          <w:tcPr>
            <w:tcW w:w="2736" w:type="dxa"/>
            <w:vAlign w:val="center"/>
          </w:tcPr>
          <w:p w14:paraId="56F12EE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2294 (33.3)</w:t>
            </w:r>
          </w:p>
        </w:tc>
        <w:tc>
          <w:tcPr>
            <w:tcW w:w="1152" w:type="dxa"/>
            <w:vAlign w:val="center"/>
          </w:tcPr>
          <w:p w14:paraId="72BECFB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0.015</w:t>
            </w:r>
          </w:p>
        </w:tc>
      </w:tr>
      <w:tr w14:paraId="0E3ED40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39E719D8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Hypertension</w:t>
            </w:r>
          </w:p>
        </w:tc>
        <w:tc>
          <w:tcPr>
            <w:tcW w:w="2736" w:type="dxa"/>
            <w:vAlign w:val="center"/>
          </w:tcPr>
          <w:p w14:paraId="02B069C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3668 (49.4)</w:t>
            </w:r>
          </w:p>
        </w:tc>
        <w:tc>
          <w:tcPr>
            <w:tcW w:w="2736" w:type="dxa"/>
            <w:vAlign w:val="center"/>
          </w:tcPr>
          <w:p w14:paraId="358300A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2556 (37.2)</w:t>
            </w:r>
          </w:p>
        </w:tc>
        <w:tc>
          <w:tcPr>
            <w:tcW w:w="1152" w:type="dxa"/>
            <w:vAlign w:val="center"/>
          </w:tcPr>
          <w:p w14:paraId="27ED6F5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0.249</w:t>
            </w:r>
          </w:p>
        </w:tc>
      </w:tr>
      <w:tr w14:paraId="1AEE52C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7766813B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Diabetes</w:t>
            </w:r>
          </w:p>
        </w:tc>
        <w:tc>
          <w:tcPr>
            <w:tcW w:w="2736" w:type="dxa"/>
            <w:vAlign w:val="center"/>
          </w:tcPr>
          <w:p w14:paraId="1D17D9D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1112 (15.0)</w:t>
            </w:r>
          </w:p>
        </w:tc>
        <w:tc>
          <w:tcPr>
            <w:tcW w:w="2736" w:type="dxa"/>
            <w:vAlign w:val="center"/>
          </w:tcPr>
          <w:p w14:paraId="707668B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607 (8.9)</w:t>
            </w:r>
          </w:p>
        </w:tc>
        <w:tc>
          <w:tcPr>
            <w:tcW w:w="1152" w:type="dxa"/>
            <w:vAlign w:val="center"/>
          </w:tcPr>
          <w:p w14:paraId="209FBE0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0.192</w:t>
            </w:r>
          </w:p>
        </w:tc>
      </w:tr>
      <w:tr w14:paraId="48D0389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4F92C21D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Heart disease</w:t>
            </w:r>
          </w:p>
        </w:tc>
        <w:tc>
          <w:tcPr>
            <w:tcW w:w="2736" w:type="dxa"/>
            <w:vAlign w:val="center"/>
          </w:tcPr>
          <w:p w14:paraId="6014D86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836 (11.3)</w:t>
            </w:r>
          </w:p>
        </w:tc>
        <w:tc>
          <w:tcPr>
            <w:tcW w:w="2736" w:type="dxa"/>
            <w:vAlign w:val="center"/>
          </w:tcPr>
          <w:p w14:paraId="43CEDE3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726 (10.6)</w:t>
            </w:r>
          </w:p>
        </w:tc>
        <w:tc>
          <w:tcPr>
            <w:tcW w:w="1152" w:type="dxa"/>
            <w:vAlign w:val="center"/>
          </w:tcPr>
          <w:p w14:paraId="74E71AD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0.022</w:t>
            </w:r>
          </w:p>
        </w:tc>
      </w:tr>
      <w:tr w14:paraId="2E7DCB7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1ABC48CF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Stroke</w:t>
            </w:r>
          </w:p>
        </w:tc>
        <w:tc>
          <w:tcPr>
            <w:tcW w:w="2736" w:type="dxa"/>
            <w:vAlign w:val="center"/>
          </w:tcPr>
          <w:p w14:paraId="084E1E9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166 (2.2)</w:t>
            </w:r>
          </w:p>
        </w:tc>
        <w:tc>
          <w:tcPr>
            <w:tcW w:w="2736" w:type="dxa"/>
            <w:vAlign w:val="center"/>
          </w:tcPr>
          <w:p w14:paraId="55991CD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201 (2.9)</w:t>
            </w:r>
          </w:p>
        </w:tc>
        <w:tc>
          <w:tcPr>
            <w:tcW w:w="1152" w:type="dxa"/>
            <w:vAlign w:val="center"/>
          </w:tcPr>
          <w:p w14:paraId="6D47D4C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0.043</w:t>
            </w:r>
          </w:p>
        </w:tc>
      </w:tr>
      <w:tr w14:paraId="7198AE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60" w:type="dxa"/>
            <w:vAlign w:val="center"/>
          </w:tcPr>
          <w:p w14:paraId="35FD3EBB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Kidney disease</w:t>
            </w:r>
          </w:p>
        </w:tc>
        <w:tc>
          <w:tcPr>
            <w:tcW w:w="2736" w:type="dxa"/>
            <w:vAlign w:val="center"/>
          </w:tcPr>
          <w:p w14:paraId="3B28D15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390 (5.3)</w:t>
            </w:r>
          </w:p>
        </w:tc>
        <w:tc>
          <w:tcPr>
            <w:tcW w:w="2736" w:type="dxa"/>
            <w:vAlign w:val="center"/>
          </w:tcPr>
          <w:p w14:paraId="7028715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352 (5.1)</w:t>
            </w:r>
          </w:p>
        </w:tc>
        <w:tc>
          <w:tcPr>
            <w:tcW w:w="1152" w:type="dxa"/>
            <w:vAlign w:val="center"/>
          </w:tcPr>
          <w:p w14:paraId="02AE27F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0.006</w:t>
            </w:r>
          </w:p>
        </w:tc>
      </w:tr>
    </w:tbl>
    <w:p w14:paraId="04D3FA82">
      <w:pPr>
        <w:spacing w:after="120" w:line="252" w:lineRule="auto"/>
      </w:pPr>
      <w:r>
        <w:rPr>
          <w:rFonts w:ascii="Arial" w:hAnsi="Arial"/>
          <w:b w:val="0"/>
          <w:sz w:val="20"/>
        </w:rPr>
        <w:t>The comparison includes the original age≥45, baseline-CLD-negative population with follow-up assessment (n=14,341): 7,443 included, with 1,156 events; 6,898 excluded, with 1,014 subsequently reported events. Exclusion includes the original selection restriction and the additional measurement requirement. Continuous values are median (IQR); categorical values are n (%) with observed denominators. SMD is the absolute standardised mean difference. This descriptive table contains no hypothesis tests. IQR, interquartile range; BMI, body mass index; RCII, remnant cholesterol inflammatory index; FI, frailty index.</w:t>
      </w:r>
    </w:p>
    <w:p w14:paraId="3AA49A31">
      <w:pPr>
        <w:spacing w:line="252" w:lineRule="auto"/>
      </w:pPr>
      <w:r>
        <w:rPr>
          <w:rFonts w:ascii="Arial" w:hAnsi="Arial" w:eastAsia="微软雅黑"/>
          <w:color w:val="000000"/>
          <w:sz w:val="19"/>
        </w:rPr>
        <w:br w:type="page"/>
      </w:r>
    </w:p>
    <w:p w14:paraId="0376C266">
      <w:pPr>
        <w:pStyle w:val="3"/>
      </w:pPr>
      <w:r>
        <w:rPr>
          <w:rFonts w:ascii="Arial" w:hAnsi="Arial"/>
          <w:b/>
          <w:i w:val="0"/>
          <w:color w:val="000000"/>
          <w:sz w:val="22"/>
        </w:rPr>
        <w:t>Table S2 Descriptive univariable Cox associations</w:t>
      </w:r>
    </w:p>
    <w:tbl>
      <w:tblPr>
        <w:tblStyle w:val="32"/>
        <w:tblW w:w="0" w:type="auto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2016"/>
        <w:gridCol w:w="2016"/>
        <w:gridCol w:w="864"/>
        <w:gridCol w:w="1584"/>
      </w:tblGrid>
      <w:tr w14:paraId="074969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232" w:type="dxa"/>
            <w:shd w:val="clear" w:color="auto" w:fill="E7EEF4"/>
            <w:vAlign w:val="center"/>
          </w:tcPr>
          <w:p w14:paraId="4BB2E614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/>
                <w:sz w:val="18"/>
              </w:rPr>
              <w:t>Predictor</w:t>
            </w:r>
          </w:p>
        </w:tc>
        <w:tc>
          <w:tcPr>
            <w:tcW w:w="2016" w:type="dxa"/>
            <w:shd w:val="clear" w:color="auto" w:fill="E7EEF4"/>
            <w:vAlign w:val="center"/>
          </w:tcPr>
          <w:p w14:paraId="302BD91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Comparison n</w:t>
            </w:r>
          </w:p>
        </w:tc>
        <w:tc>
          <w:tcPr>
            <w:tcW w:w="2016" w:type="dxa"/>
            <w:shd w:val="clear" w:color="auto" w:fill="E7EEF4"/>
            <w:vAlign w:val="center"/>
          </w:tcPr>
          <w:p w14:paraId="11C6792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HR (95% CI)</w:t>
            </w:r>
          </w:p>
        </w:tc>
        <w:tc>
          <w:tcPr>
            <w:tcW w:w="864" w:type="dxa"/>
            <w:shd w:val="clear" w:color="auto" w:fill="E7EEF4"/>
            <w:vAlign w:val="center"/>
          </w:tcPr>
          <w:p w14:paraId="35C8298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P</w:t>
            </w:r>
          </w:p>
        </w:tc>
        <w:tc>
          <w:tcPr>
            <w:tcW w:w="1584" w:type="dxa"/>
            <w:shd w:val="clear" w:color="auto" w:fill="E7EEF4"/>
            <w:vAlign w:val="center"/>
          </w:tcPr>
          <w:p w14:paraId="4103DB6B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n/events</w:t>
            </w:r>
          </w:p>
        </w:tc>
      </w:tr>
      <w:tr w14:paraId="5243DF2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3B4CE0E7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Age, years</w:t>
            </w:r>
          </w:p>
        </w:tc>
        <w:tc>
          <w:tcPr>
            <w:tcW w:w="2016" w:type="dxa"/>
            <w:vAlign w:val="center"/>
          </w:tcPr>
          <w:p w14:paraId="0552079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Per source unit</w:t>
            </w:r>
          </w:p>
        </w:tc>
        <w:tc>
          <w:tcPr>
            <w:tcW w:w="2016" w:type="dxa"/>
            <w:vAlign w:val="center"/>
          </w:tcPr>
          <w:p w14:paraId="0CFBFA3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1.02 (1.01–1.03)</w:t>
            </w:r>
          </w:p>
        </w:tc>
        <w:tc>
          <w:tcPr>
            <w:tcW w:w="864" w:type="dxa"/>
            <w:vAlign w:val="center"/>
          </w:tcPr>
          <w:p w14:paraId="3B90EED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  <w:tc>
          <w:tcPr>
            <w:tcW w:w="1584" w:type="dxa"/>
            <w:vAlign w:val="center"/>
          </w:tcPr>
          <w:p w14:paraId="5C0C588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6CC6405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080C8077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Male sex</w:t>
            </w:r>
          </w:p>
        </w:tc>
        <w:tc>
          <w:tcPr>
            <w:tcW w:w="2016" w:type="dxa"/>
            <w:vAlign w:val="center"/>
          </w:tcPr>
          <w:p w14:paraId="38CF614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1/0: 3,472/3,770</w:t>
            </w:r>
          </w:p>
        </w:tc>
        <w:tc>
          <w:tcPr>
            <w:tcW w:w="2016" w:type="dxa"/>
            <w:vAlign w:val="center"/>
          </w:tcPr>
          <w:p w14:paraId="2575918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1.37 (1.22–1.54)</w:t>
            </w:r>
          </w:p>
        </w:tc>
        <w:tc>
          <w:tcPr>
            <w:tcW w:w="864" w:type="dxa"/>
            <w:vAlign w:val="center"/>
          </w:tcPr>
          <w:p w14:paraId="0B15E5C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  <w:tc>
          <w:tcPr>
            <w:tcW w:w="1584" w:type="dxa"/>
            <w:vAlign w:val="center"/>
          </w:tcPr>
          <w:p w14:paraId="057B0DF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173EB80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2284A32A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Education code</w:t>
            </w:r>
          </w:p>
        </w:tc>
        <w:tc>
          <w:tcPr>
            <w:tcW w:w="2016" w:type="dxa"/>
            <w:vAlign w:val="center"/>
          </w:tcPr>
          <w:p w14:paraId="6AAECBD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Per source unit</w:t>
            </w:r>
          </w:p>
        </w:tc>
        <w:tc>
          <w:tcPr>
            <w:tcW w:w="2016" w:type="dxa"/>
            <w:vAlign w:val="center"/>
          </w:tcPr>
          <w:p w14:paraId="63A93DD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0.90 (0.85–0.96)</w:t>
            </w:r>
          </w:p>
        </w:tc>
        <w:tc>
          <w:tcPr>
            <w:tcW w:w="864" w:type="dxa"/>
            <w:vAlign w:val="center"/>
          </w:tcPr>
          <w:p w14:paraId="4B31681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  <w:tc>
          <w:tcPr>
            <w:tcW w:w="1584" w:type="dxa"/>
            <w:vAlign w:val="center"/>
          </w:tcPr>
          <w:p w14:paraId="5F2B99A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42E3FCA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6148195C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Married</w:t>
            </w:r>
          </w:p>
        </w:tc>
        <w:tc>
          <w:tcPr>
            <w:tcW w:w="2016" w:type="dxa"/>
            <w:vAlign w:val="center"/>
          </w:tcPr>
          <w:p w14:paraId="4EC53BF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1/0: 6,397/845</w:t>
            </w:r>
          </w:p>
        </w:tc>
        <w:tc>
          <w:tcPr>
            <w:tcW w:w="2016" w:type="dxa"/>
            <w:vAlign w:val="center"/>
          </w:tcPr>
          <w:p w14:paraId="23348D7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0.75 (0.63–0.89)</w:t>
            </w:r>
          </w:p>
        </w:tc>
        <w:tc>
          <w:tcPr>
            <w:tcW w:w="864" w:type="dxa"/>
            <w:vAlign w:val="center"/>
          </w:tcPr>
          <w:p w14:paraId="15FEAEC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  <w:tc>
          <w:tcPr>
            <w:tcW w:w="1584" w:type="dxa"/>
            <w:vAlign w:val="center"/>
          </w:tcPr>
          <w:p w14:paraId="32511CE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029C58D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59CA912A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Rural residence</w:t>
            </w:r>
          </w:p>
        </w:tc>
        <w:tc>
          <w:tcPr>
            <w:tcW w:w="2016" w:type="dxa"/>
            <w:vAlign w:val="center"/>
          </w:tcPr>
          <w:p w14:paraId="3E3C9BD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1/0: 4,667/2,575</w:t>
            </w:r>
          </w:p>
        </w:tc>
        <w:tc>
          <w:tcPr>
            <w:tcW w:w="2016" w:type="dxa"/>
            <w:vAlign w:val="center"/>
          </w:tcPr>
          <w:p w14:paraId="31E42CF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1.16 (1.02–1.31)</w:t>
            </w:r>
          </w:p>
        </w:tc>
        <w:tc>
          <w:tcPr>
            <w:tcW w:w="864" w:type="dxa"/>
            <w:vAlign w:val="center"/>
          </w:tcPr>
          <w:p w14:paraId="5CD2322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0.020</w:t>
            </w:r>
          </w:p>
        </w:tc>
        <w:tc>
          <w:tcPr>
            <w:tcW w:w="1584" w:type="dxa"/>
            <w:vAlign w:val="center"/>
          </w:tcPr>
          <w:p w14:paraId="48A7DF3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623EDE0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7733DF9F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BMI, kg/m²</w:t>
            </w:r>
          </w:p>
        </w:tc>
        <w:tc>
          <w:tcPr>
            <w:tcW w:w="2016" w:type="dxa"/>
            <w:vAlign w:val="center"/>
          </w:tcPr>
          <w:p w14:paraId="79857B9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Per source unit</w:t>
            </w:r>
          </w:p>
        </w:tc>
        <w:tc>
          <w:tcPr>
            <w:tcW w:w="2016" w:type="dxa"/>
            <w:vAlign w:val="center"/>
          </w:tcPr>
          <w:p w14:paraId="76F8F98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1.00 (0.99–1.01)</w:t>
            </w:r>
          </w:p>
        </w:tc>
        <w:tc>
          <w:tcPr>
            <w:tcW w:w="864" w:type="dxa"/>
            <w:vAlign w:val="center"/>
          </w:tcPr>
          <w:p w14:paraId="54211B7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0.916</w:t>
            </w:r>
          </w:p>
        </w:tc>
        <w:tc>
          <w:tcPr>
            <w:tcW w:w="1584" w:type="dxa"/>
            <w:vAlign w:val="center"/>
          </w:tcPr>
          <w:p w14:paraId="4EC7D25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4188D98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17D3B356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Current smoking</w:t>
            </w:r>
          </w:p>
        </w:tc>
        <w:tc>
          <w:tcPr>
            <w:tcW w:w="2016" w:type="dxa"/>
            <w:vAlign w:val="center"/>
          </w:tcPr>
          <w:p w14:paraId="36455D3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1/0: 2,254/4,988</w:t>
            </w:r>
          </w:p>
        </w:tc>
        <w:tc>
          <w:tcPr>
            <w:tcW w:w="2016" w:type="dxa"/>
            <w:vAlign w:val="center"/>
          </w:tcPr>
          <w:p w14:paraId="604212E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1.32 (1.17–1.49)</w:t>
            </w:r>
          </w:p>
        </w:tc>
        <w:tc>
          <w:tcPr>
            <w:tcW w:w="864" w:type="dxa"/>
            <w:vAlign w:val="center"/>
          </w:tcPr>
          <w:p w14:paraId="7726BC4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  <w:tc>
          <w:tcPr>
            <w:tcW w:w="1584" w:type="dxa"/>
            <w:vAlign w:val="center"/>
          </w:tcPr>
          <w:p w14:paraId="126F3CD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7CC31B8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6DE08732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Current drinking</w:t>
            </w:r>
          </w:p>
        </w:tc>
        <w:tc>
          <w:tcPr>
            <w:tcW w:w="2016" w:type="dxa"/>
            <w:vAlign w:val="center"/>
          </w:tcPr>
          <w:p w14:paraId="7E0DEAF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1/0: 2,466/4,776</w:t>
            </w:r>
          </w:p>
        </w:tc>
        <w:tc>
          <w:tcPr>
            <w:tcW w:w="2016" w:type="dxa"/>
            <w:vAlign w:val="center"/>
          </w:tcPr>
          <w:p w14:paraId="132160C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1.07 (0.95–1.21)</w:t>
            </w:r>
          </w:p>
        </w:tc>
        <w:tc>
          <w:tcPr>
            <w:tcW w:w="864" w:type="dxa"/>
            <w:vAlign w:val="center"/>
          </w:tcPr>
          <w:p w14:paraId="5DD73AF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0.276</w:t>
            </w:r>
          </w:p>
        </w:tc>
        <w:tc>
          <w:tcPr>
            <w:tcW w:w="1584" w:type="dxa"/>
            <w:vAlign w:val="center"/>
          </w:tcPr>
          <w:p w14:paraId="27BAC8C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7D5EBB5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4268385F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Sleep duration, h</w:t>
            </w:r>
          </w:p>
        </w:tc>
        <w:tc>
          <w:tcPr>
            <w:tcW w:w="2016" w:type="dxa"/>
            <w:vAlign w:val="center"/>
          </w:tcPr>
          <w:p w14:paraId="2B78EBC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Per source unit</w:t>
            </w:r>
          </w:p>
        </w:tc>
        <w:tc>
          <w:tcPr>
            <w:tcW w:w="2016" w:type="dxa"/>
            <w:vAlign w:val="center"/>
          </w:tcPr>
          <w:p w14:paraId="42C9090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0.94 (0.91–0.97)</w:t>
            </w:r>
          </w:p>
        </w:tc>
        <w:tc>
          <w:tcPr>
            <w:tcW w:w="864" w:type="dxa"/>
            <w:vAlign w:val="center"/>
          </w:tcPr>
          <w:p w14:paraId="330A858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  <w:tc>
          <w:tcPr>
            <w:tcW w:w="1584" w:type="dxa"/>
            <w:vAlign w:val="center"/>
          </w:tcPr>
          <w:p w14:paraId="5DE2F18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5CDDC9F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58E4B207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Hypertension</w:t>
            </w:r>
          </w:p>
        </w:tc>
        <w:tc>
          <w:tcPr>
            <w:tcW w:w="2016" w:type="dxa"/>
            <w:vAlign w:val="center"/>
          </w:tcPr>
          <w:p w14:paraId="7EAEFAA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1/0: 3,565/3,677</w:t>
            </w:r>
          </w:p>
        </w:tc>
        <w:tc>
          <w:tcPr>
            <w:tcW w:w="2016" w:type="dxa"/>
            <w:vAlign w:val="center"/>
          </w:tcPr>
          <w:p w14:paraId="70BD605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1.05 (0.94–1.18)</w:t>
            </w:r>
          </w:p>
        </w:tc>
        <w:tc>
          <w:tcPr>
            <w:tcW w:w="864" w:type="dxa"/>
            <w:vAlign w:val="center"/>
          </w:tcPr>
          <w:p w14:paraId="7809DFB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0.393</w:t>
            </w:r>
          </w:p>
        </w:tc>
        <w:tc>
          <w:tcPr>
            <w:tcW w:w="1584" w:type="dxa"/>
            <w:vAlign w:val="center"/>
          </w:tcPr>
          <w:p w14:paraId="70AC404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25D9A2C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1ACEA151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Diabetes</w:t>
            </w:r>
          </w:p>
        </w:tc>
        <w:tc>
          <w:tcPr>
            <w:tcW w:w="2016" w:type="dxa"/>
            <w:vAlign w:val="center"/>
          </w:tcPr>
          <w:p w14:paraId="56D704A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1/0: 1,081/6,161</w:t>
            </w:r>
          </w:p>
        </w:tc>
        <w:tc>
          <w:tcPr>
            <w:tcW w:w="2016" w:type="dxa"/>
            <w:vAlign w:val="center"/>
          </w:tcPr>
          <w:p w14:paraId="09F1780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0.93 (0.78–1.10)</w:t>
            </w:r>
          </w:p>
        </w:tc>
        <w:tc>
          <w:tcPr>
            <w:tcW w:w="864" w:type="dxa"/>
            <w:vAlign w:val="center"/>
          </w:tcPr>
          <w:p w14:paraId="133A727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0.395</w:t>
            </w:r>
          </w:p>
        </w:tc>
        <w:tc>
          <w:tcPr>
            <w:tcW w:w="1584" w:type="dxa"/>
            <w:vAlign w:val="center"/>
          </w:tcPr>
          <w:p w14:paraId="6289547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5222A54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7ECE9685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Heart disease</w:t>
            </w:r>
          </w:p>
        </w:tc>
        <w:tc>
          <w:tcPr>
            <w:tcW w:w="2016" w:type="dxa"/>
            <w:vAlign w:val="center"/>
          </w:tcPr>
          <w:p w14:paraId="44D95F5B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1/0: 816/6,426</w:t>
            </w:r>
          </w:p>
        </w:tc>
        <w:tc>
          <w:tcPr>
            <w:tcW w:w="2016" w:type="dxa"/>
            <w:vAlign w:val="center"/>
          </w:tcPr>
          <w:p w14:paraId="1F9F8ED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1.71 (1.46–2.00)</w:t>
            </w:r>
          </w:p>
        </w:tc>
        <w:tc>
          <w:tcPr>
            <w:tcW w:w="864" w:type="dxa"/>
            <w:vAlign w:val="center"/>
          </w:tcPr>
          <w:p w14:paraId="16F5D0B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  <w:tc>
          <w:tcPr>
            <w:tcW w:w="1584" w:type="dxa"/>
            <w:vAlign w:val="center"/>
          </w:tcPr>
          <w:p w14:paraId="7C3A32B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2F73ED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5B9E8DAD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Stroke</w:t>
            </w:r>
          </w:p>
        </w:tc>
        <w:tc>
          <w:tcPr>
            <w:tcW w:w="2016" w:type="dxa"/>
            <w:vAlign w:val="center"/>
          </w:tcPr>
          <w:p w14:paraId="171EB15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1/0: 159/7,083</w:t>
            </w:r>
          </w:p>
        </w:tc>
        <w:tc>
          <w:tcPr>
            <w:tcW w:w="2016" w:type="dxa"/>
            <w:vAlign w:val="center"/>
          </w:tcPr>
          <w:p w14:paraId="70A109D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1.29 (0.89–1.88)</w:t>
            </w:r>
          </w:p>
        </w:tc>
        <w:tc>
          <w:tcPr>
            <w:tcW w:w="864" w:type="dxa"/>
            <w:vAlign w:val="center"/>
          </w:tcPr>
          <w:p w14:paraId="22EFC5C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0.184</w:t>
            </w:r>
          </w:p>
        </w:tc>
        <w:tc>
          <w:tcPr>
            <w:tcW w:w="1584" w:type="dxa"/>
            <w:vAlign w:val="center"/>
          </w:tcPr>
          <w:p w14:paraId="7295977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  <w:tr w14:paraId="67486E0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32" w:type="dxa"/>
            <w:vAlign w:val="center"/>
          </w:tcPr>
          <w:p w14:paraId="3A0DB967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Kidney disease</w:t>
            </w:r>
          </w:p>
        </w:tc>
        <w:tc>
          <w:tcPr>
            <w:tcW w:w="2016" w:type="dxa"/>
            <w:vAlign w:val="center"/>
          </w:tcPr>
          <w:p w14:paraId="58B62BB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1/0: 383/6,859</w:t>
            </w:r>
          </w:p>
        </w:tc>
        <w:tc>
          <w:tcPr>
            <w:tcW w:w="2016" w:type="dxa"/>
            <w:vAlign w:val="center"/>
          </w:tcPr>
          <w:p w14:paraId="6E11876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1.71 (1.38–2.11)</w:t>
            </w:r>
          </w:p>
        </w:tc>
        <w:tc>
          <w:tcPr>
            <w:tcW w:w="864" w:type="dxa"/>
            <w:vAlign w:val="center"/>
          </w:tcPr>
          <w:p w14:paraId="17D1FEB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  <w:tc>
          <w:tcPr>
            <w:tcW w:w="1584" w:type="dxa"/>
            <w:vAlign w:val="center"/>
          </w:tcPr>
          <w:p w14:paraId="5C208B5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</w:tr>
    </w:tbl>
    <w:p w14:paraId="253C1531">
      <w:pPr>
        <w:spacing w:after="120" w:line="252" w:lineRule="auto"/>
      </w:pPr>
      <w:r>
        <w:rPr>
          <w:rFonts w:ascii="Arial" w:hAnsi="Arial"/>
          <w:b w:val="0"/>
          <w:sz w:val="20"/>
        </w:rPr>
        <w:t>All regressions use the same 7,242 complete cases and 1,125 events. HR, hazard ratio; CI, confidence interval; BMI, body mass index. Binary contrasts are 1 versus 0 with group sizes shown; age, BMI and sleep are per year, kg/m² and hour. Education and marital status retain source coding. P values are two-sided Wald tests and did not determine covariate selection.</w:t>
      </w:r>
    </w:p>
    <w:p w14:paraId="58A66AA9">
      <w:pPr>
        <w:pStyle w:val="3"/>
        <w:pageBreakBefore/>
      </w:pPr>
      <w:r>
        <w:rPr>
          <w:rFonts w:ascii="Arial" w:hAnsi="Arial"/>
          <w:b/>
          <w:i w:val="0"/>
          <w:color w:val="000000"/>
          <w:sz w:val="22"/>
        </w:rPr>
        <w:t>Table S3 Additional sensitivity analyses</w:t>
      </w:r>
    </w:p>
    <w:tbl>
      <w:tblPr>
        <w:tblStyle w:val="32"/>
        <w:tblW w:w="0" w:type="auto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2"/>
        <w:gridCol w:w="1584"/>
        <w:gridCol w:w="2376"/>
        <w:gridCol w:w="1080"/>
      </w:tblGrid>
      <w:tr w14:paraId="2F52F51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4032" w:type="dxa"/>
            <w:shd w:val="clear" w:color="auto" w:fill="E7EEF4"/>
            <w:vAlign w:val="center"/>
          </w:tcPr>
          <w:p w14:paraId="222FE62D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/>
                <w:sz w:val="18"/>
              </w:rPr>
              <w:t>Analysis and contrast</w:t>
            </w:r>
          </w:p>
        </w:tc>
        <w:tc>
          <w:tcPr>
            <w:tcW w:w="1584" w:type="dxa"/>
            <w:shd w:val="clear" w:color="auto" w:fill="E7EEF4"/>
            <w:vAlign w:val="center"/>
          </w:tcPr>
          <w:p w14:paraId="5F95B7B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n/events</w:t>
            </w:r>
          </w:p>
        </w:tc>
        <w:tc>
          <w:tcPr>
            <w:tcW w:w="2376" w:type="dxa"/>
            <w:shd w:val="clear" w:color="auto" w:fill="E7EEF4"/>
            <w:vAlign w:val="center"/>
          </w:tcPr>
          <w:p w14:paraId="6EE3ABF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HR (95% CI)</w:t>
            </w:r>
          </w:p>
        </w:tc>
        <w:tc>
          <w:tcPr>
            <w:tcW w:w="1080" w:type="dxa"/>
            <w:shd w:val="clear" w:color="auto" w:fill="E7EEF4"/>
            <w:vAlign w:val="center"/>
          </w:tcPr>
          <w:p w14:paraId="3D70678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P</w:t>
            </w:r>
          </w:p>
        </w:tc>
      </w:tr>
      <w:tr w14:paraId="4F934DA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5638FEB0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Age natural cubic spline</w:t>
            </w:r>
          </w:p>
        </w:tc>
        <w:tc>
          <w:tcPr>
            <w:tcW w:w="1584" w:type="dxa"/>
            <w:vAlign w:val="center"/>
          </w:tcPr>
          <w:p w14:paraId="5B54F59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1656D4A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1.326 (1.213–1.451)</w:t>
            </w:r>
          </w:p>
        </w:tc>
        <w:tc>
          <w:tcPr>
            <w:tcW w:w="1080" w:type="dxa"/>
            <w:vAlign w:val="center"/>
          </w:tcPr>
          <w:p w14:paraId="2DB695D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</w:tr>
      <w:tr w14:paraId="78A88CC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2707B26C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Shifted log RCII per SD</w:t>
            </w:r>
          </w:p>
        </w:tc>
        <w:tc>
          <w:tcPr>
            <w:tcW w:w="1584" w:type="dxa"/>
            <w:vAlign w:val="center"/>
          </w:tcPr>
          <w:p w14:paraId="0BFE9CB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5AD207B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1.068 (1.011–1.128)</w:t>
            </w:r>
          </w:p>
        </w:tc>
        <w:tc>
          <w:tcPr>
            <w:tcW w:w="1080" w:type="dxa"/>
            <w:vAlign w:val="center"/>
          </w:tcPr>
          <w:p w14:paraId="19C87FD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0.019</w:t>
            </w:r>
          </w:p>
        </w:tc>
      </w:tr>
      <w:tr w14:paraId="7E8BDAE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3913EB8D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Interval midpoint</w:t>
            </w:r>
          </w:p>
        </w:tc>
        <w:tc>
          <w:tcPr>
            <w:tcW w:w="1584" w:type="dxa"/>
            <w:vAlign w:val="center"/>
          </w:tcPr>
          <w:p w14:paraId="776C0FC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4E986CF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1.327 (1.213–1.451)</w:t>
            </w:r>
          </w:p>
        </w:tc>
        <w:tc>
          <w:tcPr>
            <w:tcW w:w="1080" w:type="dxa"/>
            <w:vAlign w:val="center"/>
          </w:tcPr>
          <w:p w14:paraId="3619254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</w:tr>
      <w:tr w14:paraId="352BBA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13924804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Exclude flagged BMI</w:t>
            </w:r>
          </w:p>
        </w:tc>
        <w:tc>
          <w:tcPr>
            <w:tcW w:w="1584" w:type="dxa"/>
            <w:vAlign w:val="center"/>
          </w:tcPr>
          <w:p w14:paraId="11196DCB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7,235/1,124</w:t>
            </w:r>
          </w:p>
        </w:tc>
        <w:tc>
          <w:tcPr>
            <w:tcW w:w="2376" w:type="dxa"/>
            <w:vAlign w:val="center"/>
          </w:tcPr>
          <w:p w14:paraId="4B712C5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1.325 (1.211–1.450)</w:t>
            </w:r>
          </w:p>
        </w:tc>
        <w:tc>
          <w:tcPr>
            <w:tcW w:w="1080" w:type="dxa"/>
            <w:vAlign w:val="center"/>
          </w:tcPr>
          <w:p w14:paraId="4C466A9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</w:tr>
      <w:tr w14:paraId="6AF7AFA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25D67D71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Exclude flagged BMI 1 vs 0</w:t>
            </w:r>
          </w:p>
        </w:tc>
        <w:tc>
          <w:tcPr>
            <w:tcW w:w="1584" w:type="dxa"/>
            <w:vAlign w:val="center"/>
          </w:tcPr>
          <w:p w14:paraId="2648986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7,235/1,124</w:t>
            </w:r>
          </w:p>
        </w:tc>
        <w:tc>
          <w:tcPr>
            <w:tcW w:w="2376" w:type="dxa"/>
            <w:vAlign w:val="center"/>
          </w:tcPr>
          <w:p w14:paraId="10A86E7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1.183 (1.032–1.356)</w:t>
            </w:r>
          </w:p>
        </w:tc>
        <w:tc>
          <w:tcPr>
            <w:tcW w:w="1080" w:type="dxa"/>
            <w:vAlign w:val="center"/>
          </w:tcPr>
          <w:p w14:paraId="6E8546E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0.016</w:t>
            </w:r>
          </w:p>
        </w:tc>
      </w:tr>
      <w:tr w14:paraId="17B2BB6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77A74CF2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Exclude flagged BMI 2 vs 0</w:t>
            </w:r>
          </w:p>
        </w:tc>
        <w:tc>
          <w:tcPr>
            <w:tcW w:w="1584" w:type="dxa"/>
            <w:vAlign w:val="center"/>
          </w:tcPr>
          <w:p w14:paraId="6E4C993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7,235/1,124</w:t>
            </w:r>
          </w:p>
        </w:tc>
        <w:tc>
          <w:tcPr>
            <w:tcW w:w="2376" w:type="dxa"/>
            <w:vAlign w:val="center"/>
          </w:tcPr>
          <w:p w14:paraId="6A96F7F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1.715 (1.408–2.089)</w:t>
            </w:r>
          </w:p>
        </w:tc>
        <w:tc>
          <w:tcPr>
            <w:tcW w:w="1080" w:type="dxa"/>
            <w:vAlign w:val="center"/>
          </w:tcPr>
          <w:p w14:paraId="16F7C5C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</w:tr>
      <w:tr w14:paraId="4BA985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687B723A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Exclude flagged BMI 3 vs 0</w:t>
            </w:r>
          </w:p>
        </w:tc>
        <w:tc>
          <w:tcPr>
            <w:tcW w:w="1584" w:type="dxa"/>
            <w:vAlign w:val="center"/>
          </w:tcPr>
          <w:p w14:paraId="47C5E2E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7,235/1,124</w:t>
            </w:r>
          </w:p>
        </w:tc>
        <w:tc>
          <w:tcPr>
            <w:tcW w:w="2376" w:type="dxa"/>
            <w:vAlign w:val="center"/>
          </w:tcPr>
          <w:p w14:paraId="1EF9B40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3.103 (2.076–4.638)</w:t>
            </w:r>
          </w:p>
        </w:tc>
        <w:tc>
          <w:tcPr>
            <w:tcW w:w="1080" w:type="dxa"/>
            <w:vAlign w:val="center"/>
          </w:tcPr>
          <w:p w14:paraId="0C83CE7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</w:tr>
      <w:tr w14:paraId="78CF4DC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57632950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Separate RCII per SD</w:t>
            </w:r>
          </w:p>
        </w:tc>
        <w:tc>
          <w:tcPr>
            <w:tcW w:w="1584" w:type="dxa"/>
            <w:vAlign w:val="center"/>
          </w:tcPr>
          <w:p w14:paraId="2C581EF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43E037B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1.010 (0.970–1.052)</w:t>
            </w:r>
          </w:p>
        </w:tc>
        <w:tc>
          <w:tcPr>
            <w:tcW w:w="1080" w:type="dxa"/>
            <w:vAlign w:val="center"/>
          </w:tcPr>
          <w:p w14:paraId="1BA9531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0.627</w:t>
            </w:r>
          </w:p>
        </w:tc>
      </w:tr>
      <w:tr w14:paraId="0989A69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1E76BD71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Separate FI per 0.1</w:t>
            </w:r>
          </w:p>
        </w:tc>
        <w:tc>
          <w:tcPr>
            <w:tcW w:w="1584" w:type="dxa"/>
            <w:vAlign w:val="center"/>
          </w:tcPr>
          <w:p w14:paraId="53DFA51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7F0FE58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1.335 (1.266–1.408)</w:t>
            </w:r>
          </w:p>
        </w:tc>
        <w:tc>
          <w:tcPr>
            <w:tcW w:w="1080" w:type="dxa"/>
            <w:vAlign w:val="center"/>
          </w:tcPr>
          <w:p w14:paraId="5B9D4C7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</w:tr>
      <w:tr w14:paraId="406854D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344194E8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Joint binary high RCII</w:t>
            </w:r>
          </w:p>
        </w:tc>
        <w:tc>
          <w:tcPr>
            <w:tcW w:w="1584" w:type="dxa"/>
            <w:vAlign w:val="center"/>
          </w:tcPr>
          <w:p w14:paraId="06A8B81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670FAA4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1.178 (1.044–1.330)</w:t>
            </w:r>
          </w:p>
        </w:tc>
        <w:tc>
          <w:tcPr>
            <w:tcW w:w="1080" w:type="dxa"/>
            <w:vAlign w:val="center"/>
          </w:tcPr>
          <w:p w14:paraId="6E7E9FB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0.008</w:t>
            </w:r>
          </w:p>
        </w:tc>
      </w:tr>
      <w:tr w14:paraId="46379DE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0DCFEE84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Joint binary frailty</w:t>
            </w:r>
          </w:p>
        </w:tc>
        <w:tc>
          <w:tcPr>
            <w:tcW w:w="1584" w:type="dxa"/>
            <w:vAlign w:val="center"/>
          </w:tcPr>
          <w:p w14:paraId="3FF090C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061DFBE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1.772 (1.496–2.099)</w:t>
            </w:r>
          </w:p>
        </w:tc>
        <w:tc>
          <w:tcPr>
            <w:tcW w:w="1080" w:type="dxa"/>
            <w:vAlign w:val="center"/>
          </w:tcPr>
          <w:p w14:paraId="1AB6DB3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</w:tr>
      <w:tr w14:paraId="5BDD924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19EC420B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Joint binary sarcopenia</w:t>
            </w:r>
          </w:p>
        </w:tc>
        <w:tc>
          <w:tcPr>
            <w:tcW w:w="1584" w:type="dxa"/>
            <w:vAlign w:val="center"/>
          </w:tcPr>
          <w:p w14:paraId="122466A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2E1E656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1.226 (1.032–1.457)</w:t>
            </w:r>
          </w:p>
        </w:tc>
        <w:tc>
          <w:tcPr>
            <w:tcW w:w="1080" w:type="dxa"/>
            <w:vAlign w:val="center"/>
          </w:tcPr>
          <w:p w14:paraId="585B792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0.021</w:t>
            </w:r>
          </w:p>
        </w:tc>
      </w:tr>
      <w:tr w14:paraId="0AC463E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386DAC88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Joint continuous RCII per SD</w:t>
            </w:r>
          </w:p>
        </w:tc>
        <w:tc>
          <w:tcPr>
            <w:tcW w:w="1584" w:type="dxa"/>
            <w:vAlign w:val="center"/>
          </w:tcPr>
          <w:p w14:paraId="5474336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57A1128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1.013 (0.973–1.054)</w:t>
            </w:r>
          </w:p>
        </w:tc>
        <w:tc>
          <w:tcPr>
            <w:tcW w:w="1080" w:type="dxa"/>
            <w:vAlign w:val="center"/>
          </w:tcPr>
          <w:p w14:paraId="10FE10F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0.540</w:t>
            </w:r>
          </w:p>
        </w:tc>
      </w:tr>
      <w:tr w14:paraId="493EF5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1D3896C6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Joint continuous FI per 0.1</w:t>
            </w:r>
          </w:p>
        </w:tc>
        <w:tc>
          <w:tcPr>
            <w:tcW w:w="1584" w:type="dxa"/>
            <w:vAlign w:val="center"/>
          </w:tcPr>
          <w:p w14:paraId="7E50A15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45A26A0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1.334 (1.264–1.407)</w:t>
            </w:r>
          </w:p>
        </w:tc>
        <w:tc>
          <w:tcPr>
            <w:tcW w:w="1080" w:type="dxa"/>
            <w:vAlign w:val="center"/>
          </w:tcPr>
          <w:p w14:paraId="3CD2746B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&lt;0.001</w:t>
            </w:r>
          </w:p>
        </w:tc>
      </w:tr>
      <w:tr w14:paraId="2701E9A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032" w:type="dxa"/>
            <w:vAlign w:val="center"/>
          </w:tcPr>
          <w:p w14:paraId="6427EF9E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Joint continuous sarcopenia</w:t>
            </w:r>
          </w:p>
        </w:tc>
        <w:tc>
          <w:tcPr>
            <w:tcW w:w="1584" w:type="dxa"/>
            <w:vAlign w:val="center"/>
          </w:tcPr>
          <w:p w14:paraId="5647C83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7,242/1,125</w:t>
            </w:r>
          </w:p>
        </w:tc>
        <w:tc>
          <w:tcPr>
            <w:tcW w:w="2376" w:type="dxa"/>
            <w:vAlign w:val="center"/>
          </w:tcPr>
          <w:p w14:paraId="14645B4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1.184 (0.998–1.404)</w:t>
            </w:r>
          </w:p>
        </w:tc>
        <w:tc>
          <w:tcPr>
            <w:tcW w:w="1080" w:type="dxa"/>
            <w:vAlign w:val="center"/>
          </w:tcPr>
          <w:p w14:paraId="7331330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0.053</w:t>
            </w:r>
          </w:p>
        </w:tc>
      </w:tr>
    </w:tbl>
    <w:p w14:paraId="399B22C0">
      <w:pPr>
        <w:spacing w:after="120" w:line="252" w:lineRule="auto"/>
      </w:pPr>
      <w:r>
        <w:rPr>
          <w:rFonts w:ascii="Arial" w:hAnsi="Arial"/>
          <w:b w:val="0"/>
          <w:sz w:val="20"/>
        </w:rPr>
        <w:t>HR, hazard ratio; CI, confidence interval; SD, standard deviation; FI, frailty index; RCII, remnant cholesterol inflammatory index. All rows use Model 3 adjustment except that the age-spline row replaces linear age. Shifted-log RCII is standardised log[RCII − minimum(RCII) + 1]. Component rows identify separate or joint exposure specifications; binary exposures compare presence with absence. Joint continuous includes RCII per SD, FI per 0.1 and binary sarcopenia. P values are Wald tests. Three-decimal intervals preserve values close to the null. Main Table 3 contains the remaining sensitivity analyses.</w:t>
      </w:r>
    </w:p>
    <w:p w14:paraId="565250C9">
      <w:pPr>
        <w:spacing w:line="252" w:lineRule="auto"/>
      </w:pPr>
      <w:r>
        <w:rPr>
          <w:rFonts w:ascii="Arial" w:hAnsi="Arial" w:eastAsia="微软雅黑"/>
          <w:color w:val="000000"/>
          <w:sz w:val="19"/>
        </w:rPr>
        <w:br w:type="page"/>
      </w:r>
    </w:p>
    <w:p w14:paraId="490B9B47">
      <w:pPr>
        <w:pStyle w:val="3"/>
      </w:pPr>
      <w:r>
        <w:rPr>
          <w:rFonts w:ascii="Arial" w:hAnsi="Arial"/>
          <w:b/>
          <w:i w:val="0"/>
          <w:color w:val="000000"/>
          <w:sz w:val="22"/>
        </w:rPr>
        <w:t>Table S4 Prediction performance and internal validation</w:t>
      </w:r>
    </w:p>
    <w:tbl>
      <w:tblPr>
        <w:tblStyle w:val="32"/>
        <w:tblW w:w="0" w:type="auto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008"/>
        <w:gridCol w:w="1296"/>
        <w:gridCol w:w="1224"/>
        <w:gridCol w:w="1224"/>
        <w:gridCol w:w="1224"/>
      </w:tblGrid>
      <w:tr w14:paraId="217B98D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376" w:type="dxa"/>
            <w:shd w:val="clear" w:color="auto" w:fill="E7EEF4"/>
            <w:vAlign w:val="center"/>
          </w:tcPr>
          <w:p w14:paraId="09FC8EAD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/>
                <w:sz w:val="18"/>
              </w:rPr>
              <w:t>Model</w:t>
            </w:r>
          </w:p>
        </w:tc>
        <w:tc>
          <w:tcPr>
            <w:tcW w:w="1008" w:type="dxa"/>
            <w:shd w:val="clear" w:color="auto" w:fill="E7EEF4"/>
            <w:vAlign w:val="center"/>
          </w:tcPr>
          <w:p w14:paraId="44D9677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Metric</w:t>
            </w:r>
          </w:p>
        </w:tc>
        <w:tc>
          <w:tcPr>
            <w:tcW w:w="1296" w:type="dxa"/>
            <w:shd w:val="clear" w:color="auto" w:fill="E7EEF4"/>
            <w:vAlign w:val="center"/>
          </w:tcPr>
          <w:p w14:paraId="29684E7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Evaluable n</w:t>
            </w:r>
          </w:p>
        </w:tc>
        <w:tc>
          <w:tcPr>
            <w:tcW w:w="1224" w:type="dxa"/>
            <w:shd w:val="clear" w:color="auto" w:fill="E7EEF4"/>
            <w:vAlign w:val="center"/>
          </w:tcPr>
          <w:p w14:paraId="00EE45E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Apparent</w:t>
            </w:r>
          </w:p>
        </w:tc>
        <w:tc>
          <w:tcPr>
            <w:tcW w:w="1224" w:type="dxa"/>
            <w:shd w:val="clear" w:color="auto" w:fill="E7EEF4"/>
            <w:vAlign w:val="center"/>
          </w:tcPr>
          <w:p w14:paraId="399139BB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Corrected</w:t>
            </w:r>
          </w:p>
        </w:tc>
        <w:tc>
          <w:tcPr>
            <w:tcW w:w="1224" w:type="dxa"/>
            <w:shd w:val="clear" w:color="auto" w:fill="E7EEF4"/>
            <w:vAlign w:val="center"/>
          </w:tcPr>
          <w:p w14:paraId="587872C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Held-out</w:t>
            </w:r>
          </w:p>
        </w:tc>
      </w:tr>
      <w:tr w14:paraId="55FD36D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653482A2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</w:t>
            </w:r>
          </w:p>
        </w:tc>
        <w:tc>
          <w:tcPr>
            <w:tcW w:w="1008" w:type="dxa"/>
            <w:vAlign w:val="center"/>
          </w:tcPr>
          <w:p w14:paraId="0E365ED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C</w:t>
            </w:r>
          </w:p>
        </w:tc>
        <w:tc>
          <w:tcPr>
            <w:tcW w:w="1296" w:type="dxa"/>
            <w:vAlign w:val="center"/>
          </w:tcPr>
          <w:p w14:paraId="13956A2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</w:t>
            </w:r>
          </w:p>
        </w:tc>
        <w:tc>
          <w:tcPr>
            <w:tcW w:w="1224" w:type="dxa"/>
            <w:vAlign w:val="center"/>
          </w:tcPr>
          <w:p w14:paraId="6625A54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0.607</w:t>
            </w:r>
          </w:p>
        </w:tc>
        <w:tc>
          <w:tcPr>
            <w:tcW w:w="1224" w:type="dxa"/>
            <w:vAlign w:val="center"/>
          </w:tcPr>
          <w:p w14:paraId="21365BC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0.598</w:t>
            </w:r>
          </w:p>
        </w:tc>
        <w:tc>
          <w:tcPr>
            <w:tcW w:w="1224" w:type="dxa"/>
            <w:vAlign w:val="center"/>
          </w:tcPr>
          <w:p w14:paraId="7ECCDC9B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0.602</w:t>
            </w:r>
          </w:p>
        </w:tc>
      </w:tr>
      <w:tr w14:paraId="37B08F0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70DF6878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</w:t>
            </w:r>
          </w:p>
        </w:tc>
        <w:tc>
          <w:tcPr>
            <w:tcW w:w="1008" w:type="dxa"/>
            <w:vAlign w:val="center"/>
          </w:tcPr>
          <w:p w14:paraId="19697C4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AUC3</w:t>
            </w:r>
          </w:p>
        </w:tc>
        <w:tc>
          <w:tcPr>
            <w:tcW w:w="1296" w:type="dxa"/>
            <w:vAlign w:val="center"/>
          </w:tcPr>
          <w:p w14:paraId="5D92CDB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6,974</w:t>
            </w:r>
          </w:p>
        </w:tc>
        <w:tc>
          <w:tcPr>
            <w:tcW w:w="1224" w:type="dxa"/>
            <w:vAlign w:val="center"/>
          </w:tcPr>
          <w:p w14:paraId="1840496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0.620</w:t>
            </w:r>
          </w:p>
        </w:tc>
        <w:tc>
          <w:tcPr>
            <w:tcW w:w="1224" w:type="dxa"/>
            <w:vAlign w:val="center"/>
          </w:tcPr>
          <w:p w14:paraId="7049C31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0.611</w:t>
            </w:r>
          </w:p>
        </w:tc>
        <w:tc>
          <w:tcPr>
            <w:tcW w:w="1224" w:type="dxa"/>
            <w:vAlign w:val="center"/>
          </w:tcPr>
          <w:p w14:paraId="42B3E98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0.676</w:t>
            </w:r>
          </w:p>
        </w:tc>
      </w:tr>
      <w:tr w14:paraId="4E7A233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1D12620D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</w:t>
            </w:r>
          </w:p>
        </w:tc>
        <w:tc>
          <w:tcPr>
            <w:tcW w:w="1008" w:type="dxa"/>
            <w:vAlign w:val="center"/>
          </w:tcPr>
          <w:p w14:paraId="09E91DD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AUC5</w:t>
            </w:r>
          </w:p>
        </w:tc>
        <w:tc>
          <w:tcPr>
            <w:tcW w:w="1296" w:type="dxa"/>
            <w:vAlign w:val="center"/>
          </w:tcPr>
          <w:p w14:paraId="1F5105D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6,560</w:t>
            </w:r>
          </w:p>
        </w:tc>
        <w:tc>
          <w:tcPr>
            <w:tcW w:w="1224" w:type="dxa"/>
            <w:vAlign w:val="center"/>
          </w:tcPr>
          <w:p w14:paraId="790743C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0.628</w:t>
            </w:r>
          </w:p>
        </w:tc>
        <w:tc>
          <w:tcPr>
            <w:tcW w:w="1224" w:type="dxa"/>
            <w:vAlign w:val="center"/>
          </w:tcPr>
          <w:p w14:paraId="6681F94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0.619</w:t>
            </w:r>
          </w:p>
        </w:tc>
        <w:tc>
          <w:tcPr>
            <w:tcW w:w="1224" w:type="dxa"/>
            <w:vAlign w:val="center"/>
          </w:tcPr>
          <w:p w14:paraId="7BFF97E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0.635</w:t>
            </w:r>
          </w:p>
        </w:tc>
      </w:tr>
      <w:tr w14:paraId="71E1FE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7CAF0CFF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 + burden</w:t>
            </w:r>
          </w:p>
        </w:tc>
        <w:tc>
          <w:tcPr>
            <w:tcW w:w="1008" w:type="dxa"/>
            <w:vAlign w:val="center"/>
          </w:tcPr>
          <w:p w14:paraId="57C5583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C</w:t>
            </w:r>
          </w:p>
        </w:tc>
        <w:tc>
          <w:tcPr>
            <w:tcW w:w="1296" w:type="dxa"/>
            <w:vAlign w:val="center"/>
          </w:tcPr>
          <w:p w14:paraId="31D914B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</w:t>
            </w:r>
          </w:p>
        </w:tc>
        <w:tc>
          <w:tcPr>
            <w:tcW w:w="1224" w:type="dxa"/>
            <w:vAlign w:val="center"/>
          </w:tcPr>
          <w:p w14:paraId="78EDFAE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0.617</w:t>
            </w:r>
          </w:p>
        </w:tc>
        <w:tc>
          <w:tcPr>
            <w:tcW w:w="1224" w:type="dxa"/>
            <w:vAlign w:val="center"/>
          </w:tcPr>
          <w:p w14:paraId="64D8AF7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0.609</w:t>
            </w:r>
          </w:p>
        </w:tc>
        <w:tc>
          <w:tcPr>
            <w:tcW w:w="1224" w:type="dxa"/>
            <w:vAlign w:val="center"/>
          </w:tcPr>
          <w:p w14:paraId="4E577AA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0.615</w:t>
            </w:r>
          </w:p>
        </w:tc>
      </w:tr>
      <w:tr w14:paraId="0CEF4EB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0CAC16D6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 + burden</w:t>
            </w:r>
          </w:p>
        </w:tc>
        <w:tc>
          <w:tcPr>
            <w:tcW w:w="1008" w:type="dxa"/>
            <w:vAlign w:val="center"/>
          </w:tcPr>
          <w:p w14:paraId="43E0391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AUC3</w:t>
            </w:r>
          </w:p>
        </w:tc>
        <w:tc>
          <w:tcPr>
            <w:tcW w:w="1296" w:type="dxa"/>
            <w:vAlign w:val="center"/>
          </w:tcPr>
          <w:p w14:paraId="7148E53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6,974</w:t>
            </w:r>
          </w:p>
        </w:tc>
        <w:tc>
          <w:tcPr>
            <w:tcW w:w="1224" w:type="dxa"/>
            <w:vAlign w:val="center"/>
          </w:tcPr>
          <w:p w14:paraId="2F024F0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0.626</w:t>
            </w:r>
          </w:p>
        </w:tc>
        <w:tc>
          <w:tcPr>
            <w:tcW w:w="1224" w:type="dxa"/>
            <w:vAlign w:val="center"/>
          </w:tcPr>
          <w:p w14:paraId="1D411A15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0.617</w:t>
            </w:r>
          </w:p>
        </w:tc>
        <w:tc>
          <w:tcPr>
            <w:tcW w:w="1224" w:type="dxa"/>
            <w:vAlign w:val="center"/>
          </w:tcPr>
          <w:p w14:paraId="63A8043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0.675</w:t>
            </w:r>
          </w:p>
        </w:tc>
      </w:tr>
      <w:tr w14:paraId="136405A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4378EAE1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 + burden</w:t>
            </w:r>
          </w:p>
        </w:tc>
        <w:tc>
          <w:tcPr>
            <w:tcW w:w="1008" w:type="dxa"/>
            <w:vAlign w:val="center"/>
          </w:tcPr>
          <w:p w14:paraId="626F642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AUC5</w:t>
            </w:r>
          </w:p>
        </w:tc>
        <w:tc>
          <w:tcPr>
            <w:tcW w:w="1296" w:type="dxa"/>
            <w:vAlign w:val="center"/>
          </w:tcPr>
          <w:p w14:paraId="3D5D09F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6,560</w:t>
            </w:r>
          </w:p>
        </w:tc>
        <w:tc>
          <w:tcPr>
            <w:tcW w:w="1224" w:type="dxa"/>
            <w:vAlign w:val="center"/>
          </w:tcPr>
          <w:p w14:paraId="6956B3C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0.637</w:t>
            </w:r>
          </w:p>
        </w:tc>
        <w:tc>
          <w:tcPr>
            <w:tcW w:w="1224" w:type="dxa"/>
            <w:vAlign w:val="center"/>
          </w:tcPr>
          <w:p w14:paraId="63A9A98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0.627</w:t>
            </w:r>
          </w:p>
        </w:tc>
        <w:tc>
          <w:tcPr>
            <w:tcW w:w="1224" w:type="dxa"/>
            <w:vAlign w:val="center"/>
          </w:tcPr>
          <w:p w14:paraId="102174D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0.645</w:t>
            </w:r>
          </w:p>
        </w:tc>
      </w:tr>
      <w:tr w14:paraId="288C65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6E3EF59E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 + FI</w:t>
            </w:r>
          </w:p>
        </w:tc>
        <w:tc>
          <w:tcPr>
            <w:tcW w:w="1008" w:type="dxa"/>
            <w:vAlign w:val="center"/>
          </w:tcPr>
          <w:p w14:paraId="7970AC1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C</w:t>
            </w:r>
          </w:p>
        </w:tc>
        <w:tc>
          <w:tcPr>
            <w:tcW w:w="1296" w:type="dxa"/>
            <w:vAlign w:val="center"/>
          </w:tcPr>
          <w:p w14:paraId="03622BC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</w:t>
            </w:r>
          </w:p>
        </w:tc>
        <w:tc>
          <w:tcPr>
            <w:tcW w:w="1224" w:type="dxa"/>
            <w:vAlign w:val="center"/>
          </w:tcPr>
          <w:p w14:paraId="789E678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0.640</w:t>
            </w:r>
          </w:p>
        </w:tc>
        <w:tc>
          <w:tcPr>
            <w:tcW w:w="1224" w:type="dxa"/>
            <w:vAlign w:val="center"/>
          </w:tcPr>
          <w:p w14:paraId="7D4F78B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0.632</w:t>
            </w:r>
          </w:p>
        </w:tc>
        <w:tc>
          <w:tcPr>
            <w:tcW w:w="1224" w:type="dxa"/>
            <w:vAlign w:val="center"/>
          </w:tcPr>
          <w:p w14:paraId="063293D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0.640</w:t>
            </w:r>
          </w:p>
        </w:tc>
      </w:tr>
      <w:tr w14:paraId="1E9C79A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239478D9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 + FI</w:t>
            </w:r>
          </w:p>
        </w:tc>
        <w:tc>
          <w:tcPr>
            <w:tcW w:w="1008" w:type="dxa"/>
            <w:vAlign w:val="center"/>
          </w:tcPr>
          <w:p w14:paraId="46AD61B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AUC3</w:t>
            </w:r>
          </w:p>
        </w:tc>
        <w:tc>
          <w:tcPr>
            <w:tcW w:w="1296" w:type="dxa"/>
            <w:vAlign w:val="center"/>
          </w:tcPr>
          <w:p w14:paraId="50E6720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6,974</w:t>
            </w:r>
          </w:p>
        </w:tc>
        <w:tc>
          <w:tcPr>
            <w:tcW w:w="1224" w:type="dxa"/>
            <w:vAlign w:val="center"/>
          </w:tcPr>
          <w:p w14:paraId="4C3F034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0.632</w:t>
            </w:r>
          </w:p>
        </w:tc>
        <w:tc>
          <w:tcPr>
            <w:tcW w:w="1224" w:type="dxa"/>
            <w:vAlign w:val="center"/>
          </w:tcPr>
          <w:p w14:paraId="321079A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0.623</w:t>
            </w:r>
          </w:p>
        </w:tc>
        <w:tc>
          <w:tcPr>
            <w:tcW w:w="1224" w:type="dxa"/>
            <w:vAlign w:val="center"/>
          </w:tcPr>
          <w:p w14:paraId="05D73F8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0.707</w:t>
            </w:r>
          </w:p>
        </w:tc>
      </w:tr>
      <w:tr w14:paraId="432B7B0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1846B1A6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 + FI</w:t>
            </w:r>
          </w:p>
        </w:tc>
        <w:tc>
          <w:tcPr>
            <w:tcW w:w="1008" w:type="dxa"/>
            <w:vAlign w:val="center"/>
          </w:tcPr>
          <w:p w14:paraId="5BC9BAC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AUC5</w:t>
            </w:r>
          </w:p>
        </w:tc>
        <w:tc>
          <w:tcPr>
            <w:tcW w:w="1296" w:type="dxa"/>
            <w:vAlign w:val="center"/>
          </w:tcPr>
          <w:p w14:paraId="2CBE92A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6,560</w:t>
            </w:r>
          </w:p>
        </w:tc>
        <w:tc>
          <w:tcPr>
            <w:tcW w:w="1224" w:type="dxa"/>
            <w:vAlign w:val="center"/>
          </w:tcPr>
          <w:p w14:paraId="1D61135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0.661</w:t>
            </w:r>
          </w:p>
        </w:tc>
        <w:tc>
          <w:tcPr>
            <w:tcW w:w="1224" w:type="dxa"/>
            <w:vAlign w:val="center"/>
          </w:tcPr>
          <w:p w14:paraId="333DFAF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0.653</w:t>
            </w:r>
          </w:p>
        </w:tc>
        <w:tc>
          <w:tcPr>
            <w:tcW w:w="1224" w:type="dxa"/>
            <w:vAlign w:val="center"/>
          </w:tcPr>
          <w:p w14:paraId="4573220B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0.681</w:t>
            </w:r>
          </w:p>
        </w:tc>
      </w:tr>
      <w:tr w14:paraId="0C3342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1CF4370B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 + FI + burden</w:t>
            </w:r>
          </w:p>
        </w:tc>
        <w:tc>
          <w:tcPr>
            <w:tcW w:w="1008" w:type="dxa"/>
            <w:vAlign w:val="center"/>
          </w:tcPr>
          <w:p w14:paraId="414FCAB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C</w:t>
            </w:r>
          </w:p>
        </w:tc>
        <w:tc>
          <w:tcPr>
            <w:tcW w:w="1296" w:type="dxa"/>
            <w:vAlign w:val="center"/>
          </w:tcPr>
          <w:p w14:paraId="667B06A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</w:t>
            </w:r>
          </w:p>
        </w:tc>
        <w:tc>
          <w:tcPr>
            <w:tcW w:w="1224" w:type="dxa"/>
            <w:vAlign w:val="center"/>
          </w:tcPr>
          <w:p w14:paraId="21EE085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0.640</w:t>
            </w:r>
          </w:p>
        </w:tc>
        <w:tc>
          <w:tcPr>
            <w:tcW w:w="1224" w:type="dxa"/>
            <w:vAlign w:val="center"/>
          </w:tcPr>
          <w:p w14:paraId="3849ACA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0.632</w:t>
            </w:r>
          </w:p>
        </w:tc>
        <w:tc>
          <w:tcPr>
            <w:tcW w:w="1224" w:type="dxa"/>
            <w:vAlign w:val="center"/>
          </w:tcPr>
          <w:p w14:paraId="1C0DC69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0.641</w:t>
            </w:r>
          </w:p>
        </w:tc>
      </w:tr>
      <w:tr w14:paraId="719E628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6BD751B8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 + FI + burden</w:t>
            </w:r>
          </w:p>
        </w:tc>
        <w:tc>
          <w:tcPr>
            <w:tcW w:w="1008" w:type="dxa"/>
            <w:vAlign w:val="center"/>
          </w:tcPr>
          <w:p w14:paraId="0A22E29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AUC3</w:t>
            </w:r>
          </w:p>
        </w:tc>
        <w:tc>
          <w:tcPr>
            <w:tcW w:w="1296" w:type="dxa"/>
            <w:vAlign w:val="center"/>
          </w:tcPr>
          <w:p w14:paraId="6910047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6,974</w:t>
            </w:r>
          </w:p>
        </w:tc>
        <w:tc>
          <w:tcPr>
            <w:tcW w:w="1224" w:type="dxa"/>
            <w:vAlign w:val="center"/>
          </w:tcPr>
          <w:p w14:paraId="0737314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0.632</w:t>
            </w:r>
          </w:p>
        </w:tc>
        <w:tc>
          <w:tcPr>
            <w:tcW w:w="1224" w:type="dxa"/>
            <w:vAlign w:val="center"/>
          </w:tcPr>
          <w:p w14:paraId="0B99483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0.623</w:t>
            </w:r>
          </w:p>
        </w:tc>
        <w:tc>
          <w:tcPr>
            <w:tcW w:w="1224" w:type="dxa"/>
            <w:vAlign w:val="center"/>
          </w:tcPr>
          <w:p w14:paraId="17659759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0.704</w:t>
            </w:r>
          </w:p>
        </w:tc>
      </w:tr>
      <w:tr w14:paraId="47D2252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vAlign w:val="center"/>
          </w:tcPr>
          <w:p w14:paraId="736BD8F9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Base + FI + burden</w:t>
            </w:r>
          </w:p>
        </w:tc>
        <w:tc>
          <w:tcPr>
            <w:tcW w:w="1008" w:type="dxa"/>
            <w:vAlign w:val="center"/>
          </w:tcPr>
          <w:p w14:paraId="32625A1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AUC5</w:t>
            </w:r>
          </w:p>
        </w:tc>
        <w:tc>
          <w:tcPr>
            <w:tcW w:w="1296" w:type="dxa"/>
            <w:vAlign w:val="center"/>
          </w:tcPr>
          <w:p w14:paraId="75065772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6,560</w:t>
            </w:r>
          </w:p>
        </w:tc>
        <w:tc>
          <w:tcPr>
            <w:tcW w:w="1224" w:type="dxa"/>
            <w:vAlign w:val="center"/>
          </w:tcPr>
          <w:p w14:paraId="64FA4AF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0.660</w:t>
            </w:r>
          </w:p>
        </w:tc>
        <w:tc>
          <w:tcPr>
            <w:tcW w:w="1224" w:type="dxa"/>
            <w:vAlign w:val="center"/>
          </w:tcPr>
          <w:p w14:paraId="3EC782D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0.651</w:t>
            </w:r>
          </w:p>
        </w:tc>
        <w:tc>
          <w:tcPr>
            <w:tcW w:w="1224" w:type="dxa"/>
            <w:vAlign w:val="center"/>
          </w:tcPr>
          <w:p w14:paraId="1DCFE5A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0.680</w:t>
            </w:r>
          </w:p>
        </w:tc>
      </w:tr>
    </w:tbl>
    <w:p w14:paraId="2F40E4C2">
      <w:pPr>
        <w:spacing w:after="120" w:line="252" w:lineRule="auto"/>
      </w:pPr>
      <w:r>
        <w:rPr>
          <w:rFonts w:ascii="Arial" w:hAnsi="Arial"/>
          <w:b w:val="0"/>
          <w:sz w:val="20"/>
        </w:rPr>
        <w:t>Base includes Model 3 covariates; burden is ordinal; FI is continuous per 0.1. Fitted samples were n=7,242 and 1,125 events. Harrell C-index uses comparable survival pairs. AUC3/AUC5 are descriptive fixed-horizon AUCs, excluding earlier censoring without censoring weights. Optimism correction uses 1,000 paired model-refitting bootstrap samples (seed 20260925). There were 6 fitting warnings in 6 resamples; all reported metrics were finite, which does not establish coefficient stability.</w:t>
      </w:r>
    </w:p>
    <w:p w14:paraId="3ADE9359">
      <w:pPr>
        <w:spacing w:after="120" w:line="252" w:lineRule="auto"/>
      </w:pPr>
      <w:r>
        <w:rPr>
          <w:rFonts w:ascii="Arial" w:hAnsi="Arial"/>
          <w:b w:val="0"/>
          <w:sz w:val="20"/>
        </w:rPr>
        <w:t>Held-out validation used a 70:30 split (seed 20260926): training n=5,069 with 796 events; test n=2,173 with 329 events. Horizon-specific cases/controls are Full 3 years 98/6876; Full 5 years 411/6149; Test 3 years 37/2047; Test 5 years 122/1832. No claim of censoring-adjusted AUC or clinical utility is made.</w:t>
      </w:r>
    </w:p>
    <w:p w14:paraId="5EC9F0C2">
      <w:pPr>
        <w:spacing w:line="252" w:lineRule="auto"/>
      </w:pPr>
      <w:r>
        <w:rPr>
          <w:rFonts w:ascii="Arial" w:hAnsi="Arial" w:eastAsia="微软雅黑"/>
          <w:color w:val="000000"/>
          <w:sz w:val="19"/>
        </w:rPr>
        <w:br w:type="page"/>
      </w:r>
    </w:p>
    <w:p w14:paraId="1DE669B9">
      <w:pPr>
        <w:pStyle w:val="3"/>
      </w:pPr>
      <w:r>
        <w:rPr>
          <w:rFonts w:ascii="Arial" w:hAnsi="Arial"/>
          <w:b/>
          <w:i w:val="0"/>
          <w:color w:val="000000"/>
          <w:sz w:val="22"/>
        </w:rPr>
        <w:t>Table S5 Incremental discrimination beyond continuous FI</w:t>
      </w:r>
    </w:p>
    <w:tbl>
      <w:tblPr>
        <w:tblStyle w:val="32"/>
        <w:tblW w:w="0" w:type="auto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1728"/>
        <w:gridCol w:w="1872"/>
        <w:gridCol w:w="3168"/>
      </w:tblGrid>
      <w:tr w14:paraId="4C2B95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584" w:type="dxa"/>
            <w:shd w:val="clear" w:color="auto" w:fill="E7EEF4"/>
            <w:vAlign w:val="center"/>
          </w:tcPr>
          <w:p w14:paraId="333580F2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/>
                <w:sz w:val="18"/>
              </w:rPr>
              <w:t>Metric</w:t>
            </w:r>
          </w:p>
        </w:tc>
        <w:tc>
          <w:tcPr>
            <w:tcW w:w="1728" w:type="dxa"/>
            <w:shd w:val="clear" w:color="auto" w:fill="E7EEF4"/>
            <w:vAlign w:val="center"/>
          </w:tcPr>
          <w:p w14:paraId="45B2DFA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Evaluable n</w:t>
            </w:r>
          </w:p>
        </w:tc>
        <w:tc>
          <w:tcPr>
            <w:tcW w:w="1872" w:type="dxa"/>
            <w:shd w:val="clear" w:color="auto" w:fill="E7EEF4"/>
            <w:vAlign w:val="center"/>
          </w:tcPr>
          <w:p w14:paraId="2C03354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Difference</w:t>
            </w:r>
          </w:p>
        </w:tc>
        <w:tc>
          <w:tcPr>
            <w:tcW w:w="3168" w:type="dxa"/>
            <w:shd w:val="clear" w:color="auto" w:fill="E7EEF4"/>
            <w:vAlign w:val="center"/>
          </w:tcPr>
          <w:p w14:paraId="4513993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95% bootstrap interval</w:t>
            </w:r>
          </w:p>
        </w:tc>
      </w:tr>
      <w:tr w14:paraId="44679BA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84" w:type="dxa"/>
            <w:vAlign w:val="center"/>
          </w:tcPr>
          <w:p w14:paraId="03944488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C</w:t>
            </w:r>
          </w:p>
        </w:tc>
        <w:tc>
          <w:tcPr>
            <w:tcW w:w="1728" w:type="dxa"/>
            <w:vAlign w:val="center"/>
          </w:tcPr>
          <w:p w14:paraId="512C580F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7,242</w:t>
            </w:r>
          </w:p>
        </w:tc>
        <w:tc>
          <w:tcPr>
            <w:tcW w:w="1872" w:type="dxa"/>
            <w:vAlign w:val="center"/>
          </w:tcPr>
          <w:p w14:paraId="2F31EC8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0.00033</w:t>
            </w:r>
          </w:p>
        </w:tc>
        <w:tc>
          <w:tcPr>
            <w:tcW w:w="3168" w:type="dxa"/>
            <w:vAlign w:val="center"/>
          </w:tcPr>
          <w:p w14:paraId="702B961B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-0.00096 to 0.00338</w:t>
            </w:r>
          </w:p>
        </w:tc>
      </w:tr>
      <w:tr w14:paraId="144F935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84" w:type="dxa"/>
            <w:vAlign w:val="center"/>
          </w:tcPr>
          <w:p w14:paraId="1C052F5A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AUC3</w:t>
            </w:r>
          </w:p>
        </w:tc>
        <w:tc>
          <w:tcPr>
            <w:tcW w:w="1728" w:type="dxa"/>
            <w:vAlign w:val="center"/>
          </w:tcPr>
          <w:p w14:paraId="42D94DD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6,974</w:t>
            </w:r>
          </w:p>
        </w:tc>
        <w:tc>
          <w:tcPr>
            <w:tcW w:w="1872" w:type="dxa"/>
            <w:vAlign w:val="center"/>
          </w:tcPr>
          <w:p w14:paraId="4E8D5B3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0.00017</w:t>
            </w:r>
          </w:p>
        </w:tc>
        <w:tc>
          <w:tcPr>
            <w:tcW w:w="3168" w:type="dxa"/>
            <w:vAlign w:val="center"/>
          </w:tcPr>
          <w:p w14:paraId="3ABD32C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-0.00777 to 0.01042</w:t>
            </w:r>
          </w:p>
        </w:tc>
      </w:tr>
      <w:tr w14:paraId="7A7DC6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84" w:type="dxa"/>
            <w:vAlign w:val="center"/>
          </w:tcPr>
          <w:p w14:paraId="7DB7546A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AUC5</w:t>
            </w:r>
          </w:p>
        </w:tc>
        <w:tc>
          <w:tcPr>
            <w:tcW w:w="1728" w:type="dxa"/>
            <w:vAlign w:val="center"/>
          </w:tcPr>
          <w:p w14:paraId="5839FCE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6,560</w:t>
            </w:r>
          </w:p>
        </w:tc>
        <w:tc>
          <w:tcPr>
            <w:tcW w:w="1872" w:type="dxa"/>
            <w:vAlign w:val="center"/>
          </w:tcPr>
          <w:p w14:paraId="630DD184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-0.00080</w:t>
            </w:r>
          </w:p>
        </w:tc>
        <w:tc>
          <w:tcPr>
            <w:tcW w:w="3168" w:type="dxa"/>
            <w:vAlign w:val="center"/>
          </w:tcPr>
          <w:p w14:paraId="3A4E7F7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-0.00467 to 0.00380</w:t>
            </w:r>
          </w:p>
        </w:tc>
      </w:tr>
    </w:tbl>
    <w:p w14:paraId="0FFE213D">
      <w:pPr>
        <w:spacing w:after="120" w:line="252" w:lineRule="auto"/>
      </w:pPr>
      <w:r>
        <w:rPr>
          <w:rFonts w:ascii="Arial" w:hAnsi="Arial"/>
          <w:b w:val="0"/>
          <w:sz w:val="20"/>
        </w:rPr>
        <w:t>Base + continuous FI + burden minus base + continuous FI, fitted on the same 7,242 participants and 1,125 events. Intervals are paired 1,000-resample percentile intervals for apparent metric differences. C, Harrell C-index; AUC3/AUC5, fixed-horizon AUC at 3/5 years. Horizon-specific evaluable counts are shown. No additional P-value test is reported; all intervals include zero.</w:t>
      </w:r>
    </w:p>
    <w:p w14:paraId="61796488">
      <w:pPr>
        <w:pStyle w:val="3"/>
      </w:pPr>
      <w:r>
        <w:rPr>
          <w:rFonts w:ascii="Arial" w:hAnsi="Arial"/>
          <w:b/>
          <w:i w:val="0"/>
          <w:color w:val="000000"/>
          <w:sz w:val="22"/>
        </w:rPr>
        <w:t>Table S6 Exploratory component interactions</w:t>
      </w:r>
    </w:p>
    <w:tbl>
      <w:tblPr>
        <w:tblStyle w:val="32"/>
        <w:tblW w:w="0" w:type="auto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376"/>
        <w:gridCol w:w="1512"/>
        <w:gridCol w:w="1512"/>
        <w:gridCol w:w="1656"/>
      </w:tblGrid>
      <w:tr w14:paraId="04B52F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800" w:type="dxa"/>
            <w:shd w:val="clear" w:color="auto" w:fill="E7EEF4"/>
            <w:vAlign w:val="center"/>
          </w:tcPr>
          <w:p w14:paraId="0EFEEBCF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/>
                <w:sz w:val="17"/>
              </w:rPr>
              <w:t>Pair</w:t>
            </w:r>
          </w:p>
        </w:tc>
        <w:tc>
          <w:tcPr>
            <w:tcW w:w="2376" w:type="dxa"/>
            <w:shd w:val="clear" w:color="auto" w:fill="E7EEF4"/>
            <w:vAlign w:val="center"/>
          </w:tcPr>
          <w:p w14:paraId="3E3424E1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Multiplicative HR (95% CI); FDR P</w:t>
            </w:r>
          </w:p>
        </w:tc>
        <w:tc>
          <w:tcPr>
            <w:tcW w:w="1512" w:type="dxa"/>
            <w:shd w:val="clear" w:color="auto" w:fill="E7EEF4"/>
            <w:vAlign w:val="center"/>
          </w:tcPr>
          <w:p w14:paraId="61C357F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RERI (95% CI)</w:t>
            </w:r>
          </w:p>
        </w:tc>
        <w:tc>
          <w:tcPr>
            <w:tcW w:w="1512" w:type="dxa"/>
            <w:shd w:val="clear" w:color="auto" w:fill="E7EEF4"/>
            <w:vAlign w:val="center"/>
          </w:tcPr>
          <w:p w14:paraId="2C03E686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AP (95% CI)</w:t>
            </w:r>
          </w:p>
        </w:tc>
        <w:tc>
          <w:tcPr>
            <w:tcW w:w="1656" w:type="dxa"/>
            <w:shd w:val="clear" w:color="auto" w:fill="E7EEF4"/>
            <w:vAlign w:val="center"/>
          </w:tcPr>
          <w:p w14:paraId="6D1D891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SI (95% CI)</w:t>
            </w:r>
          </w:p>
        </w:tc>
      </w:tr>
      <w:tr w14:paraId="23BD58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Align w:val="center"/>
          </w:tcPr>
          <w:p w14:paraId="577480E4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  <w:t>High RCII x frailty</w:t>
            </w:r>
          </w:p>
        </w:tc>
        <w:tc>
          <w:tcPr>
            <w:tcW w:w="2376" w:type="dxa"/>
            <w:vAlign w:val="center"/>
          </w:tcPr>
          <w:p w14:paraId="6DC8815A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1.05 (0.77–1.43); 0.780</w:t>
            </w:r>
          </w:p>
        </w:tc>
        <w:tc>
          <w:tcPr>
            <w:tcW w:w="1512" w:type="dxa"/>
            <w:vAlign w:val="center"/>
          </w:tcPr>
          <w:p w14:paraId="695F6DD3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0.20 (-0.26 to 0.84)</w:t>
            </w:r>
          </w:p>
        </w:tc>
        <w:tc>
          <w:tcPr>
            <w:tcW w:w="1512" w:type="dxa"/>
            <w:vAlign w:val="center"/>
          </w:tcPr>
          <w:p w14:paraId="2C05D45D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0.10 (-0.14 to 0.35)</w:t>
            </w:r>
          </w:p>
        </w:tc>
        <w:tc>
          <w:tcPr>
            <w:tcW w:w="1656" w:type="dxa"/>
            <w:vAlign w:val="center"/>
          </w:tcPr>
          <w:p w14:paraId="502D1E57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1.23 (0.73 to 2.64)</w:t>
            </w:r>
          </w:p>
        </w:tc>
      </w:tr>
      <w:tr w14:paraId="39A1A10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Align w:val="center"/>
          </w:tcPr>
          <w:p w14:paraId="1CD9A696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  <w:t>High RCII x sarcopenia</w:t>
            </w:r>
          </w:p>
        </w:tc>
        <w:tc>
          <w:tcPr>
            <w:tcW w:w="2376" w:type="dxa"/>
            <w:vAlign w:val="center"/>
          </w:tcPr>
          <w:p w14:paraId="3E89173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1.16 (0.86–1.57); 0.780</w:t>
            </w:r>
          </w:p>
        </w:tc>
        <w:tc>
          <w:tcPr>
            <w:tcW w:w="1512" w:type="dxa"/>
            <w:vAlign w:val="center"/>
          </w:tcPr>
          <w:p w14:paraId="37FD6B5C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0.24 (-0.15 to 0.70)</w:t>
            </w:r>
          </w:p>
        </w:tc>
        <w:tc>
          <w:tcPr>
            <w:tcW w:w="1512" w:type="dxa"/>
            <w:vAlign w:val="center"/>
          </w:tcPr>
          <w:p w14:paraId="0E712FA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0.15 (-0.11 to 0.36)</w:t>
            </w:r>
          </w:p>
        </w:tc>
        <w:tc>
          <w:tcPr>
            <w:tcW w:w="1656" w:type="dxa"/>
            <w:vAlign w:val="center"/>
          </w:tcPr>
          <w:p w14:paraId="7C2F8D6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1.76 (0.60 to 11.59)</w:t>
            </w:r>
          </w:p>
        </w:tc>
      </w:tr>
      <w:tr w14:paraId="0B3CC17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Align w:val="center"/>
          </w:tcPr>
          <w:p w14:paraId="730DB4BC">
            <w:pPr>
              <w:spacing w:before="40" w:after="60" w:line="252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  <w:t>frailty x sarcopenia</w:t>
            </w:r>
          </w:p>
        </w:tc>
        <w:tc>
          <w:tcPr>
            <w:tcW w:w="2376" w:type="dxa"/>
            <w:vAlign w:val="center"/>
          </w:tcPr>
          <w:p w14:paraId="4CAE3188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1.07 (0.75–1.52); 0.780</w:t>
            </w:r>
          </w:p>
        </w:tc>
        <w:tc>
          <w:tcPr>
            <w:tcW w:w="1512" w:type="dxa"/>
            <w:vAlign w:val="center"/>
          </w:tcPr>
          <w:p w14:paraId="3A20CB10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0.26 (-0.38 to 1.01)</w:t>
            </w:r>
          </w:p>
        </w:tc>
        <w:tc>
          <w:tcPr>
            <w:tcW w:w="1512" w:type="dxa"/>
            <w:vAlign w:val="center"/>
          </w:tcPr>
          <w:p w14:paraId="02791FB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0.12 (-0.23 to 0.39)</w:t>
            </w:r>
          </w:p>
        </w:tc>
        <w:tc>
          <w:tcPr>
            <w:tcW w:w="1656" w:type="dxa"/>
            <w:vAlign w:val="center"/>
          </w:tcPr>
          <w:p w14:paraId="7AE1D17E">
            <w:pPr>
              <w:spacing w:before="4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1.29 (0.68 to 2.57)</w:t>
            </w:r>
          </w:p>
        </w:tc>
      </w:tr>
    </w:tbl>
    <w:p w14:paraId="054E222A">
      <w:pPr>
        <w:spacing w:after="120" w:line="252" w:lineRule="auto"/>
      </w:pPr>
      <w:r>
        <w:rPr>
          <w:rFonts w:ascii="Arial" w:hAnsi="Arial"/>
          <w:b w:val="0"/>
          <w:sz w:val="20"/>
        </w:rPr>
        <w:t>Each interaction point model uses 7,242 participants, 1,125 events and Model 3 adjustment. Group sizes in the order neither / first only / second only / both: rcii_high x fi_high_025: 3253/3190/335/464; rcii_high x sarcopenia_yes: 2893/3217/695/437; fi_high_025 x sarcopenia_yes: 5513/597/930/202.</w:t>
      </w:r>
    </w:p>
    <w:p w14:paraId="31310BCF">
      <w:pPr>
        <w:spacing w:after="120" w:line="252" w:lineRule="auto"/>
      </w:pPr>
      <w:r>
        <w:rPr>
          <w:rFonts w:ascii="Arial" w:hAnsi="Arial"/>
          <w:b w:val="0"/>
          <w:sz w:val="20"/>
        </w:rPr>
        <w:t>HR, hazard ratio; CI, confidence interval; FDR, false discovery rate; RERI, relative excess risk due to interaction; AP, attributable proportion; SI, synergy index. Frailty is FI ≥0.25 and sarcopenia is the reconstructed Zhang phenotype. Multiplicative P values are cross-product Wald tests with BH correction across three pairs. Additive measures are exploratory HR-based calculations with 200 bootstrap percentile intervals (seed 20260927); they do not establish causal interaction. All 200 resamples yielded finite additive metrics, although SI may be unstable when its denominator is close to zero. Nulls are 0 for RERI/AP and 1 for SI. One additive-interaction bootstrap fit issued a near-infinite-coefficient warning; these intervals remain exploratory.</w:t>
      </w:r>
    </w:p>
    <w:p w14:paraId="07DAFCD5">
      <w:r>
        <w:br w:type="page"/>
      </w:r>
    </w:p>
    <w:p w14:paraId="5753EF98">
      <w:pPr>
        <w:pStyle w:val="3"/>
      </w:pPr>
      <w:r>
        <w:rPr>
          <w:rFonts w:ascii="Arial" w:hAnsi="Arial"/>
          <w:b/>
          <w:color w:val="000000"/>
          <w:sz w:val="22"/>
        </w:rPr>
        <w:t>Table S7 Cumulative incidence of first reported CLD accounting for death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864"/>
        <w:gridCol w:w="792"/>
        <w:gridCol w:w="936"/>
        <w:gridCol w:w="2088"/>
        <w:gridCol w:w="2088"/>
        <w:gridCol w:w="2088"/>
      </w:tblGrid>
      <w:tr w14:paraId="2F3FC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36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EF4"/>
          </w:tcPr>
          <w:p w14:paraId="3BC666EC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Components</w:t>
            </w:r>
          </w:p>
        </w:tc>
        <w:tc>
          <w:tcPr>
            <w:tcW w:w="8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EF4"/>
          </w:tcPr>
          <w:p w14:paraId="697B93B2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n</w:t>
            </w:r>
          </w:p>
        </w:tc>
        <w:tc>
          <w:tcPr>
            <w:tcW w:w="79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EF4"/>
          </w:tcPr>
          <w:p w14:paraId="3179E29F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CLD</w:t>
            </w:r>
          </w:p>
        </w:tc>
        <w:tc>
          <w:tcPr>
            <w:tcW w:w="9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EF4"/>
          </w:tcPr>
          <w:p w14:paraId="121E1FEA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Deaths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EF4"/>
          </w:tcPr>
          <w:p w14:paraId="1DF28B35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AJ 5-year %</w:t>
            </w:r>
            <w:r>
              <w:rPr>
                <w:rFonts w:ascii="Arial" w:hAnsi="Arial"/>
                <w:b/>
                <w:sz w:val="17"/>
              </w:rPr>
              <w:br w:type="textWrapping"/>
            </w:r>
            <w:r>
              <w:rPr>
                <w:rFonts w:ascii="Arial" w:hAnsi="Arial"/>
                <w:b/>
                <w:sz w:val="17"/>
              </w:rPr>
              <w:t>(95% CI)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EF4"/>
          </w:tcPr>
          <w:p w14:paraId="40247EDB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AJ 9-year %</w:t>
            </w:r>
            <w:r>
              <w:rPr>
                <w:rFonts w:ascii="Arial" w:hAnsi="Arial"/>
                <w:b/>
                <w:sz w:val="17"/>
              </w:rPr>
              <w:br w:type="textWrapping"/>
            </w:r>
            <w:r>
              <w:rPr>
                <w:rFonts w:ascii="Arial" w:hAnsi="Arial"/>
                <w:b/>
                <w:sz w:val="17"/>
              </w:rPr>
              <w:t>(95% CI)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EF4"/>
          </w:tcPr>
          <w:p w14:paraId="3463EEB2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/>
                <w:sz w:val="17"/>
              </w:rPr>
              <w:t>KM 9-year %</w:t>
            </w:r>
            <w:r>
              <w:rPr>
                <w:rFonts w:ascii="Arial" w:hAnsi="Arial"/>
                <w:b/>
                <w:sz w:val="17"/>
              </w:rPr>
              <w:br w:type="textWrapping"/>
            </w:r>
            <w:r>
              <w:rPr>
                <w:rFonts w:ascii="Arial" w:hAnsi="Arial"/>
                <w:b/>
                <w:sz w:val="17"/>
              </w:rPr>
              <w:t>(95% CI)</w:t>
            </w:r>
          </w:p>
        </w:tc>
      </w:tr>
      <w:tr w14:paraId="62088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45B31EFF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0</w:t>
            </w:r>
          </w:p>
        </w:tc>
        <w:tc>
          <w:tcPr>
            <w:tcW w:w="8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3B61827E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2,740</w:t>
            </w:r>
          </w:p>
        </w:tc>
        <w:tc>
          <w:tcPr>
            <w:tcW w:w="79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066A3ED4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362</w:t>
            </w:r>
          </w:p>
        </w:tc>
        <w:tc>
          <w:tcPr>
            <w:tcW w:w="9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07FA001E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152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5716219C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4.69 (3.96–5.56)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1465FDD9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13.70 (12.44–15.07)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7426FBCB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14.22 (12.92–15.64)</w:t>
            </w:r>
          </w:p>
        </w:tc>
      </w:tr>
      <w:tr w14:paraId="1FA07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2A0B3CB6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</w:t>
            </w:r>
          </w:p>
        </w:tc>
        <w:tc>
          <w:tcPr>
            <w:tcW w:w="8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66C22FF0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3,739</w:t>
            </w:r>
          </w:p>
        </w:tc>
        <w:tc>
          <w:tcPr>
            <w:tcW w:w="79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56D0C78F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577</w:t>
            </w:r>
          </w:p>
        </w:tc>
        <w:tc>
          <w:tcPr>
            <w:tcW w:w="9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2C82E679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307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279E4597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5.62 (4.93–6.42)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52D6103D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15.96 (14.81–17.20)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3DF45143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16.83 (15.61–18.13)</w:t>
            </w:r>
          </w:p>
        </w:tc>
      </w:tr>
      <w:tr w14:paraId="4495E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60D9835D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2</w:t>
            </w:r>
          </w:p>
        </w:tc>
        <w:tc>
          <w:tcPr>
            <w:tcW w:w="8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770558C5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866</w:t>
            </w:r>
          </w:p>
        </w:tc>
        <w:tc>
          <w:tcPr>
            <w:tcW w:w="79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127DB232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184</w:t>
            </w:r>
          </w:p>
        </w:tc>
        <w:tc>
          <w:tcPr>
            <w:tcW w:w="9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607C4B2B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180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3438A166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7.45 (5.88–9.42)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329DDB6B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21.81 (19.17–24.76)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1BF83A61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25.46 (22.41–28.84)</w:t>
            </w:r>
          </w:p>
        </w:tc>
      </w:tr>
      <w:tr w14:paraId="16B35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2A87E3DA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3</w:t>
            </w:r>
          </w:p>
        </w:tc>
        <w:tc>
          <w:tcPr>
            <w:tcW w:w="8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1867B54B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97</w:t>
            </w:r>
          </w:p>
        </w:tc>
        <w:tc>
          <w:tcPr>
            <w:tcW w:w="79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31B0B6FC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33</w:t>
            </w:r>
          </w:p>
        </w:tc>
        <w:tc>
          <w:tcPr>
            <w:tcW w:w="9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0E4133E7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23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01D48265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22.03 (14.93–31.83)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0E04077A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34.75 (26.05–45.33)</w:t>
            </w:r>
          </w:p>
        </w:tc>
        <w:tc>
          <w:tcPr>
            <w:tcW w:w="208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3101F816">
            <w:pPr>
              <w:spacing w:before="60" w:after="60" w:line="252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40.54 (30.55–52.36)</w:t>
            </w:r>
          </w:p>
        </w:tc>
      </w:tr>
    </w:tbl>
    <w:p w14:paraId="4FF9C0F5">
      <w:pPr>
        <w:spacing w:after="120"/>
      </w:pPr>
      <w:r>
        <w:rPr>
          <w:rFonts w:ascii="Arial" w:hAnsi="Arial"/>
          <w:sz w:val="18"/>
        </w:rPr>
        <w:t>AJ, Aalen–Johansen; KM, Kaplan–Meier; CI, confidence interval; CLD, chronic lung disease. These are unadjusted nonparametric estimates accounting for death, not covariate-adjusted risks or Fine–Gray regression estimates. The supplementary sample is n=7,442 after exclusion of one discordant record; the main analysis remains n=7,443. Counts refer to the complete nine-year supplementary time records. All 662 competing deaths occurred within months 32–105.</w:t>
      </w:r>
    </w:p>
    <w:p w14:paraId="52B6575C">
      <w:pPr>
        <w:pStyle w:val="3"/>
      </w:pPr>
      <w:r>
        <w:rPr>
          <w:rFonts w:ascii="Arial" w:hAnsi="Arial"/>
          <w:b/>
          <w:color w:val="000000"/>
          <w:sz w:val="24"/>
        </w:rPr>
        <w:t>Figure S1 Matched KM and Aalen–Johansen estimates of first reported CLD</w:t>
      </w:r>
    </w:p>
    <w:p w14:paraId="15D34752">
      <w:pPr>
        <w:jc w:val="center"/>
      </w:pPr>
      <w:r>
        <w:drawing>
          <wp:inline distT="0" distB="0" distL="114300" distR="114300">
            <wp:extent cx="8686800" cy="3909060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8680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4CBEC">
      <w:r>
        <w:rPr>
          <w:rFonts w:ascii="Arial" w:hAnsi="Arial"/>
          <w:sz w:val="20"/>
        </w:rPr>
        <w:t>Figure S1. (A) One minus Kaplan–Meier, censoring deaths. (B) Aalen–Johansen cumulative incidence of first reported CLD with death as a competing event. Both panels use the same 7,442 participants, 1,156 CLD reports, 662 competing deaths and identical follow-up time records. The record with inconsistent death/assessment ordering is excluded. Colours and line patterns represent 0–3 baseline RCII-FS components; shading denotes pointwise 95% CIs. The AJ estimand is the probability of a first recorded CLD report before death, not the risk of unobserved biological onset. See Table S7 and Supplementary Methods for censoring, mortality missingness and record-handling sensitivities.</w:t>
      </w:r>
    </w:p>
    <w:sectPr>
      <w:headerReference r:id="rId5" w:type="default"/>
      <w:footerReference r:id="rId6" w:type="default"/>
      <w:pgSz w:w="15840" w:h="12240" w:orient="landscape"/>
      <w:pgMar w:top="864" w:right="936" w:bottom="864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EF6F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8C16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0F3471"/>
    <w:rsid w:val="0AAC0660"/>
    <w:rsid w:val="0E5C5EAE"/>
    <w:rsid w:val="10CD7582"/>
    <w:rsid w:val="154D2A40"/>
    <w:rsid w:val="174560C4"/>
    <w:rsid w:val="1D2034F9"/>
    <w:rsid w:val="2C9F197B"/>
    <w:rsid w:val="2FFB336C"/>
    <w:rsid w:val="34A915E9"/>
    <w:rsid w:val="4FBA4253"/>
    <w:rsid w:val="63B07EEF"/>
    <w:rsid w:val="65B57073"/>
    <w:rsid w:val="7A287E87"/>
    <w:rsid w:val="7AC0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120"/>
      <w:outlineLvl w:val="0"/>
    </w:pPr>
    <w:rPr>
      <w:rFonts w:asciiTheme="majorHAnsi" w:hAnsiTheme="majorHAnsi" w:eastAsiaTheme="majorEastAsia" w:cstheme="majorBidi"/>
      <w:b/>
      <w:bCs/>
      <w:color w:val="000000"/>
      <w:sz w:val="2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00000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00000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  <w:rPr>
      <w:rFonts w:ascii="Arial" w:hAnsi="Arial"/>
      <w:color w:val="000000"/>
    </w:rPr>
  </w:style>
  <w:style w:type="table" w:default="1" w:styleId="32">
    <w:name w:val="Normal Table"/>
    <w:semiHidden/>
    <w:unhideWhenUsed/>
    <w:qFormat/>
    <w:uiPriority w:val="99"/>
    <w:rPr>
      <w:rFonts w:ascii="Arial" w:hAnsi="Arial"/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" w:hAnsi="Arial" w:eastAsiaTheme="minorEastAsia" w:cstheme="minorBidi"/>
      <w:color w:val="000000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  <w:rPr>
      <w:rFonts w:ascii="Arial" w:hAnsi="Arial" w:eastAsia="宋体"/>
      <w:color w:val="000000"/>
    </w:r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  <w:rPr>
      <w:rFonts w:ascii="Arial" w:hAnsi="Arial" w:eastAsia="宋体"/>
      <w:color w:val="000000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  <w:rPr>
      <w:rFonts w:ascii="Arial" w:hAnsi="Arial" w:eastAsia="宋体"/>
      <w:color w:val="000000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Arial" w:hAnsi="Arial" w:eastAsia="宋体"/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  <w:rPr>
      <w:rFonts w:ascii="Arial" w:hAnsi="Arial" w:eastAsia="宋体"/>
      <w:color w:val="000000"/>
    </w:r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rFonts w:ascii="Arial" w:hAnsi="Arial" w:eastAsia="宋体"/>
      <w:color w:val="000000"/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  <w:rPr>
      <w:rFonts w:ascii="Arial" w:hAnsi="Arial" w:eastAsia="宋体"/>
      <w:color w:val="000000"/>
    </w:r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  <w:rPr>
      <w:rFonts w:ascii="Arial" w:hAnsi="Arial" w:eastAsia="宋体"/>
      <w:color w:val="000000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  <w:rPr>
      <w:rFonts w:ascii="Arial" w:hAnsi="Arial" w:eastAsia="宋体"/>
      <w:color w:val="000000"/>
    </w:r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  <w:rPr>
      <w:rFonts w:ascii="Arial" w:hAnsi="Arial" w:eastAsia="宋体"/>
      <w:color w:val="000000"/>
    </w:r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  <w:rPr>
      <w:rFonts w:ascii="Arial" w:hAnsi="Arial" w:eastAsia="宋体"/>
      <w:color w:val="000000"/>
    </w:r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  <w:rPr>
      <w:rFonts w:ascii="Arial" w:hAnsi="Arial" w:eastAsia="宋体"/>
      <w:color w:val="000000"/>
    </w:r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宋体"/>
      <w:color w:val="000000"/>
    </w:r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宋体"/>
      <w:color w:val="000000"/>
    </w:r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  <w:rPr>
      <w:rFonts w:ascii="Arial" w:hAnsi="Arial" w:eastAsia="宋体"/>
      <w:color w:val="000000"/>
    </w:r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  <w:rPr>
      <w:rFonts w:ascii="Arial" w:hAnsi="Arial" w:eastAsia="宋体"/>
      <w:color w:val="000000"/>
    </w:r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  <w:rPr>
      <w:rFonts w:ascii="Arial" w:hAnsi="Arial" w:eastAsia="宋体"/>
      <w:color w:val="000000"/>
    </w:r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  <w:rPr>
      <w:rFonts w:ascii="Arial" w:hAnsi="Arial" w:eastAsia="宋体"/>
      <w:color w:val="000000"/>
    </w:rPr>
  </w:style>
  <w:style w:type="paragraph" w:styleId="31">
    <w:name w:val="Title"/>
    <w:basedOn w:val="1"/>
    <w:next w:val="1"/>
    <w:link w:val="141"/>
    <w:qFormat/>
    <w:uiPriority w:val="10"/>
    <w:pPr>
      <w:spacing w:after="12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26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rPr>
      <w:rFonts w:ascii="Arial" w:hAnsi="Arial"/>
      <w:color w:val="00000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rFonts w:ascii="Arial" w:hAnsi="Arial"/>
      <w:color w:val="000000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rFonts w:ascii="Arial" w:hAnsi="Arial"/>
      <w:color w:val="000000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rFonts w:ascii="Arial" w:hAnsi="Arial"/>
      <w:color w:val="000000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rFonts w:ascii="Arial" w:hAnsi="Arial"/>
      <w:color w:val="000000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rFonts w:ascii="Arial" w:hAnsi="Arial"/>
      <w:color w:val="000000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rFonts w:ascii="Arial" w:hAnsi="Arial"/>
      <w:color w:val="000000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rFonts w:ascii="Arial" w:hAnsi="Arial"/>
      <w:color w:val="000000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rPr>
      <w:rFonts w:ascii="Arial" w:hAnsi="Arial"/>
      <w:color w:val="000000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rPr>
      <w:rFonts w:ascii="Arial" w:hAnsi="Arial"/>
      <w:color w:val="000000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rPr>
      <w:rFonts w:ascii="Arial" w:hAnsi="Arial"/>
      <w:color w:val="000000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rPr>
      <w:rFonts w:ascii="Arial" w:hAnsi="Arial"/>
      <w:color w:val="000000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rPr>
      <w:rFonts w:ascii="Arial" w:hAnsi="Arial"/>
      <w:color w:val="000000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rPr>
      <w:rFonts w:ascii="Arial" w:hAnsi="Arial"/>
      <w:color w:val="000000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rPr>
      <w:rFonts w:ascii="Arial" w:hAnsi="Arial"/>
      <w:color w:val="000000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rPr>
      <w:rFonts w:ascii="Arial" w:hAnsi="Arial"/>
      <w:color w:val="000000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rPr>
      <w:rFonts w:ascii="Arial" w:hAnsi="Arial"/>
      <w:color w:val="000000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rPr>
      <w:rFonts w:ascii="Arial" w:hAnsi="Arial"/>
      <w:color w:val="000000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rPr>
      <w:rFonts w:ascii="Arial" w:hAnsi="Arial"/>
      <w:color w:val="000000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rPr>
      <w:rFonts w:ascii="Arial" w:hAnsi="Arial"/>
      <w:color w:val="000000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rPr>
      <w:rFonts w:ascii="Arial" w:hAnsi="Arial"/>
      <w:color w:val="000000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rPr>
      <w:rFonts w:ascii="Arial" w:hAnsi="Arial"/>
      <w:color w:val="000000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rPr>
      <w:rFonts w:ascii="Arial" w:hAnsi="Arial"/>
      <w:color w:val="000000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rPr>
      <w:rFonts w:ascii="Arial" w:hAnsi="Arial"/>
      <w:color w:val="000000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rPr>
      <w:rFonts w:ascii="Arial" w:hAnsi="Arial"/>
      <w:color w:val="000000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rPr>
      <w:rFonts w:ascii="Arial" w:hAnsi="Arial"/>
      <w:color w:val="000000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rPr>
      <w:rFonts w:ascii="Arial" w:hAnsi="Arial"/>
      <w:color w:val="000000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rPr>
      <w:rFonts w:ascii="Arial" w:hAnsi="Arial"/>
      <w:color w:val="000000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rPr>
      <w:rFonts w:ascii="Arial" w:hAnsi="Arial"/>
      <w:color w:val="000000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rPr>
      <w:rFonts w:ascii="Arial" w:hAnsi="Arial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rPr>
      <w:rFonts w:ascii="Arial" w:hAnsi="Arial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rPr>
      <w:rFonts w:ascii="Arial" w:hAnsi="Arial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rPr>
      <w:rFonts w:ascii="Arial" w:hAnsi="Arial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rPr>
      <w:rFonts w:ascii="Arial" w:hAnsi="Arial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rPr>
      <w:rFonts w:ascii="Arial" w:hAnsi="Arial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rPr>
      <w:rFonts w:ascii="Arial" w:hAnsi="Arial"/>
      <w:color w:val="000000"/>
    </w:r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rPr>
      <w:rFonts w:ascii="Arial" w:hAnsi="Arial"/>
      <w:color w:val="000000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rPr>
      <w:rFonts w:ascii="Arial" w:hAnsi="Arial"/>
      <w:color w:val="000000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rPr>
      <w:rFonts w:ascii="Arial" w:hAnsi="Arial"/>
      <w:color w:val="000000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rPr>
      <w:rFonts w:ascii="Arial" w:hAnsi="Arial"/>
      <w:color w:val="000000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rPr>
      <w:rFonts w:ascii="Arial" w:hAnsi="Arial"/>
      <w:color w:val="000000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rPr>
      <w:rFonts w:ascii="Arial" w:hAnsi="Arial"/>
      <w:color w:val="000000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rPr>
      <w:rFonts w:ascii="Arial" w:hAnsi="Arial"/>
      <w:color w:val="000000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rPr>
      <w:rFonts w:ascii="Arial" w:hAnsi="Arial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rPr>
      <w:rFonts w:ascii="Arial" w:hAnsi="Arial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rPr>
      <w:rFonts w:ascii="Arial" w:hAnsi="Arial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rPr>
      <w:rFonts w:ascii="Arial" w:hAnsi="Arial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rPr>
      <w:rFonts w:ascii="Arial" w:hAnsi="Arial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rPr>
      <w:rFonts w:ascii="Arial" w:hAnsi="Arial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rPr>
      <w:rFonts w:ascii="Arial" w:hAnsi="Arial"/>
      <w:color w:val="000000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rFonts w:ascii="Arial" w:hAnsi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rFonts w:ascii="Arial" w:hAnsi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rFonts w:ascii="Arial" w:hAnsi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rFonts w:ascii="Arial" w:hAnsi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rFonts w:ascii="Arial" w:hAnsi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rFonts w:ascii="Arial" w:hAnsi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rFonts w:ascii="Arial" w:hAnsi="Arial"/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rFonts w:ascii="Arial" w:hAnsi="Arial"/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rFonts w:ascii="Arial" w:hAnsi="Arial"/>
      <w:b/>
      <w:bCs/>
      <w:color w:val="000000"/>
    </w:rPr>
  </w:style>
  <w:style w:type="character" w:styleId="134">
    <w:name w:val="Emphasis"/>
    <w:basedOn w:val="132"/>
    <w:qFormat/>
    <w:uiPriority w:val="20"/>
    <w:rPr>
      <w:rFonts w:ascii="Arial" w:hAnsi="Arial"/>
      <w:i/>
      <w:iCs/>
      <w:color w:val="000000"/>
    </w:rPr>
  </w:style>
  <w:style w:type="character" w:customStyle="1" w:styleId="135">
    <w:name w:val="Header Char"/>
    <w:basedOn w:val="132"/>
    <w:link w:val="25"/>
    <w:qFormat/>
    <w:uiPriority w:val="99"/>
    <w:rPr>
      <w:rFonts w:ascii="Arial" w:hAnsi="Arial"/>
      <w:color w:val="000000"/>
    </w:rPr>
  </w:style>
  <w:style w:type="character" w:customStyle="1" w:styleId="136">
    <w:name w:val="Footer Char"/>
    <w:basedOn w:val="132"/>
    <w:link w:val="24"/>
    <w:uiPriority w:val="99"/>
    <w:rPr>
      <w:rFonts w:ascii="Arial" w:hAnsi="Arial"/>
      <w:color w:val="000000"/>
    </w:rPr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color w:val="000000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000000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  <w:rPr>
      <w:rFonts w:ascii="Arial" w:hAnsi="Arial" w:eastAsia="宋体"/>
      <w:color w:val="000000"/>
    </w:rPr>
  </w:style>
  <w:style w:type="character" w:customStyle="1" w:styleId="144">
    <w:name w:val="Body Text Char"/>
    <w:basedOn w:val="132"/>
    <w:link w:val="19"/>
    <w:qFormat/>
    <w:uiPriority w:val="99"/>
    <w:rPr>
      <w:rFonts w:ascii="Arial" w:hAnsi="Arial"/>
      <w:color w:val="000000"/>
    </w:rPr>
  </w:style>
  <w:style w:type="character" w:customStyle="1" w:styleId="145">
    <w:name w:val="Body Text 2 Char"/>
    <w:basedOn w:val="132"/>
    <w:link w:val="28"/>
    <w:qFormat/>
    <w:uiPriority w:val="99"/>
    <w:rPr>
      <w:rFonts w:ascii="Arial" w:hAnsi="Arial"/>
      <w:color w:val="000000"/>
    </w:rPr>
  </w:style>
  <w:style w:type="character" w:customStyle="1" w:styleId="146">
    <w:name w:val="Body Text 3 Char"/>
    <w:basedOn w:val="132"/>
    <w:link w:val="17"/>
    <w:qFormat/>
    <w:uiPriority w:val="99"/>
    <w:rPr>
      <w:rFonts w:ascii="Arial" w:hAnsi="Arial"/>
      <w:color w:val="000000"/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Arial" w:hAnsi="Arial"/>
      <w:color w:val="000000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rFonts w:ascii="Arial" w:hAnsi="Arial" w:eastAsia="宋体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rFonts w:ascii="Arial" w:hAnsi="Arial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00000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00000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rFonts w:ascii="Arial" w:hAnsi="Arial" w:eastAsia="宋体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rFonts w:ascii="Arial" w:hAnsi="Arial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rFonts w:ascii="Arial" w:hAnsi="Arial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rFonts w:ascii="Arial" w:hAnsi="Arial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rFonts w:ascii="Arial" w:hAnsi="Arial"/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rFonts w:ascii="Arial" w:hAnsi="Arial"/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rFonts w:ascii="Arial" w:hAnsi="Arial"/>
      <w:b/>
      <w:bCs/>
      <w:smallCaps/>
      <w:color w:val="000000"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  <w:rPr>
      <w:rFonts w:ascii="Arial" w:hAnsi="Arial" w:eastAsia="宋体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3142</Words>
  <Characters>18219</Characters>
  <Lines>0</Lines>
  <Paragraphs>0</Paragraphs>
  <TotalTime>2</TotalTime>
  <ScaleCrop>false</ScaleCrop>
  <LinksUpToDate>false</LinksUpToDate>
  <CharactersWithSpaces>20828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Wy</cp:lastModifiedBy>
  <dcterms:modified xsi:type="dcterms:W3CDTF">2026-09-27T07:45:37Z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eyJoZGlkIjoiMzEwNTM5NzYwMDRjMzkwZTVkZjY2ODkwMGIxNGU0OTUiLCJ1c2VySWQiOiIyNzA2Nzk1OTcifQ==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AEC2ECDDB41840D793CA2E1B3DE9E701_12</vt:lpwstr>
  </property>
</Properties>
</file>