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797" w:rsidRDefault="00064616">
      <w:r>
        <w:t>Additional file 1</w:t>
      </w:r>
    </w:p>
    <w:p w:rsidR="001A3294" w:rsidRPr="004C65EA" w:rsidRDefault="00E04F3C" w:rsidP="001A3294">
      <w:pPr>
        <w:widowControl w:val="0"/>
        <w:autoSpaceDE w:val="0"/>
        <w:autoSpaceDN w:val="0"/>
        <w:adjustRightInd w:val="0"/>
        <w:spacing w:line="480" w:lineRule="auto"/>
        <w:rPr>
          <w:b/>
        </w:rPr>
      </w:pPr>
      <w:r>
        <w:rPr>
          <w:b/>
        </w:rPr>
        <w:t>Supplementary file</w:t>
      </w:r>
      <w:r w:rsidR="001A3294" w:rsidRPr="004C65EA">
        <w:rPr>
          <w:b/>
        </w:rPr>
        <w:t xml:space="preserve"> </w:t>
      </w:r>
      <w:r w:rsidR="001A3294">
        <w:rPr>
          <w:b/>
        </w:rPr>
        <w:t>A</w:t>
      </w:r>
    </w:p>
    <w:p w:rsidR="001A3294" w:rsidRDefault="001A3294" w:rsidP="001A3294">
      <w:pPr>
        <w:spacing w:line="360" w:lineRule="auto"/>
        <w:contextualSpacing/>
        <w:jc w:val="both"/>
      </w:pPr>
      <w:r>
        <w:t>Research strategy:</w:t>
      </w:r>
    </w:p>
    <w:p w:rsidR="001A3294" w:rsidRDefault="001A3294" w:rsidP="001A3294">
      <w:pPr>
        <w:spacing w:line="360" w:lineRule="auto"/>
        <w:contextualSpacing/>
        <w:jc w:val="both"/>
        <w:sectPr w:rsidR="001A3294" w:rsidSect="00064616">
          <w:pgSz w:w="11906" w:h="16838"/>
          <w:pgMar w:top="1440" w:right="1440" w:bottom="1440" w:left="1440" w:header="708" w:footer="708" w:gutter="0"/>
          <w:cols w:space="708"/>
          <w:docGrid w:linePitch="360"/>
        </w:sectPr>
      </w:pPr>
      <w:r w:rsidRPr="00495C6C">
        <w:t>("osteoarthritis"[</w:t>
      </w:r>
      <w:proofErr w:type="spellStart"/>
      <w:r w:rsidRPr="00495C6C">
        <w:t>MeSH</w:t>
      </w:r>
      <w:proofErr w:type="spellEnd"/>
      <w:r w:rsidRPr="00495C6C">
        <w:t xml:space="preserve"> Terms] OR "osteoarthritis"[All Fields]) AND ("knee"[</w:t>
      </w:r>
      <w:proofErr w:type="spellStart"/>
      <w:r w:rsidRPr="00495C6C">
        <w:t>MeSH</w:t>
      </w:r>
      <w:proofErr w:type="spellEnd"/>
      <w:r w:rsidRPr="00495C6C">
        <w:t xml:space="preserve"> Terms] OR "knee"[All Fields] OR "knee joint"[</w:t>
      </w:r>
      <w:proofErr w:type="spellStart"/>
      <w:r w:rsidRPr="00495C6C">
        <w:t>MeSH</w:t>
      </w:r>
      <w:proofErr w:type="spellEnd"/>
      <w:r w:rsidRPr="00495C6C">
        <w:t xml:space="preserve"> Terms] OR ("knee"[All Fields] AND "joint"[All Fields]) OR "knee joint"[All Fields]) AND ((</w:t>
      </w:r>
      <w:proofErr w:type="spellStart"/>
      <w:r w:rsidRPr="00495C6C">
        <w:t>phenotyp</w:t>
      </w:r>
      <w:proofErr w:type="spellEnd"/>
      <w:r w:rsidRPr="00495C6C">
        <w:t xml:space="preserve">[All Fields] OR </w:t>
      </w:r>
      <w:proofErr w:type="spellStart"/>
      <w:r w:rsidRPr="00495C6C">
        <w:t>phenotyp3</w:t>
      </w:r>
      <w:proofErr w:type="spellEnd"/>
      <w:r w:rsidRPr="00495C6C">
        <w:t xml:space="preserve">[All Fields] OR </w:t>
      </w:r>
      <w:proofErr w:type="spellStart"/>
      <w:r w:rsidRPr="00495C6C">
        <w:t>phenotypage</w:t>
      </w:r>
      <w:proofErr w:type="spellEnd"/>
      <w:r w:rsidRPr="00495C6C">
        <w:t xml:space="preserve">[All Fields] OR </w:t>
      </w:r>
      <w:proofErr w:type="spellStart"/>
      <w:r w:rsidRPr="00495C6C">
        <w:t>phenotypal</w:t>
      </w:r>
      <w:proofErr w:type="spellEnd"/>
      <w:r w:rsidRPr="00495C6C">
        <w:t xml:space="preserve">[All Fields] OR phenotype[All Fields] OR phenotype'[All Fields] OR phenotype''[All Fields] OR phenotype's[All Fields] OR </w:t>
      </w:r>
      <w:proofErr w:type="spellStart"/>
      <w:r w:rsidRPr="00495C6C">
        <w:t>phenotype1</w:t>
      </w:r>
      <w:proofErr w:type="spellEnd"/>
      <w:r w:rsidRPr="00495C6C">
        <w:t xml:space="preserve">[All Fields] OR </w:t>
      </w:r>
      <w:proofErr w:type="spellStart"/>
      <w:r w:rsidRPr="00495C6C">
        <w:t>phenotypeable</w:t>
      </w:r>
      <w:proofErr w:type="spellEnd"/>
      <w:r w:rsidRPr="00495C6C">
        <w:t xml:space="preserve">[All Fields] OR </w:t>
      </w:r>
      <w:proofErr w:type="spellStart"/>
      <w:r w:rsidRPr="00495C6C">
        <w:t>phenotypeannotation</w:t>
      </w:r>
      <w:proofErr w:type="spellEnd"/>
      <w:r w:rsidRPr="00495C6C">
        <w:t xml:space="preserve">[All Fields] OR </w:t>
      </w:r>
      <w:proofErr w:type="spellStart"/>
      <w:r w:rsidRPr="00495C6C">
        <w:t>phenotyped</w:t>
      </w:r>
      <w:proofErr w:type="spellEnd"/>
      <w:r w:rsidRPr="00495C6C">
        <w:t xml:space="preserve">[All Fields] OR </w:t>
      </w:r>
      <w:proofErr w:type="spellStart"/>
      <w:r w:rsidRPr="00495C6C">
        <w:t>phenotypees</w:t>
      </w:r>
      <w:proofErr w:type="spellEnd"/>
      <w:r w:rsidRPr="00495C6C">
        <w:t xml:space="preserve">[All Fields] OR </w:t>
      </w:r>
      <w:proofErr w:type="spellStart"/>
      <w:r w:rsidRPr="00495C6C">
        <w:t>phenotypegene</w:t>
      </w:r>
      <w:proofErr w:type="spellEnd"/>
      <w:r w:rsidRPr="00495C6C">
        <w:t xml:space="preserve">[All Fields] OR </w:t>
      </w:r>
      <w:proofErr w:type="spellStart"/>
      <w:r w:rsidRPr="00495C6C">
        <w:t>phenotypegenotype</w:t>
      </w:r>
      <w:proofErr w:type="spellEnd"/>
      <w:r w:rsidRPr="00495C6C">
        <w:t xml:space="preserve">[All Fields] OR </w:t>
      </w:r>
      <w:proofErr w:type="spellStart"/>
      <w:r w:rsidRPr="00495C6C">
        <w:t>phenotypein</w:t>
      </w:r>
      <w:proofErr w:type="spellEnd"/>
      <w:r w:rsidRPr="00495C6C">
        <w:t xml:space="preserve">[All Fields] OR </w:t>
      </w:r>
      <w:proofErr w:type="spellStart"/>
      <w:r w:rsidRPr="00495C6C">
        <w:t>phenotypeinvolves</w:t>
      </w:r>
      <w:proofErr w:type="spellEnd"/>
      <w:r w:rsidRPr="00495C6C">
        <w:t xml:space="preserve">[All Fields] OR </w:t>
      </w:r>
      <w:proofErr w:type="spellStart"/>
      <w:r w:rsidRPr="00495C6C">
        <w:t>phenotypeless</w:t>
      </w:r>
      <w:proofErr w:type="spellEnd"/>
      <w:r w:rsidRPr="00495C6C">
        <w:t xml:space="preserve">[All Fields] OR </w:t>
      </w:r>
      <w:proofErr w:type="spellStart"/>
      <w:r w:rsidRPr="00495C6C">
        <w:t>phenotypelevel</w:t>
      </w:r>
      <w:proofErr w:type="spellEnd"/>
      <w:r w:rsidRPr="00495C6C">
        <w:t xml:space="preserve">[All Fields] OR </w:t>
      </w:r>
      <w:proofErr w:type="spellStart"/>
      <w:r w:rsidRPr="00495C6C">
        <w:t>phenotypemarkers</w:t>
      </w:r>
      <w:proofErr w:type="spellEnd"/>
      <w:r w:rsidRPr="00495C6C">
        <w:t xml:space="preserve">[All Fields] OR </w:t>
      </w:r>
      <w:proofErr w:type="spellStart"/>
      <w:r w:rsidRPr="00495C6C">
        <w:t>phenotypeof</w:t>
      </w:r>
      <w:proofErr w:type="spellEnd"/>
      <w:r w:rsidRPr="00495C6C">
        <w:t xml:space="preserve">[All Fields] OR </w:t>
      </w:r>
      <w:proofErr w:type="spellStart"/>
      <w:r w:rsidRPr="00495C6C">
        <w:t>phenotyper</w:t>
      </w:r>
      <w:proofErr w:type="spellEnd"/>
      <w:r w:rsidRPr="00495C6C">
        <w:t xml:space="preserve">[All Fields] OR </w:t>
      </w:r>
      <w:proofErr w:type="spellStart"/>
      <w:r w:rsidRPr="00495C6C">
        <w:t>phenotyperemodeling</w:t>
      </w:r>
      <w:proofErr w:type="spellEnd"/>
      <w:r w:rsidRPr="00495C6C">
        <w:t xml:space="preserve">[All Fields] OR </w:t>
      </w:r>
      <w:proofErr w:type="spellStart"/>
      <w:r w:rsidRPr="00495C6C">
        <w:t>phenotyperepresents</w:t>
      </w:r>
      <w:proofErr w:type="spellEnd"/>
      <w:r w:rsidRPr="00495C6C">
        <w:t xml:space="preserve">[All Fields] OR </w:t>
      </w:r>
      <w:proofErr w:type="spellStart"/>
      <w:r w:rsidRPr="00495C6C">
        <w:t>phenotypers</w:t>
      </w:r>
      <w:proofErr w:type="spellEnd"/>
      <w:r w:rsidRPr="00495C6C">
        <w:t xml:space="preserve">[All Fields] OR </w:t>
      </w:r>
      <w:proofErr w:type="spellStart"/>
      <w:r w:rsidRPr="00495C6C">
        <w:t>phenotypers</w:t>
      </w:r>
      <w:proofErr w:type="spellEnd"/>
      <w:r w:rsidRPr="00495C6C">
        <w:t xml:space="preserve">'[All Fields] OR phenotypes[All Fields] OR phenotypes'[All Fields] OR phenotypes''[All Fields] OR </w:t>
      </w:r>
      <w:proofErr w:type="spellStart"/>
      <w:r w:rsidRPr="00495C6C">
        <w:t>phenotypesin</w:t>
      </w:r>
      <w:proofErr w:type="spellEnd"/>
      <w:r w:rsidRPr="00495C6C">
        <w:t xml:space="preserve">[All Fields] OR </w:t>
      </w:r>
      <w:proofErr w:type="spellStart"/>
      <w:r w:rsidRPr="00495C6C">
        <w:t>phenotypespecific</w:t>
      </w:r>
      <w:proofErr w:type="spellEnd"/>
      <w:r w:rsidRPr="00495C6C">
        <w:t xml:space="preserve">[All Fields] OR </w:t>
      </w:r>
      <w:proofErr w:type="spellStart"/>
      <w:r w:rsidRPr="00495C6C">
        <w:t>phenotypess</w:t>
      </w:r>
      <w:proofErr w:type="spellEnd"/>
      <w:r w:rsidRPr="00495C6C">
        <w:t xml:space="preserve">[All Fields] OR </w:t>
      </w:r>
      <w:proofErr w:type="spellStart"/>
      <w:r w:rsidRPr="00495C6C">
        <w:t>phenotypesthese</w:t>
      </w:r>
      <w:proofErr w:type="spellEnd"/>
      <w:r w:rsidRPr="00495C6C">
        <w:t xml:space="preserve">[All Fields] OR </w:t>
      </w:r>
      <w:proofErr w:type="spellStart"/>
      <w:r w:rsidRPr="00495C6C">
        <w:t>phenotypesto</w:t>
      </w:r>
      <w:proofErr w:type="spellEnd"/>
      <w:r w:rsidRPr="00495C6C">
        <w:t xml:space="preserve">[All Fields] OR </w:t>
      </w:r>
      <w:proofErr w:type="spellStart"/>
      <w:r w:rsidRPr="00495C6C">
        <w:t>phenotypevana</w:t>
      </w:r>
      <w:proofErr w:type="spellEnd"/>
      <w:r w:rsidRPr="00495C6C">
        <w:t xml:space="preserve">[All Fields] OR </w:t>
      </w:r>
      <w:proofErr w:type="spellStart"/>
      <w:r w:rsidRPr="00495C6C">
        <w:t>phenotypexdiet</w:t>
      </w:r>
      <w:proofErr w:type="spellEnd"/>
      <w:r w:rsidRPr="00495C6C">
        <w:t xml:space="preserve">[All Fields] OR </w:t>
      </w:r>
      <w:proofErr w:type="spellStart"/>
      <w:r w:rsidRPr="00495C6C">
        <w:t>phenotypexsurgery</w:t>
      </w:r>
      <w:proofErr w:type="spellEnd"/>
      <w:r w:rsidRPr="00495C6C">
        <w:t xml:space="preserve">[All Fields] OR </w:t>
      </w:r>
      <w:proofErr w:type="spellStart"/>
      <w:r w:rsidRPr="00495C6C">
        <w:t>phenotypextime</w:t>
      </w:r>
      <w:proofErr w:type="spellEnd"/>
      <w:r w:rsidRPr="00495C6C">
        <w:t xml:space="preserve">[All Fields] OR </w:t>
      </w:r>
      <w:proofErr w:type="spellStart"/>
      <w:r w:rsidRPr="00495C6C">
        <w:t>phenotyphic</w:t>
      </w:r>
      <w:proofErr w:type="spellEnd"/>
      <w:r w:rsidRPr="00495C6C">
        <w:t xml:space="preserve">[All Fields] OR </w:t>
      </w:r>
      <w:proofErr w:type="spellStart"/>
      <w:r w:rsidRPr="00495C6C">
        <w:t>phenotyphically</w:t>
      </w:r>
      <w:proofErr w:type="spellEnd"/>
      <w:r w:rsidRPr="00495C6C">
        <w:t xml:space="preserve">[All Fields] OR </w:t>
      </w:r>
      <w:proofErr w:type="spellStart"/>
      <w:r w:rsidRPr="00495C6C">
        <w:t>phenotypia</w:t>
      </w:r>
      <w:proofErr w:type="spellEnd"/>
      <w:r w:rsidRPr="00495C6C">
        <w:t xml:space="preserve">[All Fields] OR </w:t>
      </w:r>
      <w:proofErr w:type="spellStart"/>
      <w:r w:rsidRPr="00495C6C">
        <w:t>phenotypially</w:t>
      </w:r>
      <w:proofErr w:type="spellEnd"/>
      <w:r w:rsidRPr="00495C6C">
        <w:t xml:space="preserve">[All Fields] OR phenotypic[All Fields] OR phenotypic'[All Fields] OR phenotypic2[All Fields] OR </w:t>
      </w:r>
      <w:proofErr w:type="spellStart"/>
      <w:r w:rsidRPr="00495C6C">
        <w:t>phenotypical</w:t>
      </w:r>
      <w:proofErr w:type="spellEnd"/>
      <w:r w:rsidRPr="00495C6C">
        <w:t xml:space="preserve">[All Fields] OR </w:t>
      </w:r>
      <w:proofErr w:type="spellStart"/>
      <w:r w:rsidRPr="00495C6C">
        <w:t>phenotypicality</w:t>
      </w:r>
      <w:proofErr w:type="spellEnd"/>
      <w:r w:rsidRPr="00495C6C">
        <w:t xml:space="preserve">[All Fields] OR </w:t>
      </w:r>
      <w:proofErr w:type="spellStart"/>
      <w:r w:rsidRPr="00495C6C">
        <w:t>phenotypically</w:t>
      </w:r>
      <w:proofErr w:type="spellEnd"/>
      <w:r w:rsidRPr="00495C6C">
        <w:t xml:space="preserve">[All Fields] OR </w:t>
      </w:r>
      <w:proofErr w:type="spellStart"/>
      <w:r w:rsidRPr="00495C6C">
        <w:t>phenotypically</w:t>
      </w:r>
      <w:proofErr w:type="spellEnd"/>
      <w:r w:rsidRPr="00495C6C">
        <w:t xml:space="preserve">'[All Fields] OR </w:t>
      </w:r>
      <w:proofErr w:type="spellStart"/>
      <w:r w:rsidRPr="00495C6C">
        <w:t>phenotypicallyobvious</w:t>
      </w:r>
      <w:proofErr w:type="spellEnd"/>
      <w:r w:rsidRPr="00495C6C">
        <w:t xml:space="preserve">[All Fields] OR </w:t>
      </w:r>
      <w:proofErr w:type="spellStart"/>
      <w:r w:rsidRPr="00495C6C">
        <w:t>phenotypicaly</w:t>
      </w:r>
      <w:proofErr w:type="spellEnd"/>
      <w:r w:rsidRPr="00495C6C">
        <w:t xml:space="preserve">[All Fields] OR </w:t>
      </w:r>
      <w:proofErr w:type="spellStart"/>
      <w:r w:rsidRPr="00495C6C">
        <w:t>phenotypicassays</w:t>
      </w:r>
      <w:proofErr w:type="spellEnd"/>
      <w:r w:rsidRPr="00495C6C">
        <w:t xml:space="preserve">[All Fields] OR </w:t>
      </w:r>
      <w:proofErr w:type="spellStart"/>
      <w:r w:rsidRPr="00495C6C">
        <w:t>phenotypice</w:t>
      </w:r>
      <w:proofErr w:type="spellEnd"/>
      <w:r w:rsidRPr="00495C6C">
        <w:t xml:space="preserve">[All Fields] OR </w:t>
      </w:r>
      <w:proofErr w:type="spellStart"/>
      <w:r w:rsidRPr="00495C6C">
        <w:t>phenotypicically</w:t>
      </w:r>
      <w:proofErr w:type="spellEnd"/>
      <w:r w:rsidRPr="00495C6C">
        <w:t xml:space="preserve">[All Fields] OR </w:t>
      </w:r>
      <w:proofErr w:type="spellStart"/>
      <w:r w:rsidRPr="00495C6C">
        <w:t>phenotypicidentification</w:t>
      </w:r>
      <w:proofErr w:type="spellEnd"/>
      <w:r w:rsidRPr="00495C6C">
        <w:t xml:space="preserve">[All Fields] OR </w:t>
      </w:r>
      <w:proofErr w:type="spellStart"/>
      <w:r w:rsidRPr="00495C6C">
        <w:t>phenotypics</w:t>
      </w:r>
      <w:proofErr w:type="spellEnd"/>
      <w:r w:rsidRPr="00495C6C">
        <w:t xml:space="preserve">[All Fields] OR </w:t>
      </w:r>
      <w:proofErr w:type="spellStart"/>
      <w:r w:rsidRPr="00495C6C">
        <w:t>phenotypictransition</w:t>
      </w:r>
      <w:proofErr w:type="spellEnd"/>
      <w:r w:rsidRPr="00495C6C">
        <w:t xml:space="preserve">[All Fields] OR </w:t>
      </w:r>
      <w:proofErr w:type="spellStart"/>
      <w:r w:rsidRPr="00495C6C">
        <w:t>phenotypie</w:t>
      </w:r>
      <w:proofErr w:type="spellEnd"/>
      <w:r w:rsidRPr="00495C6C">
        <w:t xml:space="preserve">[All Fields] OR </w:t>
      </w:r>
      <w:proofErr w:type="spellStart"/>
      <w:r w:rsidRPr="00495C6C">
        <w:t>phenotypies</w:t>
      </w:r>
      <w:proofErr w:type="spellEnd"/>
      <w:r w:rsidRPr="00495C6C">
        <w:t xml:space="preserve">[All Fields] OR </w:t>
      </w:r>
      <w:proofErr w:type="spellStart"/>
      <w:r w:rsidRPr="00495C6C">
        <w:t>phenotypification</w:t>
      </w:r>
      <w:proofErr w:type="spellEnd"/>
      <w:r w:rsidRPr="00495C6C">
        <w:t xml:space="preserve">[All Fields] OR </w:t>
      </w:r>
      <w:proofErr w:type="spellStart"/>
      <w:r w:rsidRPr="00495C6C">
        <w:t>phenotypificationwas</w:t>
      </w:r>
      <w:proofErr w:type="spellEnd"/>
      <w:r w:rsidRPr="00495C6C">
        <w:t xml:space="preserve">[All Fields] OR phenotyping[All Fields] OR </w:t>
      </w:r>
      <w:proofErr w:type="spellStart"/>
      <w:r w:rsidRPr="00495C6C">
        <w:t>phenotyping</w:t>
      </w:r>
      <w:proofErr w:type="spellEnd"/>
      <w:r w:rsidRPr="00495C6C">
        <w:t xml:space="preserve">'[All Fields] OR </w:t>
      </w:r>
      <w:proofErr w:type="spellStart"/>
      <w:r w:rsidRPr="00495C6C">
        <w:t>phenotypings</w:t>
      </w:r>
      <w:proofErr w:type="spellEnd"/>
      <w:r w:rsidRPr="00495C6C">
        <w:t xml:space="preserve">[All Fields] OR </w:t>
      </w:r>
      <w:proofErr w:type="spellStart"/>
      <w:r w:rsidRPr="00495C6C">
        <w:t>phenotypique</w:t>
      </w:r>
      <w:proofErr w:type="spellEnd"/>
      <w:r w:rsidRPr="00495C6C">
        <w:t xml:space="preserve">[All Fields] OR </w:t>
      </w:r>
      <w:proofErr w:type="spellStart"/>
      <w:r w:rsidRPr="00495C6C">
        <w:t>phenotypiquement</w:t>
      </w:r>
      <w:proofErr w:type="spellEnd"/>
      <w:r w:rsidRPr="00495C6C">
        <w:t xml:space="preserve">[All Fields] OR </w:t>
      </w:r>
      <w:proofErr w:type="spellStart"/>
      <w:r w:rsidRPr="00495C6C">
        <w:t>phenotypiques</w:t>
      </w:r>
      <w:proofErr w:type="spellEnd"/>
      <w:r w:rsidRPr="00495C6C">
        <w:t xml:space="preserve">[All Fields] OR </w:t>
      </w:r>
      <w:proofErr w:type="spellStart"/>
      <w:r w:rsidRPr="00495C6C">
        <w:t>phenotypisation</w:t>
      </w:r>
      <w:proofErr w:type="spellEnd"/>
      <w:r w:rsidRPr="00495C6C">
        <w:t xml:space="preserve">[All Fields] OR </w:t>
      </w:r>
      <w:proofErr w:type="spellStart"/>
      <w:r w:rsidRPr="00495C6C">
        <w:t>phenotypisierung</w:t>
      </w:r>
      <w:proofErr w:type="spellEnd"/>
      <w:r w:rsidRPr="00495C6C">
        <w:t xml:space="preserve">[All Fields] OR </w:t>
      </w:r>
      <w:proofErr w:type="spellStart"/>
      <w:r w:rsidRPr="00495C6C">
        <w:t>phenotypization</w:t>
      </w:r>
      <w:proofErr w:type="spellEnd"/>
      <w:r w:rsidRPr="00495C6C">
        <w:t xml:space="preserve">[All Fields] OR </w:t>
      </w:r>
      <w:proofErr w:type="spellStart"/>
      <w:r w:rsidRPr="00495C6C">
        <w:t>phenotyple</w:t>
      </w:r>
      <w:proofErr w:type="spellEnd"/>
      <w:r w:rsidRPr="00495C6C">
        <w:t xml:space="preserve">[All Fields] OR </w:t>
      </w:r>
      <w:proofErr w:type="spellStart"/>
      <w:r w:rsidRPr="00495C6C">
        <w:t>phenotypoc</w:t>
      </w:r>
      <w:proofErr w:type="spellEnd"/>
      <w:r w:rsidRPr="00495C6C">
        <w:t xml:space="preserve">[All Fields] OR </w:t>
      </w:r>
      <w:proofErr w:type="spellStart"/>
      <w:r w:rsidRPr="00495C6C">
        <w:t>phenotypological</w:t>
      </w:r>
      <w:proofErr w:type="spellEnd"/>
      <w:r w:rsidRPr="00495C6C">
        <w:t xml:space="preserve">[All Fields] OR </w:t>
      </w:r>
      <w:proofErr w:type="spellStart"/>
      <w:r w:rsidRPr="00495C6C">
        <w:t>phenotypology</w:t>
      </w:r>
      <w:proofErr w:type="spellEnd"/>
      <w:r w:rsidRPr="00495C6C">
        <w:t xml:space="preserve">[All Fields] OR </w:t>
      </w:r>
      <w:proofErr w:type="spellStart"/>
      <w:r w:rsidRPr="00495C6C">
        <w:t>phenotypos</w:t>
      </w:r>
      <w:proofErr w:type="spellEnd"/>
      <w:r w:rsidRPr="00495C6C">
        <w:t xml:space="preserve">[All Fields] OR </w:t>
      </w:r>
      <w:proofErr w:type="spellStart"/>
      <w:r w:rsidRPr="00495C6C">
        <w:t>phenotyps</w:t>
      </w:r>
      <w:proofErr w:type="spellEnd"/>
      <w:r w:rsidRPr="00495C6C">
        <w:t xml:space="preserve">[All Fields] OR </w:t>
      </w:r>
      <w:proofErr w:type="spellStart"/>
      <w:r w:rsidRPr="00495C6C">
        <w:t>phenotyptes</w:t>
      </w:r>
      <w:proofErr w:type="spellEnd"/>
      <w:r w:rsidRPr="00495C6C">
        <w:t xml:space="preserve">[All Fields] OR </w:t>
      </w:r>
      <w:proofErr w:type="spellStart"/>
      <w:r w:rsidRPr="00495C6C">
        <w:t>phenotyptic</w:t>
      </w:r>
      <w:proofErr w:type="spellEnd"/>
      <w:r w:rsidRPr="00495C6C">
        <w:t xml:space="preserve">[All Fields] OR </w:t>
      </w:r>
      <w:proofErr w:type="spellStart"/>
      <w:r w:rsidRPr="00495C6C">
        <w:t>phenotypus</w:t>
      </w:r>
      <w:proofErr w:type="spellEnd"/>
      <w:r w:rsidRPr="00495C6C">
        <w:t xml:space="preserve">[All Fields] OR </w:t>
      </w:r>
      <w:proofErr w:type="spellStart"/>
      <w:r w:rsidRPr="00495C6C">
        <w:t>phenotypw</w:t>
      </w:r>
      <w:proofErr w:type="spellEnd"/>
      <w:r w:rsidRPr="00495C6C">
        <w:t xml:space="preserve">[All Fields] OR </w:t>
      </w:r>
      <w:proofErr w:type="spellStart"/>
      <w:r w:rsidRPr="00495C6C">
        <w:t>phenotypy</w:t>
      </w:r>
      <w:proofErr w:type="spellEnd"/>
      <w:r w:rsidRPr="00495C6C">
        <w:t xml:space="preserve">[All Fields] OR </w:t>
      </w:r>
      <w:proofErr w:type="spellStart"/>
      <w:r w:rsidRPr="00495C6C">
        <w:t>phenotypy</w:t>
      </w:r>
      <w:proofErr w:type="spellEnd"/>
      <w:r w:rsidRPr="00495C6C">
        <w:t xml:space="preserve">'[All Fields] OR </w:t>
      </w:r>
      <w:proofErr w:type="spellStart"/>
      <w:r w:rsidRPr="00495C6C">
        <w:t>phenotypying</w:t>
      </w:r>
      <w:proofErr w:type="spellEnd"/>
      <w:r w:rsidRPr="00495C6C">
        <w:t>[All Fields]) OR subgroup[All Fields] OR cluster[All Fields] OR "factor analysis"[All Fields])</w:t>
      </w:r>
    </w:p>
    <w:p w:rsidR="001A3294" w:rsidRDefault="001A3294" w:rsidP="001A3294"/>
    <w:p w:rsidR="001A3294" w:rsidRDefault="00064616" w:rsidP="001A3294">
      <w:pPr>
        <w:spacing w:line="360" w:lineRule="auto"/>
        <w:jc w:val="both"/>
      </w:pPr>
      <w:r>
        <w:t xml:space="preserve">Table </w:t>
      </w:r>
      <w:proofErr w:type="spellStart"/>
      <w:r>
        <w:t>S1</w:t>
      </w:r>
      <w:proofErr w:type="spellEnd"/>
      <w:r w:rsidR="001A3294">
        <w:t>: Key characteristics of subgroups/phenotypes extracted from each study.</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000"/>
      </w:tblPr>
      <w:tblGrid>
        <w:gridCol w:w="1202"/>
        <w:gridCol w:w="2163"/>
        <w:gridCol w:w="2163"/>
        <w:gridCol w:w="2163"/>
        <w:gridCol w:w="2163"/>
        <w:gridCol w:w="2163"/>
        <w:gridCol w:w="96"/>
        <w:gridCol w:w="2061"/>
      </w:tblGrid>
      <w:tr w:rsidR="006832D6" w:rsidRPr="00A403BC" w:rsidTr="006832D6">
        <w:trPr>
          <w:trHeight w:val="416"/>
        </w:trPr>
        <w:tc>
          <w:tcPr>
            <w:tcW w:w="424" w:type="pct"/>
            <w:tcBorders>
              <w:top w:val="single" w:sz="4" w:space="0" w:color="auto"/>
              <w:left w:val="nil"/>
              <w:bottom w:val="nil"/>
              <w:right w:val="nil"/>
            </w:tcBorders>
            <w:shd w:val="solid" w:color="FFFFFF" w:fill="auto"/>
          </w:tcPr>
          <w:p w:rsidR="006832D6" w:rsidRPr="00A403BC" w:rsidRDefault="006832D6" w:rsidP="003C6A78">
            <w:pPr>
              <w:autoSpaceDE w:val="0"/>
              <w:autoSpaceDN w:val="0"/>
              <w:adjustRightInd w:val="0"/>
              <w:spacing w:after="0" w:line="240" w:lineRule="auto"/>
              <w:rPr>
                <w:rFonts w:cs="Calibri"/>
                <w:color w:val="000000"/>
                <w:sz w:val="14"/>
                <w:szCs w:val="14"/>
              </w:rPr>
            </w:pPr>
          </w:p>
        </w:tc>
        <w:tc>
          <w:tcPr>
            <w:tcW w:w="3849" w:type="pct"/>
            <w:gridSpan w:val="6"/>
            <w:tcBorders>
              <w:top w:val="single" w:sz="4" w:space="0" w:color="auto"/>
              <w:left w:val="nil"/>
              <w:bottom w:val="single" w:sz="4" w:space="0" w:color="auto"/>
              <w:right w:val="nil"/>
            </w:tcBorders>
            <w:shd w:val="solid" w:color="FFFFFF" w:fill="auto"/>
            <w:vAlign w:val="center"/>
          </w:tcPr>
          <w:p w:rsidR="006832D6" w:rsidRPr="00A403BC" w:rsidRDefault="006832D6" w:rsidP="003C6A78">
            <w:pPr>
              <w:autoSpaceDE w:val="0"/>
              <w:autoSpaceDN w:val="0"/>
              <w:adjustRightInd w:val="0"/>
              <w:spacing w:after="0" w:line="240" w:lineRule="auto"/>
              <w:jc w:val="center"/>
              <w:rPr>
                <w:rFonts w:cs="Calibri"/>
                <w:color w:val="000000"/>
                <w:sz w:val="14"/>
                <w:szCs w:val="14"/>
              </w:rPr>
            </w:pPr>
            <w:r w:rsidRPr="00A403BC">
              <w:rPr>
                <w:rFonts w:cs="Calibri"/>
                <w:color w:val="000000"/>
                <w:sz w:val="14"/>
                <w:szCs w:val="14"/>
              </w:rPr>
              <w:t>Phenotypes</w:t>
            </w:r>
          </w:p>
        </w:tc>
        <w:tc>
          <w:tcPr>
            <w:tcW w:w="727" w:type="pct"/>
            <w:tcBorders>
              <w:top w:val="single" w:sz="4" w:space="0" w:color="auto"/>
              <w:left w:val="nil"/>
              <w:bottom w:val="single" w:sz="4" w:space="0" w:color="auto"/>
              <w:right w:val="nil"/>
            </w:tcBorders>
            <w:shd w:val="solid" w:color="FFFFFF" w:fill="auto"/>
          </w:tcPr>
          <w:p w:rsidR="006832D6" w:rsidRPr="00A403BC" w:rsidRDefault="006832D6" w:rsidP="003C6A78">
            <w:pPr>
              <w:autoSpaceDE w:val="0"/>
              <w:autoSpaceDN w:val="0"/>
              <w:adjustRightInd w:val="0"/>
              <w:spacing w:after="0" w:line="240" w:lineRule="auto"/>
              <w:jc w:val="center"/>
              <w:rPr>
                <w:rFonts w:cs="Calibri"/>
                <w:color w:val="000000"/>
                <w:sz w:val="14"/>
                <w:szCs w:val="14"/>
              </w:rPr>
            </w:pPr>
          </w:p>
        </w:tc>
      </w:tr>
      <w:tr w:rsidR="006832D6" w:rsidRPr="00A403BC" w:rsidTr="00E04F3C">
        <w:trPr>
          <w:trHeight w:val="408"/>
        </w:trPr>
        <w:tc>
          <w:tcPr>
            <w:tcW w:w="424" w:type="pct"/>
            <w:tcBorders>
              <w:top w:val="nil"/>
              <w:left w:val="nil"/>
              <w:bottom w:val="single" w:sz="4" w:space="0" w:color="auto"/>
              <w:right w:val="nil"/>
            </w:tcBorders>
            <w:shd w:val="solid" w:color="FFFFFF" w:fill="auto"/>
            <w:vAlign w:val="center"/>
          </w:tcPr>
          <w:p w:rsidR="006832D6" w:rsidRPr="00A403BC" w:rsidRDefault="006832D6" w:rsidP="006832D6">
            <w:pPr>
              <w:autoSpaceDE w:val="0"/>
              <w:autoSpaceDN w:val="0"/>
              <w:adjustRightInd w:val="0"/>
              <w:spacing w:after="0" w:line="240" w:lineRule="auto"/>
              <w:jc w:val="center"/>
              <w:rPr>
                <w:rFonts w:cs="Calibri"/>
                <w:color w:val="000000"/>
                <w:sz w:val="14"/>
                <w:szCs w:val="14"/>
              </w:rPr>
            </w:pPr>
            <w:r w:rsidRPr="00A403BC">
              <w:rPr>
                <w:rFonts w:cs="Calibri"/>
                <w:color w:val="000000"/>
                <w:sz w:val="14"/>
                <w:szCs w:val="14"/>
              </w:rPr>
              <w:t>Author/year</w:t>
            </w:r>
          </w:p>
        </w:tc>
        <w:tc>
          <w:tcPr>
            <w:tcW w:w="763" w:type="pct"/>
            <w:tcBorders>
              <w:top w:val="single" w:sz="4" w:space="0" w:color="auto"/>
              <w:left w:val="nil"/>
              <w:bottom w:val="single" w:sz="4" w:space="0" w:color="auto"/>
              <w:right w:val="nil"/>
            </w:tcBorders>
            <w:shd w:val="solid" w:color="FFFFFF" w:fill="auto"/>
            <w:vAlign w:val="center"/>
          </w:tcPr>
          <w:p w:rsidR="006832D6" w:rsidRPr="00A403BC" w:rsidRDefault="006832D6" w:rsidP="006832D6">
            <w:pPr>
              <w:autoSpaceDE w:val="0"/>
              <w:autoSpaceDN w:val="0"/>
              <w:adjustRightInd w:val="0"/>
              <w:spacing w:after="0" w:line="240" w:lineRule="auto"/>
              <w:jc w:val="center"/>
              <w:rPr>
                <w:rFonts w:cs="Calibri"/>
                <w:color w:val="000000"/>
                <w:sz w:val="14"/>
                <w:szCs w:val="14"/>
              </w:rPr>
            </w:pPr>
            <w:r w:rsidRPr="00A403BC">
              <w:rPr>
                <w:rFonts w:cs="Calibri"/>
                <w:color w:val="000000"/>
                <w:sz w:val="14"/>
                <w:szCs w:val="14"/>
              </w:rPr>
              <w:t>Chronic pain</w:t>
            </w:r>
          </w:p>
        </w:tc>
        <w:tc>
          <w:tcPr>
            <w:tcW w:w="763" w:type="pct"/>
            <w:tcBorders>
              <w:top w:val="single" w:sz="4" w:space="0" w:color="auto"/>
              <w:left w:val="nil"/>
              <w:bottom w:val="single" w:sz="4" w:space="0" w:color="auto"/>
              <w:right w:val="nil"/>
            </w:tcBorders>
            <w:shd w:val="solid" w:color="FFFFFF" w:fill="auto"/>
            <w:vAlign w:val="center"/>
          </w:tcPr>
          <w:p w:rsidR="006832D6" w:rsidRPr="00A403BC" w:rsidRDefault="006832D6" w:rsidP="006832D6">
            <w:pPr>
              <w:autoSpaceDE w:val="0"/>
              <w:autoSpaceDN w:val="0"/>
              <w:adjustRightInd w:val="0"/>
              <w:spacing w:after="0" w:line="240" w:lineRule="auto"/>
              <w:jc w:val="center"/>
              <w:rPr>
                <w:rFonts w:cs="Calibri"/>
                <w:color w:val="000000"/>
                <w:sz w:val="14"/>
                <w:szCs w:val="14"/>
              </w:rPr>
            </w:pPr>
            <w:r w:rsidRPr="00A403BC">
              <w:rPr>
                <w:rFonts w:cs="Calibri"/>
                <w:color w:val="000000"/>
                <w:sz w:val="14"/>
                <w:szCs w:val="14"/>
              </w:rPr>
              <w:t>Inflammatory</w:t>
            </w:r>
          </w:p>
        </w:tc>
        <w:tc>
          <w:tcPr>
            <w:tcW w:w="763" w:type="pct"/>
            <w:tcBorders>
              <w:top w:val="single" w:sz="4" w:space="0" w:color="auto"/>
              <w:left w:val="nil"/>
              <w:bottom w:val="single" w:sz="4" w:space="0" w:color="auto"/>
              <w:right w:val="nil"/>
            </w:tcBorders>
            <w:shd w:val="solid" w:color="FFFFFF" w:fill="auto"/>
            <w:vAlign w:val="center"/>
          </w:tcPr>
          <w:p w:rsidR="006832D6" w:rsidRPr="00A403BC" w:rsidRDefault="006832D6" w:rsidP="006832D6">
            <w:pPr>
              <w:autoSpaceDE w:val="0"/>
              <w:autoSpaceDN w:val="0"/>
              <w:adjustRightInd w:val="0"/>
              <w:spacing w:after="0" w:line="240" w:lineRule="auto"/>
              <w:jc w:val="center"/>
              <w:rPr>
                <w:rFonts w:cs="Calibri"/>
                <w:color w:val="000000"/>
                <w:sz w:val="14"/>
                <w:szCs w:val="14"/>
              </w:rPr>
            </w:pPr>
            <w:r w:rsidRPr="00A403BC">
              <w:rPr>
                <w:rFonts w:eastAsia="Times New Roman" w:cs="Times New Roman"/>
                <w:color w:val="000000"/>
                <w:sz w:val="14"/>
                <w:szCs w:val="14"/>
                <w:lang w:val="it-IT" w:eastAsia="it-IT"/>
              </w:rPr>
              <w:t>Metabolic syndrome</w:t>
            </w:r>
          </w:p>
        </w:tc>
        <w:tc>
          <w:tcPr>
            <w:tcW w:w="763" w:type="pct"/>
            <w:tcBorders>
              <w:top w:val="single" w:sz="4" w:space="0" w:color="auto"/>
              <w:left w:val="nil"/>
              <w:bottom w:val="single" w:sz="4" w:space="0" w:color="auto"/>
              <w:right w:val="nil"/>
            </w:tcBorders>
            <w:shd w:val="solid" w:color="FFFFFF" w:fill="auto"/>
            <w:vAlign w:val="center"/>
          </w:tcPr>
          <w:p w:rsidR="006832D6" w:rsidRPr="00A403BC" w:rsidRDefault="00E233B0" w:rsidP="006832D6">
            <w:pPr>
              <w:autoSpaceDE w:val="0"/>
              <w:autoSpaceDN w:val="0"/>
              <w:adjustRightInd w:val="0"/>
              <w:spacing w:after="0" w:line="240" w:lineRule="auto"/>
              <w:jc w:val="center"/>
              <w:rPr>
                <w:rFonts w:cs="Calibri"/>
                <w:color w:val="000000"/>
                <w:sz w:val="14"/>
                <w:szCs w:val="14"/>
              </w:rPr>
            </w:pPr>
            <w:r>
              <w:rPr>
                <w:rFonts w:cs="Calibri"/>
                <w:color w:val="000000"/>
                <w:sz w:val="14"/>
                <w:szCs w:val="14"/>
              </w:rPr>
              <w:t>Bone and cartilage metabolism</w:t>
            </w:r>
          </w:p>
        </w:tc>
        <w:tc>
          <w:tcPr>
            <w:tcW w:w="763" w:type="pct"/>
            <w:tcBorders>
              <w:top w:val="single" w:sz="4" w:space="0" w:color="auto"/>
              <w:left w:val="nil"/>
              <w:bottom w:val="single" w:sz="4" w:space="0" w:color="auto"/>
              <w:right w:val="nil"/>
            </w:tcBorders>
            <w:shd w:val="solid" w:color="FFFFFF" w:fill="auto"/>
            <w:vAlign w:val="center"/>
          </w:tcPr>
          <w:p w:rsidR="006832D6" w:rsidRPr="00A403BC" w:rsidRDefault="006832D6" w:rsidP="006832D6">
            <w:pPr>
              <w:autoSpaceDE w:val="0"/>
              <w:autoSpaceDN w:val="0"/>
              <w:adjustRightInd w:val="0"/>
              <w:spacing w:after="0" w:line="240" w:lineRule="auto"/>
              <w:jc w:val="center"/>
              <w:rPr>
                <w:rFonts w:cs="Calibri"/>
                <w:color w:val="000000"/>
                <w:sz w:val="14"/>
                <w:szCs w:val="14"/>
              </w:rPr>
            </w:pPr>
            <w:r w:rsidRPr="00A403BC">
              <w:rPr>
                <w:rFonts w:cs="Calibri"/>
                <w:color w:val="000000"/>
                <w:sz w:val="14"/>
                <w:szCs w:val="14"/>
              </w:rPr>
              <w:t>Mechanical overload</w:t>
            </w:r>
          </w:p>
        </w:tc>
        <w:tc>
          <w:tcPr>
            <w:tcW w:w="761" w:type="pct"/>
            <w:gridSpan w:val="2"/>
            <w:tcBorders>
              <w:top w:val="single" w:sz="4" w:space="0" w:color="auto"/>
              <w:left w:val="nil"/>
              <w:bottom w:val="single" w:sz="4" w:space="0" w:color="auto"/>
              <w:right w:val="nil"/>
            </w:tcBorders>
            <w:shd w:val="solid" w:color="FFFFFF" w:fill="auto"/>
            <w:vAlign w:val="center"/>
          </w:tcPr>
          <w:p w:rsidR="006832D6" w:rsidRPr="00A403BC" w:rsidRDefault="006832D6" w:rsidP="006832D6">
            <w:pPr>
              <w:autoSpaceDE w:val="0"/>
              <w:autoSpaceDN w:val="0"/>
              <w:adjustRightInd w:val="0"/>
              <w:spacing w:after="0" w:line="240" w:lineRule="auto"/>
              <w:jc w:val="center"/>
              <w:rPr>
                <w:rFonts w:cs="Calibri"/>
                <w:color w:val="000000"/>
                <w:sz w:val="14"/>
                <w:szCs w:val="14"/>
              </w:rPr>
            </w:pPr>
            <w:r w:rsidRPr="00A403BC">
              <w:rPr>
                <w:rFonts w:cs="Calibri"/>
                <w:color w:val="000000"/>
                <w:sz w:val="14"/>
                <w:szCs w:val="14"/>
              </w:rPr>
              <w:t>Minimal joint disease</w:t>
            </w: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Attur 2011</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"10.1002/art.30360 [doi]", "ISSN" : "1529-0131; 0004-3591", "abstract" : "OBJECTIVE: To evaluate whether gene expression profiles could serve as biomarkers of symptomatic knee osteoarthritis (OA) by examining gene expression profiles in peripheral blood leukocytes (PBLs) from patients with OA compared with those from non-OA controls, and to determine whether candidate genomic biomarkers (PBL expression of inflammatory genes) predict an increased risk of disease progression in patients with symptomatic radiographic knee OA. METHODS: Three independent cohorts of patients with knee OA and non-OA control subjects were studied. Two cohorts (a learning cohort and a validation cohort) were recruited at New York University Hospital for Joint Diseases (NYUHJD), and 1 cohort (a validation cohort) was recruited at Duke University Medical Center. PBL gene expression was assessed using Affymetrix microarray and was confirmed by quantitative polymerase chain reaction (qPCR). Radiographic progression at 2 years was assessed in 86 patients. RESULTS: We identified 173 genes that were significantly up-regulated or down-regulated (&gt;/=1.5-fold change) in OA PBLs, at a false discovery rate of 5%. Cluster analysis revealed 2 distinct subgroups among the patients with OA: those in whom the expression of interleukin-1beta (IL-1beta) was increased &gt;/=2-fold compared with controls, and those in whom the expression of IL-1beta was comparable with that in controls. Overexpression of IL-1beta in these OA subclasses was validated using qPCR in all 3 cohorts. Patients with the inflammatory \"IL-1beta signature\" had higher pain scores and decreased function and were at higher risk of radiographic progression of OA. CONCLUSION: PBLs from patients with symptomatic knee OA display a characteristic transcriptome profile. Moreover, increased expression of IL-1beta identifies a subset of patients with OA who have increased pain and are at higher risk of radiographic progression of OA.", "author" : [ { "dropping-particle" : "", "family" : "Attur", "given" : "M", "non-dropping-particle" : "", "parse-names" : false, "suffix" : "" }, { "dropping-particle" : "", "family" : "Belitskaya-Levy", "given" : "I", "non-dropping-particle" : "", "parse-names" : false, "suffix" : "" }, { "dropping-particle" : "", "family" : "Oh", "given" : "C", "non-dropping-particle" : "", "parse-names" : false, "suffix" : "" }, { "dropping-particle" : "", "family" : "Krasnokutsky", "given" : "S", "non-dropping-particle" : "", "parse-names" : false, "suffix" : "" }, { "dropping-particle" : "", "family" : "Greenberg", "given" : "J", "non-dropping-particle" : "", "parse-names" : false, "suffix" : "" }, { "dropping-particle" : "", "family" : "Samuels", "given" : "J", "non-dropping-particle" : "", "parse-names" : false, "suffix" : "" }, { "dropping-particle" : "", "family" : "Smiles", "given" : "S", "non-dropping-particle" : "", "parse-names" : false, "suffix" : "" }, { "dropping-particle" : "", "family" : "Lee", "given" : "S", "non-dropping-particle" : "", "parse-names" : false, "suffix" : "" }, { "dropping-particle" : "", "family" : "Patel", "given" : "J", "non-dropping-particle" : "", "parse-names" : false, "suffix" : "" }, { "dropping-particle" : "", "family" : "Al-Mussawir", "given" : "H", "non-dropping-particle" : "", "parse-names" : false, "suffix" : "" }, { "dropping-particle" : "", "family" : "McDaniel", "given" : "G", "non-dropping-particle" : "", "parse-names" : false, "suffix" : "" }, { "dropping-particle" : "", "family" : "Kraus", "given" : "V B", "non-dropping-particle" : "", "parse-names" : false, "suffix" : "" }, { "dropping-particle" : "", "family" : "Abramson", "given" : "S B", "non-dropping-particle" : "", "parse-names" : false, "suffix" : "" } ], "container-title" : "Arthritis and Rheumatism", "id" : "ITEM-1", "issue" : "7", "issued" : { "date-parts" : [ [ "2011", "7" ] ] }, "note" : "LR: 20141022; CI: Copyright (c) 2011; GR: R01 AR048769/AR/NIAMS NIH HHS/United States; GR: R01 AR048769-05/AR/NIAMS NIH HHS/United States; GR: R01 AR052873/AR/NIAMS NIH HHS/United States; GR: R01 AR052873-06/AR/NIAMS NIH HHS/United States; GR: R01 AR054817/AR/NIAMS NIH HHS/United States; GR: R01-AR-048769/AR/NIAMS NIH HHS/United States; GR: R01-AR-052873/AR/NIAMS NIH HHS/United States; GR: U01 AR050898/AR/NIAMS NIH HHS/United States; GR: U01 AR050898-05/AR/NIAMS NIH HHS/United States; GR: U01-AR-050898/AR/NIAMS NIH HHS/United States; JID: 0370605; 0 (Interleukin-1beta); NIHMS281376; OID: NLM: NIHMS281376; OID: NLM: PMC3128429; ppublish", "page" : "1908-1917", "publisher" : "by the American College of Rheumatology", "publisher-place" : "New York University School of Medicine, New York, New York, USA.", "title" : "Increased interleukin-1beta gene expression in peripheral blood leukocytes is associated with increased pain and predicts risk for progression of symptomatic knee osteoarthritis", "type" : "article-journal", "volume" : "63" }, "uris" : [ "http://www.mendeley.com/documents/?uuid=7967bd3b-04cc-4cf0-bc62-d7d8843d8028" ] } ], "mendeley" : { "formattedCitation" : "[18]", "plainTextFormattedCitation" : "[18]", "previouslyFormattedCitation" : "[18]"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[18]</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age 60¥, BMI 27. IL-1 gene overexpression of PBLs</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Bae 2010</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"10.1177/1947603509354991 [doi]", "ISSN" : "1947-6035; 1947-6035", "PMID" : "20664706", "abstract" : "OBJECTIVE: Treatments for articular cartilage lesions could benefit from characterization of lesion patterns and their progression to end-stage osteoarthritis. The objective of this study was to identify, quantitatively, topographic patterns of cartilage lesions in the human knee. DESIGN: Photographs were taken of 127 unilateral distal femora (from 109 cadavers and 18 arthroplasty remnants) with full-thickness cartilage lesions. Using digital image analysis, the lesions were localized and normalized lesion size was determined for the patellofemoral groove (PFG) and the lateral and medial femoral condyles (LFC, MFC). Samples were classified into patterns using cluster analysis of the lesion size at each compartment. For each pattern, maps showing the extent and frequency of lesions were created. RESULTS: Four main patterns (a-d) were identified (each p&lt;0.001), with the lesion size varying from small (a) to large in distinct regions (b-d). Pattern b had a predominant lesion (23% area) in the MFC, and smaller (&lt;3%) lesions elsewhere. Pattern c had predominant lesions in the LFC (19%) and MFC (10%). Pattern d had a predominant lesion in the PFG (15%) and smaller lesions in the MFC (6%) and LFC (2%). The sub-patterns of a (a1, a2, a3) had relatively small lesions, with similarity between a2 and b, and a3 and d. CONCLUSION: The present methods facilitated quantitative identification of distinct topographic patterns of full-thickness cartilage lesions, based on lesion size and location. These results have implications for stratifying OA patients using precise quantitative methods and, with additional longitudinal data, targeting cartilage treatments.", "author" : [ { "dropping-particle" : "", "family" : "Bae", "given" : "Won C", "non-dropping-particle" : "", "parse-names" : false, "suffix" : "" }, { "dropping-particle" : "", "family" : "Payanal", "given" : "Melanie M", "non-dropping-particle" : "", "parse-names" : false, "suffix" : "" }, { "dropping-particle" : "", "family" : "Chen", "given" : "Albert C", "non-dropping-particle" : "", "parse-names" : false, "suffix" : "" }, { "dropping-particle" : "", "family" : "Hsieh-Bonassera", "given" : "Nancy D", "non-dropping-particle" : "", "parse-names" : false, "suffix" : "" }, { "dropping-particle" : "", "family" : "Ballard", "given" : "Brooke L", "non-dropping-particle" : "", "parse-names" : false, "suffix" : "" }, { "dropping-particle" : "", "family" : "Lotz", "given" : "Martin K", "non-dropping-particle" : "", "parse-names" : false, "suffix" : "" }, { "dropping-particle" : "", "family" : "Coutts", "given" : "Richard D", "non-dropping-particle" : "", "parse-names" : false, "suffix" : "" }, { "dropping-particle" : "", "family" : "Bugbee", "given" : "William D", "non-dropping-particle" : "", "parse-names" : false, "suffix" : "" }, { "dropping-particle" : "", "family" : "Sah", "given" : "Robert L", "non-dropping-particle" : "", "parse-names" : false, "suffix" : "" } ], "container-title" : "Cartilage", "id" : "ITEM-1", "issue" : "1", "issued" : { "date-parts" : [ [ "2010", "1" ] ] }, "note" : "From Duplicate 2 (Topographic Patterns of Cartilage Lesions in Knee Osteoarthritis - Bae, W C; Payanal, M M; Chen, A C; Hsieh-Bonassera, N D; Ballard, B L; Lotz, M K; Coutts, R D; Bugbee, W D; Sah, R L)\n\nGR: P01 AG007996/AG/NIA NIH HHS/United States; GR: P01 AG007996-160004/AG/NIA NIH HHS/United States; GR: P01 AG007996-17A2/AG/NIA NIH HHS/United States; GR: R01 AR044058/AR/NIAMS NIH HHS/United States; GR: R01 AR044058-14/AR/NIAMS NIH HHS/United States; GR: R01 AR044058-14S1/AR/NIAMS NIH HHS/United States; GR: R01 AR051565/AR/NIAMS NIH HHS/United States; GR: R01 AR051565-04/AR/NIAMS NIH HHS/United States; GR: R01 AR051565-04S1/AR/NIAMS NIH HHS/United States; GR: R01 AR055637/AR/NIAMS NIH HHS/United States; GR: R01 AR055637-02/AR/NIAMS NIH HHS/United States; GR: R01 AR055637-02S1/AR/NIAMS NIH HHS/United States; JID: 101518378; NIHMS170498; ppublish", "page" : "10-19", "publisher-place" : "Department of Radiology, University of California-San Diego, La Jolla, CA.", "title" : "Topographic Patterns of Cartilage Lesions in Knee Osteoarthritis", "type" : "article-journal", "volume" : "1" }, "uris" : [ "http://www.mendeley.com/documents/?uuid=17f44c7c-30c1-484a-bc04-e6a51d36e24f" ] } ], "mendeley" : { "formattedCitation" : "[54]", "manualFormatting" : "[19]", "plainTextFormattedCitation" : "[54]", "previouslyFormattedCitation" : "[54]"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Pr>
                <w:rFonts w:eastAsia="Times New Roman" w:cs="Times New Roman"/>
                <w:noProof/>
                <w:color w:val="000000"/>
                <w:sz w:val="14"/>
                <w:szCs w:val="14"/>
                <w:lang w:val="it-IT" w:eastAsia="it-IT"/>
              </w:rPr>
              <w:t>[19</w:t>
            </w:r>
            <w:r w:rsidRPr="00B468F6">
              <w:rPr>
                <w:rFonts w:eastAsia="Times New Roman" w:cs="Times New Roman"/>
                <w:noProof/>
                <w:color w:val="000000"/>
                <w:sz w:val="14"/>
                <w:szCs w:val="14"/>
                <w:lang w:val="it-IT" w:eastAsia="it-IT"/>
              </w:rPr>
              <w:t>]</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cadaveric</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clusters based on cartilage lesion pattern: medial condyle, lateral condyle</w:t>
            </w: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E04F3C" w:rsidRDefault="00FA44F6" w:rsidP="00FA44F6">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Berry 2010a</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"10.3899/jrheum.091055 [doi]", "ISSN" : "0315-162X; 0315-162X", "abstract" : "OBJECTIVE: To determine whether serum markers of bone formation and resorption, used individually or in combination, can be used to identify subgroups who lose cartilage volume at different rates over 2 years within a knee osteoarthritis (OA) population. METHODS: Changes in cartilage volume over 2 years were measured in 117 subjects with knee OA using magnetic resonance imaging. We examined relationships between change in cartilage volume and baseline serum markers of bone formation [intact N-terminal propeptide of type I procollagen (PINP) and osteocalcin] and resorption [N-telopeptide of type I collagen (NTX-I), C-telopeptide of type I collagen (CTX-I), and C-telopeptide of type I collagen (ICTP). RESULTS: The baseline markers of bone formation, PINP and osteocalcin (p = 0.02, p = 0.01, respectively), and the baseline markers of bone resorption, CTX-I and NTX-I (p = 0.02 for both), were significantly associated with reduced cartilage loss. There were no significant associations between baseline ratios of bone formation to resorption markers and cartilage loss. However, when subjects were divided into subgroups with high or low bone formation markers (based on levels of marker &gt;or= mean or &lt; mean for the population, respectively), in the subgroup with high PINP there was a significant association between increasing bone resorption markers CTX-I and NTX-I and reduced cartilage loss (p = 0.02, p = 0.001, respectively). Similarly, in the subgroup with high osteocalcin, there was a significant association between increasing CTX-I and NTX-I and reduced cartilage loss (p = 0.02, p = 0.003, respectively). In contrast, in subgroups with low bone formation markers, no significant associations were obtained between markers of bone resorption and cartilage loss. CONCLUSION: Overall, the results suggest that higher bone remodeling (i.e., higher serum levels of bone formation and resorption) is associated with reduced cartilage loss. Considering markers of bone formation and resorption together, it is possible to identify subgroups within the OA population who have reduced rates of cartilage loss.", "author" : [ { "dropping-particle" : "", "family" : "BERRY", "given" : "P. A.", "non-dropping-particle" : "", "parse-names" : false, "suffix" : "" }, { "dropping-particle" : "", "family" : "MACIEWICZ", "given" : "R. A.", "non-dropping-particle" : "", "parse-names" : false, "suffix" : "" }, { "dropping-particle" : "", "family" : "CICUTTINI", "given" : "F. M.", "non-dropping-particle" : "", "parse-names" : false, "suffix" : "" }, { "dropping-particle" : "", "family" : "JONES", "given" : "M. D.", "non-dropping-particle" : "", "parse-names" : false, "suffix" : "" }, { "dropping-particle" : "", "family" : "HELLAWELL", "given" : "C. J.", "non-dropping-particle" : "", "parse-names" : false, "suffix" : "" }, { "dropping-particle" : "", "family" : "WLUKA", "given" : "A. E.", "non-dropping-particle" : "", "parse-names" : false, "suffix" : "" } ], "container-title" : "The Journal of rheumatology", "id" : "ITEM-1", "issue" : "6", "issued" : { "date-parts" : [ [ "2010", "6" ] ] }, "note" : "From Duplicate 2 (Markers of bone formation and resorption identify subgroups of patients with clinical knee osteoarthritis who have reduced rates of cartilage loss - Berry, P A; Maciewicz, R A; Cicuttini, F M; Jones, M D; Hellawell, C J; Wluka, A E)\n\nLR: 20110506; JID: 7501984; 0 (Biological Markers); 0 (Collagen Type I); 0 (Peptide Fragments); 0 (Peptides); 0 (Procollagen); 0 (Proteins); 0 (collagen type I trimeric cross-linked peptide); 0 (procollagen Type I N-terminal peptide); 104982-03-8 (Osteocalcin); 2010/04/15 [aheadofprint]; ppublish", "page" : "1252-1259", "publisher-place" : "Department of Epidemiology and Preventive Medicine, Monash University, Central and Eastern Clinical School, Alfred Hospital, Melbourne, Victoria 3004, Australia.", "title" : "Markers of bone formation and resorption identify subgroups of patients with clinical knee osteoarthritis who have reduced rates of cartilage loss", "type" : "article-journal", "volume" : "37" }, "uris" : [ "http://www.mendeley.com/documents/?uuid=48f377d8-1b09-4e51-8a77-3621c42fcb99" ] } ], "mendeley" : { "formattedCitation" : "[20]", "plainTextFormattedCitation" : "[20]", "previouslyFormattedCitation" : "[20]"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[20]</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CHARACTERISTICHS: age 63.7 (10.3)*. 2 groups: high PINP and high osteocalcin in which there was an association between increasing bone resorption markers CTX-I and NTX-I and reduced cartilage loss (2 years)</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en-US" w:eastAsia="it-IT"/>
              </w:rPr>
              <w:t>Berry 2010b</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"10.1136/ard.2009.124420 [doi]", "ISSN" : "1468-2060; 0003-4967", "abstract" : "BACKGROUND: Biomarkers of cartilage metabolism have prognostic potential. OBJECTIVE: To examine whether serum cartilage biomarkers, cartilage oligomeric matrix protein (COMP), N-propeptide of type IIA procollagen (PIIANP), type II collagen breakdown product (collagen type-II cleavage (C2C)) predict cartilage volume loss and knee joint replacement. METHODS: 117 subjects with knee osteoarthritis (OA) had MRI at baseline and 2 years. Cartilage biomarkers were measured at baseline. Change in knee cartilage volume over 2 years and knee joint replacement over 4 years was determined. The population was divided into subgroups with high or low cartilage biomarkers (based on biomarker levels greater than or equal to, or less than, the mean, respectively). The relationships between biomarkers and outcome measures were examined in the whole population, and separately in marker subgroups. RESULTS: The relationship between cartilage biomarkers and cartilage volume loss was not linear across the whole population. In the low (regression coefficient B=-9.7, 95% CI -0.01 to 0.003, p=0.01), but not high (B=-0.46, 95% CI -8.9 to 8.0, p=0.92) COMP subgroup, COMP was significantly associated with a reduced rate of medial cartilage volume loss (p for difference between groups=0.05). Similarly, in the low (B=-8.2, 95% CI -12.9 to -3.5, p=0.001) but not high (B=2.6, 95% CI -3.3 to 8.5, p=0.38) PIIANP subgroup, PIIANP was associated with a significantly reduced rate of medial volume cartilage loss (p for difference=0.003). C2C was not significantly associated with rate of cartilage volume loss. PIIANP was associated with a reduced risk of joint replacement (odds ratio (OR)=0.28, 95% CI 0.10 to 0.93, p=0.04). CONCLUSION: Cartilage biomarkers may be used to identify subgroups among those with clinical knee OA in whom disease progresses at different rates. This may facilitate our understanding of the pathogenesis of disease and allow us to differentiate phenotypes of disease within a heterogeneous knee OA population.", "author" : [ { "dropping-particle" : "", "family" : "Berry", "given" : "P A", "non-dropping-particle" : "", "parse-names" : false, "suffix" : "" }, { "dropping-particle" : "", "family" : "Maciewicz", "given" : "R A", "non-dropping-particle" : "", "parse-names" : false, "suffix" : "" }, { "dropping-particle" : "", "family" : "Wluka", "given" : "A E", "non-dropping-particle" : "", "parse-names" : false, "suffix" : "" }, { "dropping-particle" : "", "family" : "Downey-Jones", "given" : "M D", "non-dropping-particle" : "", "parse-names" : false, "suffix" : "" }, { "dropping-particle" : "", "family" : "Forbes", "given" : "A", "non-dropping-particle" : "", "parse-names" : false, "suffix" : "" }, { "dropping-particle" : "", "family" : "Hellawell", "given" : "C J", "non-dropping-particle" : "", "parse-names" : false, "suffix" : "" }, { "dropping-particle" : "", "family" : "Cicuttini", "given" : "F M", "non-dropping-particle" : "", "parse-names" : false, "suffix" : "" } ], "container-title" : "Annals of the Rheumatic Diseases", "id" : "ITEM-1", "issue" : "10", "issued" : { "date-parts" : [ [ "2010", "10" ] ] }, "note" : "JID: 0372355; 0 (Biological Markers); 2010/06/15 [aheadofprint]; ppublish", "page" : "1816-1822", "publisher-place" : "Department of Epidemiology and Preventive Medicine, Monash University Medical School, Alfred Hospital, Prahran, Victoria, Australia.", "title" : "Relationship of serum markers of cartilage metabolism to imaging and clinical outcome measures of knee joint structure", "type" : "article-journal", "volume" : "69" }, "uris" : [ "http://www.mendeley.com/documents/?uuid=a4845bf1-4119-479d-a832-9c0da56b1d1f" ] } ], "mendeley" : { "formattedCitation" : "[21]", "plainTextFormattedCitation" : "[21]", "previouslyFormattedCitation" : "[21]"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[21]</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 </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age 63.7 (10.3)*. Low COMP and low PIIANP subgroups associated with reduced cartilage loss (2 years)</w:t>
            </w: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en-US" w:eastAsia="it-IT"/>
              </w:rPr>
            </w:pPr>
            <w:proofErr w:type="spellStart"/>
            <w:r w:rsidRPr="00101897">
              <w:rPr>
                <w:rFonts w:eastAsia="Times New Roman" w:cs="Times New Roman"/>
                <w:color w:val="000000"/>
                <w:sz w:val="14"/>
                <w:szCs w:val="14"/>
                <w:lang w:val="en-US" w:eastAsia="it-IT"/>
              </w:rPr>
              <w:t>Blumnenfeld</w:t>
            </w:r>
            <w:proofErr w:type="spellEnd"/>
            <w:r w:rsidRPr="00101897">
              <w:rPr>
                <w:rFonts w:eastAsia="Times New Roman" w:cs="Times New Roman"/>
                <w:color w:val="000000"/>
                <w:sz w:val="14"/>
                <w:szCs w:val="14"/>
                <w:lang w:val="en-US" w:eastAsia="it-IT"/>
              </w:rPr>
              <w:t xml:space="preserve">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"10.1016/j.joca.2013.04.009", "ISSN" : "10634584", "PMID" : "23598177", "abstract" : "Objective: There is a need to find biochemical markers that would identify people with increased risk of developing radiographic knee osteoarthritis (RKOA). The aim of this study was to evaluate the ability of cartilage and bone biomarkers (cartilage oligomeric matrix protein (COMP), aggrecan, cellular inhibitor of apoptosis protein (cIAP), N-telopeptide-to-helix (NTx)) to predict RKOA incidence in a 10-year follow-up of UK females from the Chingford community study. Method: Joint space narrowing (JSN), osteophytes (OSP) and Kellgren-Lawrence (K/L) grades were scored from radiographs of both knees at study baseline and 10 years later in 1,003 women aged 45-64. Circulating levels of biomarkers and demographic variables were measured at baseline. Statistical association analysis was conducted between the potential predictor factors measured at baseline and documentation of RKOA at 10-year follow-up. Results: Age and body mass index (BMI), were significant predictors of incidence of RKOA as assessed by K/L and OSP. Considering biomarkers, independent significant association was found between COMP circulating levels and K/L scores (Odd Ratio (OR)=2.87, 95% Confidence Interval (CI)=1.19-6.89, P=0.018). Significant negative association was detected between aggrecan plasma concentrations and JSN, with OR=0.37 (95% CI 0.15-0.89), P=0.026. Conclusions: Aggrecan and COMP circulating levels contribute to identification of phenotype-specific RKOA incidence. These data suggest potentially protective role of aggrecan in cartilage loss, as measured by JSN. High COMP levels are risk factors for development of RKOA, as assessed by K/L scores. \u00a9 2013 Osteoarthritis Research Society International.", "author" : [ { "dropping-particle" : "", "family" : "Blumenfeld", "given" : "O.", "non-dropping-particle" : "", "parse-names" : false, "suffix" : "" }, { "dropping-particle" : "", "family" : "Williams", "given" : "F. M K", "non-dropping-particle" : "", "parse-names" : false, "suffix" : "" }, { "dropping-particle" : "", "family" : "Hart", "given" : "D. J.", "non-dropping-particle" : "", "parse-names" : false, "suffix" : "" }, { "dropping-particle" : "", "family" : "Spector", "given" : "T. D.", "non-dropping-particle" : "", "parse-names" : false, "suffix" : "" }, { "dropping-particle" : "", "family" : "Arden", "given" : "N.", "non-dropping-particle" : "", "parse-names" : false, "suffix" : "" }, { "dropping-particle" : "", "family" : "Livshits", "given" : "G.", "non-dropping-particle" : "", "parse-names" : false, "suffix" : "" } ], "container-title" : "Osteoarthritis and Cartilage", "id" : "ITEM-1", "issue" : "7", "issued" : { "date-parts" : [ [ "2013" ] ] }, "page" : "923-929", "publisher" : "Elsevier Ltd", "title" : "Association between cartilage and bone biomarkers and incidence of radiographic knee osteoarthritis (RKOA) in UK females: A prospective study", "type" : "article-journal", "volume" : "21" }, "uris" : [ "http://www.mendeley.com/documents/?uuid=f2c5ab10-63e7-4cdf-ba67-3fefc025dea8" ] } ], "mendeley" : { "formattedCitation" : "[22]", "plainTextFormattedCitation" : "[22]", "previouslyFormattedCitation" : "[22]"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[22]</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OA DIAGNOSIS: Chingford cohort CHARACTERISTICS: </w:t>
            </w:r>
            <w:r w:rsidRPr="00A403BC">
              <w:rPr>
                <w:rFonts w:cs="Calibri"/>
                <w:color w:val="000000"/>
                <w:sz w:val="14"/>
                <w:szCs w:val="12"/>
                <w:lang w:val="en-US"/>
              </w:rPr>
              <w:t>55.5 (5.8)</w:t>
            </w:r>
            <w:r w:rsidRPr="00A403BC">
              <w:rPr>
                <w:rFonts w:cs="Calibri"/>
                <w:color w:val="000000"/>
                <w:sz w:val="14"/>
                <w:szCs w:val="12"/>
              </w:rPr>
              <w:t xml:space="preserve">, BMI </w:t>
            </w:r>
            <w:r w:rsidRPr="00A403BC">
              <w:rPr>
                <w:rFonts w:cs="Calibri"/>
                <w:color w:val="000000"/>
                <w:sz w:val="14"/>
                <w:szCs w:val="12"/>
                <w:lang w:val="en-US"/>
              </w:rPr>
              <w:t>26.4 (4.4);</w:t>
            </w:r>
            <w:r w:rsidRPr="00A403BC">
              <w:rPr>
                <w:rFonts w:cs="Calibri"/>
                <w:color w:val="000000"/>
                <w:sz w:val="14"/>
                <w:szCs w:val="12"/>
              </w:rPr>
              <w:t xml:space="preserve"> high level of </w:t>
            </w:r>
            <w:proofErr w:type="spellStart"/>
            <w:r w:rsidRPr="00A403BC">
              <w:rPr>
                <w:rFonts w:cs="Calibri"/>
                <w:color w:val="000000"/>
                <w:sz w:val="14"/>
                <w:szCs w:val="12"/>
              </w:rPr>
              <w:t>sCOMP</w:t>
            </w:r>
            <w:proofErr w:type="spellEnd"/>
            <w:r w:rsidRPr="00A403BC">
              <w:rPr>
                <w:rFonts w:cs="Calibri"/>
                <w:color w:val="000000"/>
                <w:sz w:val="14"/>
                <w:szCs w:val="12"/>
              </w:rPr>
              <w:t xml:space="preserve"> and low level of </w:t>
            </w:r>
            <w:proofErr w:type="spellStart"/>
            <w:r w:rsidRPr="00A403BC">
              <w:rPr>
                <w:rFonts w:cs="Calibri"/>
                <w:color w:val="000000"/>
                <w:sz w:val="14"/>
                <w:szCs w:val="12"/>
              </w:rPr>
              <w:t>aggrecan</w:t>
            </w:r>
            <w:proofErr w:type="spellEnd"/>
            <w:r w:rsidRPr="00A403BC">
              <w:rPr>
                <w:rFonts w:cs="Calibri"/>
                <w:color w:val="000000"/>
                <w:sz w:val="14"/>
                <w:szCs w:val="12"/>
              </w:rPr>
              <w:t xml:space="preserve"> predict degeneration (from KL=0 to KL ≥ 2 at 10 years)</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660AC6" w:rsidP="00FA44F6">
            <w:pPr>
              <w:spacing w:after="0" w:line="480" w:lineRule="auto"/>
              <w:jc w:val="center"/>
              <w:rPr>
                <w:rFonts w:eastAsia="Times New Roman" w:cs="Times New Roman"/>
                <w:color w:val="000000"/>
                <w:sz w:val="14"/>
                <w:szCs w:val="14"/>
                <w:lang w:val="it-IT" w:eastAsia="it-IT"/>
              </w:rPr>
            </w:pPr>
            <w:r>
              <w:rPr>
                <w:rFonts w:eastAsia="Times New Roman" w:cs="Times New Roman"/>
                <w:color w:val="000000"/>
                <w:sz w:val="14"/>
                <w:szCs w:val="14"/>
                <w:lang w:val="en-US" w:eastAsia="it-IT"/>
              </w:rPr>
              <w:t>Cruz-A</w:t>
            </w:r>
            <w:r w:rsidR="00FA44F6" w:rsidRPr="00101897">
              <w:rPr>
                <w:rFonts w:eastAsia="Times New Roman" w:cs="Times New Roman"/>
                <w:color w:val="000000"/>
                <w:sz w:val="14"/>
                <w:szCs w:val="14"/>
                <w:lang w:val="en-US" w:eastAsia="it-IT"/>
              </w:rPr>
              <w:t>lmeida 2013</w:t>
            </w:r>
            <w:r w:rsidR="00142F7B" w:rsidRPr="00101897">
              <w:rPr>
                <w:rFonts w:eastAsia="Times New Roman" w:cs="Times New Roman"/>
                <w:color w:val="000000"/>
                <w:sz w:val="14"/>
                <w:szCs w:val="14"/>
                <w:lang w:val="it-IT" w:eastAsia="it-IT"/>
              </w:rPr>
              <w:fldChar w:fldCharType="begin" w:fldLock="1"/>
            </w:r>
            <w:r w:rsidR="00FA44F6">
              <w:rPr>
                <w:rFonts w:eastAsia="Times New Roman" w:cs="Times New Roman"/>
                <w:color w:val="000000"/>
                <w:sz w:val="14"/>
                <w:szCs w:val="14"/>
                <w:lang w:val="en-US" w:eastAsia="it-IT"/>
              </w:rPr>
              <w:instrText>ADDIN CSL_CITATION { "citationItems" : [ { "id" : "ITEM-1", "itemData" : { "DOI" : "10.1002/acr.22070 [doi]", "ISSN" : "2151-4658; 2151-464X", "abstract" : "OBJECTIVE: To identify psychological profiles in persons with knee osteoarthritis (OA) and to determine the relationship between these profiles and specific pain and sensory characteristics, including temporal summation and conditioned pain modulation. METHODS: Individuals with knee OA (n = 194) completed psychological, health, and sensory assessments. Hierarchical cluster analysis was used to derive psychological profiles that were compared across several clinical pain/disability and experimental pain responses. RESULTS: Cluster 1 had high optimism with low negative affect, pain vigilance, anger, and depression, along with the lowest self-reported pain/disability and the lowest sensitivity to mechanical, pressure, and thermal pain (P &lt; 0.01 for all). Cluster 2 had low positive affect with high somatic reactivity, while cluster 3 showed high pain vigilance with low optimism. Clusters 2 and 3 had intermediate levels of self-reported pain/disability and cluster 3 experienced central sensitization to mechanical stimuli. Participants in cluster 3 also displayed significant pain facilitation (P &lt; 0.05). Cluster 4 exhibited the highest pain vigilance, reactivity, negative affect, anger, and depression. These individuals experienced the highest self-reported pain/disability, including widespread pain (P &lt; 0.001 for all). Cluster 4 was most sensitive to mechanical, pressure, and thermal stimuli, and showed significant central sensitization to mechanical and thermal stimuli (P &lt; 0.001 for all). CONCLUSION: Our findings demonstrate the existence of homogeneous psychological profiles displaying unique sets of clinical and somatosensory characteristics. Multidisciplinary treatment approaches consistent with the biopsychosocial model of pain should provide significant advantages if targeted to profiles such as those in our OA sample.", "author" : [ { "dropping-particle" : "", "family" : "Cruz-Almeida", "given" : "Y", "non-dropping-particle" : "", "parse-names" : false, "suffix" : "" }, { "dropping-particle" : "", "family" : "King", "given" : "C D", "non-dropping-particle" : "", "parse-names" : false, "suffix" : "" }, { "dropping-particle" : "", "family" : "Goodin", "given" : "B R", "non-dropping-particle" : "", "parse-names" : false, "suffix" : "" }, { "dropping-particle" : "", "family" : "Sibille", "given" : "K T", "non-dropping-particle" : "", "parse-names" : false, "suffix" : "" }, { "dropping-particle" : "", "family" : "Glover", "given" : "T L", "non-dropping-particle" : "", "parse-names" : false, "suffix" : "" }, { "dropping-particle" : "", "family" : "Riley", "given" : "J L", "non-dropping-particle" : "", "parse-names" : false, "suffix" : "" }, { "dropping-particle" : "", "family" : "Sotolongo", "given" : "A", "non-dropping-particle" : "", "parse-names" : false, "suffix" : "" }, { "dropping-particle" : "", "family" : "Herbert", "given" : "M S", "non-dropping-particle" : "", "parse-names" : false, "suffix" : "" }, { "dropping-particle" : "", "family" : "Schmidt", "given" : "J", "non-dropping-particle" : "", "parse-names" : false, "suffix" : "" }, { "dropping-particle" : "", "family" : "Fessler", "given" : "B J", "non-dropping-particle" : "", "parse-names" : false, "suffix" : "" }, { "dropping-particle" : "", "family" : "Redden", "given" : "D T", "non-dropping-particle" : "", "parse-names" : false, "suffix" : "" }, { "dropping-particle" : "", "family" : "Staud", "given" : "R", "non-dropping-particle" : "", "parse-names" : false, "suffix" : "" }, { "dropping-particle" : "", "family" : "Bradley", "given" : "L A", "non-dropping-particle" : "", "parse-names" : false, "suffix" : "" }, { "dropping-particle" : "", "family" : "Fillingim", "given" : "R B", "non-dropping-particle" : "", "parse-names" : false, "suffix" : "" } ], "container-title" : "Arthritis care &amp; research", "id" : "ITEM-1", "issue" : "11", "issued" : { "date-parts" : [ [ "2013", "11" ] ] }, "note" : "LR: 20150327; GR: AG033906/AG/NIA NIH HHS/United States; GR: L30 AG040467/AG/NIA NIH HHS/United States; GR: L30 AG043172/AG/NIA NIH HHS/United States; GR: R01 AG033906/AG/NIA NIH HHS/United States; GR: R01 AG039659/AG/NIA NIH HHS/United States; GR: T90 DE021990/DE/NIDCR NIH HHS/United States; GR: T90-DE021990/DE/NIDCR NIH HHS/United States; GR: UL1 TR000064/TR/NCATS NIH HHS/United States; GR: UL1 TR000165/TR/NCATS NIH HHS/United States; GR: UL1-TR000064/TR/NCATS NIH HHS/United States; GR: UL1-TR000165/TR/NCATS NIH HHS/United States; JID: 101518086; NIHMS552262; OID: NLM: NIHMS552262; OID: NLM: PMC3922880; 2013/01/29 [received]; 2013/05/17 [revised]; 2013/06/21 [accepted]; ppublish", "page" : "1786-1794", "publisher-place" : "United States", "title" : "Psychological profiles and pain characteristics of older adults with knee osteoarthritis", "type" : "article-journal", "volume" : "65" }, "uris" : [ "http://www.mendeley.com/documents/?uuid=403b1e0b-913f-4b87-9256-0b75e32c4dfe" ] } ], "mendeley" : { "formattedCitation" : "[23]", "plainTextFormattedCitation" : "[23]", "previouslyFormattedCitation" : "[23]"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00FA44F6" w:rsidRPr="00122694">
              <w:rPr>
                <w:rFonts w:eastAsia="Times New Roman" w:cs="Times New Roman"/>
                <w:noProof/>
                <w:color w:val="000000"/>
                <w:sz w:val="14"/>
                <w:szCs w:val="14"/>
                <w:lang w:val="en-US" w:eastAsia="it-IT"/>
              </w:rPr>
              <w:t>[23]</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age Group A: age 56.7 ±6.8 lowest scores on the LOT-R</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along with high scores on the PVAQ (low optimism), high level of pain low PPT lower and upper body. Group B: 54.3 ± 5.4 age  highest scores</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on the PVAQ, KRS, and negative affect subscale of the</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PANAS (somatic sensitivity/pain hypervigilance) highest number of pain areas, highest level of pain, </w:t>
            </w:r>
            <w:r w:rsidRPr="00A403BC">
              <w:rPr>
                <w:rFonts w:cs="Calibri"/>
                <w:color w:val="000000"/>
                <w:sz w:val="14"/>
                <w:szCs w:val="12"/>
              </w:rPr>
              <w:lastRenderedPageBreak/>
              <w:t>lowest PPT lower and upper body.</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lastRenderedPageBreak/>
              <w:t>Doss 2007</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"778057274 [pii]", "ISBN" : "0300-9742 (Print) 0300-9742 (Linking)", "ISSN" : "0300-9742; 0300-9742", "PMID" : "17476620", "abstract" : "OBJECTIVE: To analyse the levels of interleukin-6 (IL-6) in the synovial fluids and sera of patients with osteoarthritis (OA) and to identify the IL-6-secreting cells. METHODS: Serum, synovial fluid, synovial tissue, and articular cartilage samples were collected from 49 OA patients with end-stage knee or hip OA who underwent joint replacement surgery. Serum and synovial fluid levels of IL-6 were measured by enzyme-linked immunosorbent assay (ELISA) and IL-6-secreting cells were identified by immunohistochemistry. RESULTS: Eight out of 49 patients (16%) exhibited elevated IL-6 levels in the synovial fluids, averaging at 2022+/-526 pg/mL, while the levels in the rest of the patients averaged at 132+/-19 pg/mL. The sera levels of all patients were comparable in the 10 pg/mL range. Immunohistochemical analyses revealed plasma cells in the synovial lining of the high producers as the source of IL-6. CONCLUSIONS: Synovial fluid IL-6 levels may help to classify OA patients and may point to a subgroup with a particular impact from their immune system.", "author" : [ { "dropping-particle" : "", "family" : "Doss", "given" : "F", "non-dropping-particle" : "", "parse-names" : false, "suffix" : "" }, { "dropping-particle" : "", "family" : "Menard", "given" : "J", "non-dropping-particle" : "", "parse-names" : false, "suffix" : "" }, { "dropping-particle" : "", "family" : "Hauschild", "given" : "M", "non-dropping-particle" : "", "parse-names" : false, "suffix" : "" }, { "dropping-particle" : "", "family" : "Kreutzer", "given" : "H-J J", "non-dropping-particle" : "", "parse-names" : false, "suffix" : "" }, { "dropping-particle" : "", "family" : "Mittlmeier", "given" : "T", "non-dropping-particle" : "", "parse-names" : false, "suffix" : "" }, { "dropping-particle" : "", "family" : "M\u00fcller-Steinhardt", "given" : "M", "non-dropping-particle" : "", "parse-names" : false, "suffix" : "" }, { "dropping-particle" : "", "family" : "M\u00fcller", "given" : "B", "non-dropping-particle" : "", "parse-names" : false, "suffix" : "" }, { "dropping-particle" : "", "family" : "Muller-Steinhardt", "given" : "M", "non-dropping-particle" : "", "parse-names" : false, "suffix" : "" }, { "dropping-particle" : "", "family" : "Muller", "given" : "B", "non-dropping-particle" : "", "parse-names" : false, "suffix" : "" } ], "container-title" : "Scandinavian journal of rheumatology", "id" : "ITEM-1", "issue" : "2", "issued" : { "date-parts" : [ [ "2007" ] ] }, "note" : "From Duplicate 1 (Elevated IL-6 levels in the synovial fluid of osteoarthritis patients stem from plasma cells - Doss, F; Menard, J; Hauschild, M; Kreutzer, H J; Mittlmeier, T; Muller-Steinhardt, M; Muller, B)\n\nJID: 0321213; 0 (Biological Markers); 0 (Interleukin-6); ppublish", "page" : "136-139", "publisher-place" : "Institute of Immunology, Medical Faculty, University of Rostock, Berlin.", "title" : "Elevated IL-6 levels in the synovial fluid of osteoarthritis patients stem from plasma cells", "type" : "article-journal", "volume" : "36" }, "uris" : [ "http://www.mendeley.com/documents/?uuid=a0cb6800-e45d-42dd-914c-44a702e07f49" ] } ], "mendeley" : { "formattedCitation" : "[24]", "plainTextFormattedCitation" : "[24]", "previouslyFormattedCitation" : "[24]"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[24]</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E233B0">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DIAGNIOSIS: Physician CHARACTERISTICS:</w:t>
            </w:r>
            <w:r>
              <w:rPr>
                <w:rFonts w:cs="Calibri"/>
                <w:color w:val="000000"/>
                <w:sz w:val="14"/>
                <w:szCs w:val="12"/>
              </w:rPr>
              <w:t xml:space="preserve"> Mixed sample: 72% KOA, 28% hip OA </w:t>
            </w:r>
            <w:r w:rsidR="00E233B0">
              <w:rPr>
                <w:rFonts w:cs="Calibri"/>
                <w:color w:val="000000"/>
                <w:sz w:val="14"/>
                <w:szCs w:val="12"/>
              </w:rPr>
              <w:t>.A</w:t>
            </w:r>
            <w:r w:rsidRPr="00A403BC">
              <w:rPr>
                <w:rFonts w:cs="Calibri"/>
                <w:color w:val="000000"/>
                <w:sz w:val="14"/>
                <w:szCs w:val="12"/>
              </w:rPr>
              <w:t xml:space="preserve">ll </w:t>
            </w:r>
            <w:r w:rsidR="00E233B0">
              <w:rPr>
                <w:rFonts w:cs="Calibri"/>
                <w:color w:val="000000"/>
                <w:sz w:val="14"/>
                <w:szCs w:val="12"/>
              </w:rPr>
              <w:t xml:space="preserve">subjects </w:t>
            </w:r>
            <w:r>
              <w:rPr>
                <w:rFonts w:cs="Calibri"/>
                <w:color w:val="000000"/>
                <w:sz w:val="14"/>
                <w:szCs w:val="12"/>
              </w:rPr>
              <w:t>scheduled for</w:t>
            </w:r>
            <w:r w:rsidRPr="00A403BC">
              <w:rPr>
                <w:rFonts w:cs="Calibri"/>
                <w:color w:val="000000"/>
                <w:sz w:val="14"/>
                <w:szCs w:val="12"/>
              </w:rPr>
              <w:t xml:space="preserve"> replacement, age 68.7± 7.9*. Elevated IL-6 levels in the synovial fluids</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Egsgaard 2015</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"10.1016/j.pain.0000000000000011 [doi]", "ISSN" : "1872-6623; 0304-3959", "abstract" : "Biochemical and pain biomarkers can be applied to patients with painful osteoarthritis profiles and may provide more details compared with conventional clinical tools. The aim of this study was to identify an optimal combination of biochemical and pain biomarkers for classification of patients with different degrees of knee pain and joint damage. Such profiling may provide new diagnostic and therapeutic options. A total of 216 patients with different degrees of knee pain (maximal pain during the last 24 hours rated on a visual analog scale [VAS]) (VAS 0-100) and 64 controls (VAS 0-9) were recruited. Patients were separated into 3 groups: VAS 10 to 39 (N = 81), VAS 40 to 69 (N = 70), and VAS 70 to 100 (N = 65). Pressure pain thresholds, temporal summation to pressure stimuli, and conditioning pain modulation were measured from the peripatellar and extrasegmental sites. Biochemical markers indicative for autoinflammation and immunity (VICM, CRP, and CRPM), synovial inflammation (CIIIM), cartilage loss (CIIM), and bone degradation (CIM) were analyzed. WOMAC, Lequesne, and pain catastrophizing scores were collected. Principal component analysis was applied to select the optimal variable subset, and cluster analysis was applied to this subset to create distinctly different knee pain profiles. Four distinct knee pain profiles were identified: profile A (N = 27), profile B (N = 59), profile C (N = 85), and profile D (N = 41). Each knee pain profile had a unique combination of biochemical markers, pain biomarkers, physical impairments, and psychological factors that may provide the basis for mechanism-based diagnosis, individualized treatment, and selection of patients for clinical trials evaluating analgesic compounds. These results introduce a new profiling for knee OA and should be regarded as preliminary.", "author" : [ { "dropping-particle" : "", "family" : "Egsgaard", "given" : "L L", "non-dropping-particle" : "", "parse-names" : false, "suffix" : "" }, { "dropping-particle" : "", "family" : "Eskehave", "given" : "T N", "non-dropping-particle" : "", "parse-names" : false, "suffix" : "" }, { "dropping-particle" : "", "family" : "Bay-Jensen", "given" : "A C", "non-dropping-particle" : "", "parse-names" : false, "suffix" : "" }, { "dropping-particle" : "", "family" : "Hoeck", "given" : "H C", "non-dropping-particle" : "", "parse-names" : false, "suffix" : "" }, { "dropping-particle" : "", "family" : "Arendt-Nielsen", "given" : "L", "non-dropping-particle" : "", "parse-names" : false, "suffix" : "" } ], "container-title" : "Pain", "id" : "ITEM-1", "issue" : "1", "issued" : { "date-parts" : [ [ "2015", "1" ] ] }, "note" : "JID: 7508686; ppublish", "page" : "96-107", "publisher-place" : "aCenter for Sensory Motor Interaction, Department of Health Science and Technology, Faculty of Medicine, School of Medicine, Aalborg University, Aalborg East, Denmark bCenter for Clinical and Basic Research (CCBR) and C4Pain, Aalborg, Denmark cNordic Bios", "title" : "Identifying specific profiles in patients with different degrees of painful knee osteoarthritis based on serological biochemical and mechanistic pain biomarkers: a diagnostic approach based on cluster analysis", "type" : "article-journal", "volume" : "156" }, "uris" : [ "http://www.mendeley.com/documents/?uuid=afb6b5e4-0b04-46a9-a1a7-93de51b15303" ] } ], "mendeley" : { "formattedCitation" : "[25]", "plainTextFormattedCitation" : "[25]", "previouslyFormattedCitation" : "[25]"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[25]</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Low pressure pain</w:t>
            </w:r>
          </w:p>
          <w:p w:rsidR="00FA44F6" w:rsidRPr="00A403BC" w:rsidRDefault="00FA44F6" w:rsidP="00FA44F6">
            <w:pPr>
              <w:autoSpaceDE w:val="0"/>
              <w:autoSpaceDN w:val="0"/>
              <w:adjustRightInd w:val="0"/>
              <w:spacing w:after="0" w:line="240" w:lineRule="auto"/>
              <w:jc w:val="center"/>
              <w:rPr>
                <w:rFonts w:cs="Calibri"/>
                <w:color w:val="000000"/>
                <w:sz w:val="14"/>
                <w:szCs w:val="12"/>
              </w:rPr>
            </w:pPr>
            <w:proofErr w:type="gramStart"/>
            <w:r w:rsidRPr="00A403BC">
              <w:rPr>
                <w:rFonts w:cs="Calibri"/>
                <w:color w:val="000000"/>
                <w:sz w:val="14"/>
                <w:szCs w:val="12"/>
              </w:rPr>
              <w:t>thresholds</w:t>
            </w:r>
            <w:proofErr w:type="gramEnd"/>
            <w:r w:rsidRPr="00A403BC">
              <w:rPr>
                <w:rFonts w:cs="Calibri"/>
                <w:color w:val="000000"/>
                <w:sz w:val="14"/>
                <w:szCs w:val="12"/>
              </w:rPr>
              <w:t>, enhanced pain responses to temporal summation in all test sites(lower and upper body), high level of pain, high score in pain catastrophizing questionnaire.</w:t>
            </w:r>
          </w:p>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660AC6" w:rsidP="00FA44F6">
            <w:pPr>
              <w:spacing w:after="0" w:line="480" w:lineRule="auto"/>
              <w:jc w:val="center"/>
              <w:rPr>
                <w:rFonts w:eastAsia="Times New Roman" w:cs="Times New Roman"/>
                <w:color w:val="000000"/>
                <w:sz w:val="14"/>
                <w:szCs w:val="14"/>
                <w:lang w:val="it-IT" w:eastAsia="it-IT"/>
              </w:rPr>
            </w:pPr>
            <w:proofErr w:type="spellStart"/>
            <w:r>
              <w:rPr>
                <w:rFonts w:eastAsia="Times New Roman" w:cs="Times New Roman"/>
                <w:color w:val="000000"/>
                <w:sz w:val="14"/>
                <w:szCs w:val="14"/>
                <w:lang w:val="en-US" w:eastAsia="it-IT"/>
              </w:rPr>
              <w:t>Fernández-T</w:t>
            </w:r>
            <w:r w:rsidR="00FA44F6" w:rsidRPr="00101897">
              <w:rPr>
                <w:rFonts w:eastAsia="Times New Roman" w:cs="Times New Roman"/>
                <w:color w:val="000000"/>
                <w:sz w:val="14"/>
                <w:szCs w:val="14"/>
                <w:lang w:val="en-US" w:eastAsia="it-IT"/>
              </w:rPr>
              <w:t>ajes</w:t>
            </w:r>
            <w:proofErr w:type="spellEnd"/>
            <w:r w:rsidR="00FA44F6" w:rsidRPr="00101897">
              <w:rPr>
                <w:rFonts w:eastAsia="Times New Roman" w:cs="Times New Roman"/>
                <w:color w:val="000000"/>
                <w:sz w:val="14"/>
                <w:szCs w:val="14"/>
                <w:lang w:val="en-US" w:eastAsia="it-IT"/>
              </w:rPr>
              <w:t xml:space="preserve"> 2014</w:t>
            </w:r>
            <w:r w:rsidR="00142F7B" w:rsidRPr="00101897">
              <w:rPr>
                <w:rFonts w:eastAsia="Times New Roman" w:cs="Times New Roman"/>
                <w:color w:val="000000"/>
                <w:sz w:val="14"/>
                <w:szCs w:val="14"/>
                <w:lang w:val="it-IT" w:eastAsia="it-IT"/>
              </w:rPr>
              <w:fldChar w:fldCharType="begin" w:fldLock="1"/>
            </w:r>
            <w:r w:rsidR="00FA44F6">
              <w:rPr>
                <w:rFonts w:eastAsia="Times New Roman" w:cs="Times New Roman"/>
                <w:color w:val="000000"/>
                <w:sz w:val="14"/>
                <w:szCs w:val="14"/>
                <w:lang w:val="en-US" w:eastAsia="it-IT"/>
              </w:rPr>
              <w:instrText>ADDIN CSL_CITATION { "citationItems" : [ { "id" : "ITEM-1", "itemData" : { "DOI" : "10.1136/annrheumdis-2012-202783 [doi]", "ISSN" : "1468-2060; 0003-4967", "abstract" : "OBJECTIVE: Alterations in DNA methylation patterns have been found to correlate with several diseases including osteoarthritis (OA). The aim of this study was to identify, for the first time, the genome-wide DNA methylation profiles of human articular chondrocytes from OA cartilage and healthy control cartilage samples. METHODS: DNA methylation profiling was performed using Illumina Infinium HumanMethylation27 in 25 patients with OA and 20 healthy controls. Subsequent validation was performed by genome-wide expression analysis using the Affymetrix Human Gene 1.1 ST array in an independent cohort of 24 patients with OA. Finally, the most consistent genes in both assays were amplified by quantitative reverse transcriptase PCR in a validation cohort of 48 patients using microfluidic real-time quantitative PCR. Appropriate bioinformatics analyses were carried out using R bioconductor software packages and qBase plus software from Biogazelle. RESULTS: We found 91 differentially methylated (DM) probes, which permitted us to separate patients with OA from healthy controls. Among the patients with OA, we detected 1357 DM probes that identified a tight cluster of seven patients who were different from the rest. This cluster was also identified by genome-wide expression in which 450 genes were differentially expressed. Further validation of the most consistent genes in an independent cohort of patients with OA permitted us to identify this cluster, which was characterised by increased inflammatory processes. CONCLUSIONS: We were able to identify a tight subgroup of patients with OA, characterised by an increased inflammatory response that could be regulated by epigenetics. The identification and isolation of this subgroup may be critical for the development of effective treatment and disease prevention.", "author" : [ { "dropping-particle" : "", "family" : "Fernandez-Tajes", "given" : "J", "non-dropping-particle" : "", "parse-names" : false, "suffix" : "" }, { "dropping-particle" : "", "family" : "Soto-Hermida", "given" : "A", "non-dropping-particle" : "", "parse-names" : false, "suffix" : "" }, { "dropping-particle" : "", "family" : "Vazquez-Mosquera", "given" : "M E", "non-dropping-particle" : "", "parse-names" : false, "suffix" : "" }, { "dropping-particle" : "", "family" : "Cortes-Pereira", "given" : "E", "non-dropping-particle" : "", "parse-names" : false, "suffix" : "" }, { "dropping-particle" : "", "family" : "Mosquera", "given" : "A", "non-dropping-particle" : "", "parse-names" : false, "suffix" : "" }, { "dropping-particle" : "", "family" : "Fernandez-Moreno", "given" : "M", "non-dropping-particle" : "", "parse-names" : false, "suffix" : "" }, { "dropping-particle" : "", "family" : "Oreiro", "given" : "N", "non-dropping-particle" : "", "parse-names" : false, "suffix" : "" }, { "dropping-particle" : "", "family" : "Fernandez-Lopez", "given" : "C", "non-dropping-particle" : "", "parse-names" : false, "suffix" : "" }, { "dropping-particle" : "", "family" : "Fernandez", "given" : "J L", "non-dropping-particle" : "", "parse-names" : false, "suffix" : "" }, { "dropping-particle" : "", "family" : "Rego-Perez", "given" : "I", "non-dropping-particle" : "", "parse-names" : false, "suffix" : "" }, { "dropping-particle" : "", "family" : "Blanco", "given" : "F J", "non-dropping-particle" : "", "parse-names" : false, "suffix" : "" } ], "container-title" : "Annals of the Rheumatic Diseases", "id" : "ITEM-1", "issue" : "4", "issued" : { "date-parts" : [ [ "2014", "4" ] ] }, "note" : "JID: 0372355; OTO: NOTNLM; 2013/03/16 [aheadofprint]; ppublish", "page" : "668-677", "publisher-place" : "Rheumatology Division, INIBIC-Complejo Hospitalario Universitario A Coruna (CHUAC), , Coruna, Spain.", "title" : "Genome-wide DNA methylation analysis of articular chondrocytes reveals a cluster of osteoarthritic patients", "type" : "article-journal", "volume" : "73" }, "uris" : [ "http://www.mendeley.com/documents/?uuid=ad39ef9a-03ca-4f27-a846-1fb07eeebd14" ] } ], "mendeley" : { "formattedCitation" : "[26]", "plainTextFormattedCitation" : "[26]", "previouslyFormattedCitation" : "[26]"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00FA44F6" w:rsidRPr="00122694">
              <w:rPr>
                <w:rFonts w:eastAsia="Times New Roman" w:cs="Times New Roman"/>
                <w:noProof/>
                <w:color w:val="000000"/>
                <w:sz w:val="14"/>
                <w:szCs w:val="14"/>
                <w:lang w:val="en-US" w:eastAsia="it-IT"/>
              </w:rPr>
              <w:t>[26]</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KL 4 and knee replacement.</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w:t>
            </w:r>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lang w:val="en-US"/>
              </w:rPr>
              <w:t>increased</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lang w:val="en-US"/>
              </w:rPr>
              <w:t>inflammatory response that regulated by epigenetics</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Holla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"10.1136/annrheumdis-2012-202984 [doi]", "ISSN" : "1468-2060; 0003-4967", "abstract" : "OBJECTIVES: Knee osteoarthritis (OA) is a leading cause of activity limitations. The knee OA population is likely to consist of subgroups. The aim of the present study was to identify homogeneous subgroups with distinct trajectories of activity limitations in patients with early symptomatic knee OA and to describe characteristics of these subgroups. METHODS: Follow-up data over a period of 5 years of 697 participants with early symptomatic knee OA from the Cohort Hip and Cohort Knee (CHECK) were used. Activity limitations were measured yearly with the Western Ontario and McMaster Universities Osteoarthritis Index. Latent class growth analyses identified homogeneous subgroups with distinct trajectories of activity limitations. Multivariable regression analyses examined differences in characteristics between the subgroups. RESULTS: Three subgroups were identified. Participants in Subgroup 1 ('good outcome'; n=330) developed or displayed slight activity limitations over time. Participants in Subgroup 2 ('moderate outcome'; n=257) developed or displayed moderate activity limitations over time. Participants in subgroup 3 ('poor outcome'; n=110) developed or displayed severe activity limitations over time. Compared with the 'good outcome' subgroup, the 'moderate outcome' and 'poor outcome' subgroups were characterised by: younger age, higher body mass index, greater pain, bony tenderness, reduced knee flexion, hip pain, osteophytosis, &gt;/=3 comorbidities, lower vitality or avoidance of activities. CONCLUSIONS: Based on the 5-year course of activity limitations, we identified homogeneous subgroups of knee OA patients with good, moderate or poor outcome. Characteristics of these subgroups were consistent with existing knowledge on prognostic factors regarding activity limitations, which supports the validity of this classification.", "author" : [ { "dropping-particle" : "", "family" : "Holla", "given" : "J F", "non-dropping-particle" : "", "parse-names" : false, "suffix" : "" }, { "dropping-particle" : "", "family" : "Leeden", "given" : "M", "non-dropping-particle" : "van der", "parse-names" : false, "suffix" : "" }, { "dropping-particle" : "", "family" : "Heymans", "given" : "M W", "non-dropping-particle" : "", "parse-names" : false, "suffix" : "" }, { "dropping-particle" : "", "family" : "Roorda", "given" : "L D", "non-dropping-particle" : "", "parse-names" : false, "suffix" : "" }, { "dropping-particle" : "", "family" : "Bierma-Zeinstra", "given" : "S M", "non-dropping-particle" : "", "parse-names" : false, "suffix" : "" }, { "dropping-particle" : "", "family" : "Boers", "given" : "M", "non-dropping-particle" : "", "parse-names" : false, "suffix" : "" }, { "dropping-particle" : "", "family" : "Lems", "given" : "W F", "non-dropping-particle" : "", "parse-names" : false, "suffix" : "" }, { "dropping-particle" : "", "family" : "Steultjens", "given" : "M P", "non-dropping-particle" : "", "parse-names" : false, "suffix" : "" }, { "dropping-particle" : "", "family" : "Dekker", "given" : "J", "non-dropping-particle" : "", "parse-names" : false, "suffix" : "" } ], "container-title" : "Annals of the Rheumatic Diseases", "id" : "ITEM-1", "issue" : "7", "issued" : { "date-parts" : [ [ "2014", "7" ] ] }, "note" : "CI: Published by the BMJ Publishing Group Limited. For permission to use (where not already granted under a licence) please go to http://group.bmj.com/group/rights-licensing/permissions.; JID: 0372355; OTO: NOTNLM; 2013/05/28 [aheadofprint]; ppublish", "page" : "1369-1375", "publisher-place" : "Amsterdam Rehabilitation Research Centre, Reade, Amsterdam, The Netherlands.; Amsterdam Rehabilitation Research Centre, Reade, Amsterdam, The Netherlands Department of Rehabilitation Medicine, VU University Medical Centre, Amsterdam, The Netherlands EMGO ", "title" : "Three trajectories of activity limitations in early symptomatic knee osteoarthritis: a 5-year follow-up study", "type" : "article-journal", "volume" : "73" }, "uris" : [ "http://www.mendeley.com/documents/?uuid=f81dbe97-740e-46b5-a830-ec04bea2fb85" ] } ], "mendeley" : { "formattedCitation" : "[27]", "plainTextFormattedCitation" : "[27]", "previouslyFormattedCitation" : "[27]"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[27]</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Check cohort criteria</w:t>
            </w:r>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rPr>
              <w:t xml:space="preserve">CHARACTERISTICS: age </w:t>
            </w:r>
            <w:r w:rsidRPr="00A403BC">
              <w:rPr>
                <w:rFonts w:cs="Calibri"/>
                <w:color w:val="000000"/>
                <w:sz w:val="14"/>
                <w:szCs w:val="12"/>
                <w:lang w:val="en-US"/>
              </w:rPr>
              <w:t>56.2±5.2; BMI 25.5±3.6 participants moved from moderate or high levels</w:t>
            </w:r>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lang w:val="en-US"/>
              </w:rPr>
              <w:t>of activity limitations at baseline to low levels over 5 years, or</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lang w:val="en-US"/>
              </w:rPr>
              <w:t>reported permanent low levels of activity limitations.</w:t>
            </w: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Jenkins 2015</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"10.1097/NOR.0000000000000112 [doi]", "ISSN" : "1542-538X; 0744-6020", "abstract" : "BACKGROUND: One in two people may develop symptomatic knee osteoarthritis (OA) in their lifetime. Many OA sufferers have multiple symptoms, including pain, fatigue, and depressive symptoms. Determining whether symptom clusters exist among these older adults and what their effects are on outcomes such as quality of life (QOL) and functional status is essential to provide evidence-based geriatric healthcare. PURPOSE: The purposes of the secondary analyses were to explore symptoms that form clusters in older adults with OA of the knee and the effects of symptom clusters on their QOL and functional status. METHOD: A cross-sectional, methodological exploration of existing data from a convenience sample (N = 75) of adults aged 50 years and older with OA of the knee was used. Hierarchical and k-means cluster analyses were used to identify symptom clusters. MANOVA was performed to test for joint differences in QOL and functional status. RESULTS: Two large clusters of pain, fatigue, and depressive symptoms were identified from the cluster, and significant relationships were found between symptom clusters and both QOL (p = .008) and functional status (p &lt; .001). Conclusions about QOL or functional status differences were similar for alternative clustering strategies or numbers of symptom clusters in sensitivity analyses. CONCLUSION: The findings of this study provide a foundation for targeted interventions to improve QOL and functional status of older adults with OA of the knee.", "author" : [ { "dropping-particle" : "", "family" : "Jenkins", "given" : "J B", "non-dropping-particle" : "", "parse-names" : false, "suffix" : "" }, { "dropping-particle" : "", "family" : "McCoy", "given" : "T P", "non-dropping-particle" : "", "parse-names" : false, "suffix" : "" } ], "container-title" : "Orthopedic nursing", "id" : "ITEM-1", "issue" : "1", "issued" : { "date-parts" : [ [ "2015" ] ] }, "note" : "JID: 8409486; ppublish", "page" : "34-36", "publisher-place" : "Jeanne B. Jenkins, PhD, MBA, RN, Assistant Professor, School of Nursing, The University of North Carolina at Greensboro. Thomas P. McCoy, Visiting Assistant Professor, School of Nursing, Department of Educational Research Methodology, The University of No", "title" : "Symptom clusters, functional status, and quality of life in older adults with osteoarthritis", "type" : "article-journal", "volume" : "34" }, "uris" : [ "http://www.mendeley.com/documents/?uuid=b62dc588-fb19-490e-a298-e178adde91bc" ] } ], "mendeley" : { "formattedCitation" : "[28]", "plainTextFormattedCitation" : "[28]", "previouslyFormattedCitation" : "[28]"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[28]</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Physician</w:t>
            </w:r>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rPr>
              <w:t xml:space="preserve">CHARACTERISTICS: age </w:t>
            </w:r>
            <w:r w:rsidRPr="00A403BC">
              <w:rPr>
                <w:rFonts w:cs="Calibri"/>
                <w:color w:val="000000"/>
                <w:sz w:val="14"/>
                <w:szCs w:val="12"/>
                <w:lang w:val="en-US"/>
              </w:rPr>
              <w:t>69 (8.179)</w:t>
            </w:r>
            <w:r w:rsidRPr="00A403BC">
              <w:rPr>
                <w:rFonts w:cs="Calibri"/>
                <w:color w:val="000000"/>
                <w:sz w:val="14"/>
                <w:szCs w:val="12"/>
              </w:rPr>
              <w:t xml:space="preserve"> undergoing knee replacement, </w:t>
            </w:r>
            <w:r w:rsidRPr="00A403BC">
              <w:rPr>
                <w:rFonts w:cs="Calibri"/>
                <w:color w:val="000000"/>
                <w:sz w:val="14"/>
                <w:szCs w:val="12"/>
                <w:lang w:val="en-US"/>
              </w:rPr>
              <w:t>high quality-of-life scores and low WOMAC (indicating higher functional</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lang w:val="it-IT"/>
              </w:rPr>
              <w:t>status)</w:t>
            </w: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E04F3C" w:rsidRDefault="00FA44F6" w:rsidP="00FA44F6">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Kerkhof 2008</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"10.1016/j.joca.2008.02.007 [doi]", "ISBN" : "1522-9653 (Electronic)\\n1063-4584 (Linking)", "ISSN" : "1522-9653; 1063-4584", "PMID" : "18406176", "abstract" : "OBJECTIVE: To examine the association of genetic variation in key players in the Wnt signaling pathway with aspects of osteoarthritis (OA) in two population-based cohort studies: the Rotterdam Study and the Chingford Study. METHODS: Radiographic OA (ROA) was defined as a Kellgren/Lawrence score (K/L) score &gt; or = 2 for the knee and hip. Total hip replacement (THR) was scored. Hand OA was defined as presence of ROA (K/L &gt; or = 2) in two out of three hand joint groups [distal interphalangeal (DIPs), proximal interphalangeal (PIPs), first carpometacarpal (CMC1)/trapezio-scaphoid joint (TS)] of each hand. The concentration of urinary C-terminal cross-linked telopeptide of type II collagen (CTX-II) was standardized to the total urine creatinine. Genotypes for the amino acid variants, Arg200Trp and Arg324Gly of Frizzled-Related protein gene (FRZB), Ala1330Val of Low-density lipoprotein receptor-related protein 5 (LRP5) and Ile1062Val of Low-density lipoprotein receptor-related protein 6 (LRP6), were obtained using the Taqman allelic discrimination assay. A meta-analysis was performed for the FRZB Arg324Gly polymorphism and hip- and knee-OA using RevMan version 4.3. RESULTS: No consistent associations were observed between the FRZB, LRP5 and LRP6 amino acid variants and radiographic hip-, knee-, or hand-OA or THR, in either study population. While power was limited for most studies to date, a meta-analysis of all published studies regarding the FRZB Arg324Gly polymorphism was performed for hip- and knee-OA separately. This showed no significant associations between the Gly324 allele and risk for hip- or knee OA, although there was large heterogeneity between studies for hip OA in females. CONCLUSION: No association was seen between FRZB, LRP5 and LRP6 variants with radiographic osteoarthritic outcomes in two population-based cohorts. In future studies, increased power and standardization of OA-phenotypes are highly recommended for replication studies and to allow meta-analysis.", "author" : [ { "dropping-particle" : "", "family" : "Kerkhof", "given" : "J M", "non-dropping-particle" : "", "parse-names" : false, "suffix" : "" }, { "dropping-particle" : "", "family" : "Uitterlinden", "given" : "A G", "non-dropping-particle" : "", "parse-names" : false, "suffix" : "" }, { "dropping-particle" : "", "family" : "Valdes", "given" : "A M", "non-dropping-particle" : "", "parse-names" : false, "suffix" : "" }, { "dropping-particle" : "", "family" : "Hart", "given" : "D J", "non-dropping-particle" : "", "parse-names" : false, "suffix" : "" }, { "dropping-particle" : "", "family" : "Rivadeneira", "given" : "F", "non-dropping-particle" : "", "parse-names" : false, "suffix" : "" }, { "dropping-particle" : "", "family" : "Jhamai", "given" : "M", "non-dropping-particle" : "", "parse-names" : false, "suffix" : "" }, { "dropping-particle" : "", "family" : "Hofman", "given" : "A", "non-dropping-particle" : "", "parse-names" : false, "suffix" : "" }, { "dropping-particle" : "", "family" : "Pols", "given" : "H A P", "non-dropping-particle" : "", "parse-names" : false, "suffix" : "" }, { "dropping-particle" : "", "family" : "Bierma-Zeinstra", "given" : "S M A", "non-dropping-particle" : "", "parse-names" : false, "suffix" : "" }, { "dropping-particle" : "", "family" : "Spector", "given" : "T D", "non-dropping-particle" : "", "parse-names" : false, "suffix" : "" }, { "dropping-particle" : "", "family" : "Meurs", "given" : "J B", "non-dropping-particle" : "van", "parse-names" : false, "suffix" : "" } ], "container-title" : "Osteoarthritis and cartilage / OARS, Osteoarthritis Research Society", "id" : "ITEM-1", "issue" : "10", "issued" : { "date-parts" : [ [ "2008", "10" ] ] }, "note" : "From Duplicate 2 (Radiographic osteoarthritis at three joint sites and FRZB, LRP5, and LRP6 polymorphisms in two population-based cohorts - Kerkhof, J M; Uitterlinden, A G; Valdes, A M; Hart, D J; Rivadeneira, F; Jhamai, M; Hofman, A; Pols, H A; Bierma-Zeinstra, S M; Spector, T D; van Meurs, J B)\n\nLR: 20140617; GR: 17489/Arthritis Research UK/United Kingdom; JID: 9305697; 0 (FRZB protein); 0 (Glycoproteins); 0 (LDL-Receptor Related Proteins); 0 (LRP5 protein, human); 0 (LRP6 protein, human); 0 (Low Density Lipoprotein Receptor-Related Protein-5); 0 (Low Density Lipoprotein Receptor-Related Protein-6); 0 (Receptors, LDL); 2007/03/01 [received]; 2008/02/08 [accepted]; 2008/04/10 [aheadofprint]; ppublish", "page" : "1141-1149", "publisher-place" : "Department of Internal Medicine Erasmus Medical Center, Rotterdam, The Netherlands.", "title" : "Radiographic osteoarthritis at three joint sites and FRZB, LRP5, and LRP6 polymorphisms in two population-based cohorts", "type" : "article-journal", "volume" : "16" }, "uris" : [ "http://www.mendeley.com/documents/?uuid=d1ab7296-befc-4015-9f3e-c320d61f1b06" ] } ], "mendeley" : { "formattedCitation" : "[29]", "plainTextFormattedCitation" : "[29]", "previouslyFormattedCitation" : "[29]"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[29]</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en-US" w:eastAsia="it-IT"/>
              </w:rPr>
              <w:t>Kinds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"http://dx.doi.org/10.3899/jrheum.121004", "ISBN" : "0315-162X\r1499-2752", "PMID" : "2013358266", "abstract" : "Objective. Expression of osteoarthritis (OA) varies significantly between individuals, and over time, suggesting the existence of different phenotypes, possibly with specific etiology and targets for treatment. Our objective was to identify phenotypes of progression of radiographic knee OA using separate quantitative features. Methods. Separate radiographic features of OA were measured by Knee Images Digital Analysis (KIDA) in individuals with early knee OA (the CHECK cohort: Cohort Hip &amp; Cohort Knee), at baseline and at 2-year and 5-year followup. Hierarchical clustering was performed to identify phenotypes of radiographic knee OA progression. The phenotypes identified were compared for changes in joint space width (JSW), varus angle, osteophyte area, eminence height, bone density, for Kellgren-Lawrence (K-L) grade, and for clinical characteristics. Logistic regression analysis evaluated whether baseline radiographic features and demographic/clinical characteristics were associated with each of the specific phenotypes. Results. The 5 clusters identified were interpreted as \"Severe\" or \"No,\" \"Early\" or \"Late\" progression of the radiographic features, or specific involvement of \"Bone density.\" Medial JSW, varus angle, osteophyte area, eminence height, and bone density at baseline were associated with the Severe and Bone density phenotypes. Lesser eminence height and bone density were associated with Early and Late progression. Larger varus angle and smaller osteophyte area were associated with No progression. Conclusion. Five phenotypes of radiographic progression of early knee OA were identified using separate quantitative features, which were associated with baseline radiographic features. Such phenotypes might require specific treatment and represent relevant subgroups for clinical trials. Copyright \u00a9 2013. All rights reserved.", "author" : [ { "dropping-particle" : "", "family" : "Kinds", "given" : "M B", "non-dropping-particle" : "", "parse-names" : false, "suffix" : "" }, { "dropping-particle" : "", "family" : "Marijnissen", "given" : "A C A", "non-dropping-particle" : "", "parse-names" : false, "suffix" : "" }, { "dropping-particle" : "", "family" : "Viergever", "given" : "M A", "non-dropping-particle" : "", "parse-names" : false, "suffix" : "" }, { "dropping-particle" : "", "family" : "Emans", "given" : "P J", "non-dropping-particle" : "", "parse-names" : false, "suffix" : "" }, { "dropping-particle" : "", "family" : "Lafeber", "given" : "F P J G", "non-dropping-particle" : "", "parse-names" : false, "suffix" : "" }, { "dropping-particle" : "", "family" : "Welsing", "given" : "P M J", "non-dropping-particle" : "", "parse-names" : false, "suffix" : "" } ], "container-title" : "Journal of Rheumatology", "id" : "ITEM-1", "issue" : "6", "issued" : { "date-parts" : [ [ "2013" ] ] }, "language" : "English", "note" : "equations &amp;amp; formulas; research; tables/charts. Journal Subset: Biomedical; Blind Peer Reviewed; Canada; Editorial Board Reviewed; Expert Peer Reviewed; Peer Reviewed. Special Interest: Public Health. Grant Information: Supported by the Dutch Arthritis Association.. NLM UID: 7501984.\nPMID: 23637319", "page" : "891-902", "title" : "Identifying phenotypes of knee osteoarthritis by separate quantitative radiographic features may improve patient selection for more targeted treatment", "type" : "article-journal", "volume" : "40" }, "uris" : [ "http://www.mendeley.com/documents/?uuid=ede44bda-f8f5-40a9-9ea5-10ce1e798f4c" ] } ], "mendeley" : { "formattedCitation" : "[9]", "plainTextFormattedCitation" : "[9]", "previouslyFormattedCitation" : "[9]"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3B45A0">
              <w:rPr>
                <w:rFonts w:eastAsia="Times New Roman" w:cs="Times New Roman"/>
                <w:noProof/>
                <w:color w:val="000000"/>
                <w:sz w:val="14"/>
                <w:szCs w:val="14"/>
                <w:lang w:val="it-IT" w:eastAsia="it-IT"/>
              </w:rPr>
              <w:t>[9]</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Check cohort</w:t>
            </w:r>
            <w:r>
              <w:rPr>
                <w:rFonts w:cs="Calibri"/>
                <w:color w:val="000000"/>
                <w:sz w:val="14"/>
                <w:szCs w:val="12"/>
              </w:rPr>
              <w:t xml:space="preserve">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CHARACTERISTICS: age </w:t>
            </w:r>
            <w:r w:rsidRPr="00A403BC">
              <w:rPr>
                <w:rFonts w:cs="Calibri"/>
                <w:color w:val="000000"/>
                <w:sz w:val="14"/>
                <w:szCs w:val="12"/>
                <w:lang w:val="en-US"/>
              </w:rPr>
              <w:t>57 (5), BMI 24 (22–27)</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No ROA progression (5 years)</w:t>
            </w: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E04F3C" w:rsidRDefault="00FA44F6" w:rsidP="00FA44F6">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King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"10.1016/j.joca.2013.05.015 [doi]", "ISSN" : "1522-9653; 1063-4584", "abstract" : "OBJECTIVE: Pain in knee osteoarthritis (OA) has historically been attributed to peripheral pathophysiology; however, the poor correspondence between objective measures of disease severity and clinical symptoms suggests that non-local factors, such as altered central processing of painful stimuli, also contribute to clinical pain in knee OA. Consistent with this notion, recent evidence demonstrates that patients with knee OA exhibit increased sensitivity to painful stimuli at body sites unaffected by clinical pain. DESIGN: In order to further investigate the contribution of altered pain processing to knee OA pain, the current study tested the hypothesis that symptomatic knee OA is associated with enhanced sensitivity to experimental pain stimuli at the knee and at remote body sites unaffected by clinical pain. We further anticipated that pain sensitivity would differ as a function of the OA symptom severity. Older adults with and without symptomatic knee OA completed a series of experimental pain assessments. A median split of the Western Ontario and McMaster Universities Index of Osteoarthritis (WOMAC) was used to stratify participants into low vs high OA symptom severity. RESULTS: Compared to controls and the low symptom group, individuals in the high symptom group were more sensitive to suprathreshold heat stimuli, blunt pressure, punctuate mechanical, and cold stimuli. Individuals in the low symptomatic OA group subgroup exhibited experimental pain responses similar to the pain-free group on most measures. No group differences in endogenous pain inhibition emerged. CONCLUSIONS: These findings suggest that altered central processing of pain is particularly characteristic of individuals with moderate to severe symptomatic knee OA.", "author" : [ { "dropping-particle" : "", "family" : "King", "given" : "C D", "non-dropping-particle" : "", "parse-names" : false, "suffix" : "" }, { "dropping-particle" : "", "family" : "Sibille", "given" : "K T", "non-dropping-particle" : "", "parse-names" : false, "suffix" : "" }, { "dropping-particle" : "", "family" : "Goodin", "given" : "B R", "non-dropping-particle" : "", "parse-names" : false, "suffix" : "" }, { "dropping-particle" : "", "family" : "Cruz-Almeida", "given" : "Y", "non-dropping-particle" : "", "parse-names" : false, "suffix" : "" }, { "dropping-particle" : "", "family" : "Glover", "given" : "T L", "non-dropping-particle" : "", "parse-names" : false, "suffix" : "" }, { "dropping-particle" : "", "family" : "Bartley", "given" : "E", "non-dropping-particle" : "", "parse-names" : false, "suffix" : "" }, { "dropping-particle" : "", "family" : "Riley", "given" : "J L", "non-dropping-particle" : "", "parse-names" : false, "suffix" : "" }, { "dropping-particle" : "", "family" : "Herbert", "given" : "M S", "non-dropping-particle" : "", "parse-names" : false, "suffix" : "" }, { "dropping-particle" : "", "family" : "Sotolongo", "given" : "A", "non-dropping-particle" : "", "parse-names" : false, "suffix" : "" }, { "dropping-particle" : "", "family" : "Schmidt", "given" : "J", "non-dropping-particle" : "", "parse-names" : false, "suffix" : "" }, { "dropping-particle" : "", "family" : "Fessler", "given" : "B J", "non-dropping-particle" : "", "parse-names" : false, "suffix" : "" }, { "dropping-particle" : "", "family" : "Redden", "given" : "D T", "non-dropping-particle" : "", "parse-names" : false, "suffix" : "" }, { "dropping-particle" : "", "family" : "Staud", "given" : "R", "non-dropping-particle" : "", "parse-names" : false, "suffix" : "" }, { "dropping-particle" : "", "family" : "Bradley", "given" : "L A", "non-dropping-particle" : "", "parse-names" : false, "suffix" : "" }, { "dropping-particle" : "", "family" : "Fillingim", "given" : "R B", "non-dropping-particle" : "", "parse-names" : false, "suffix" : "" } ], "container-title" : "Osteoarthritis and cartilage / OARS, Osteoarthritis Research Society", "id" : "ITEM-1", "issue" : "9", "issued" : { "date-parts" : [ [ "2013", "9" ] ] }, "note" : "LR: 20141112; CI: Published by Elsevier Ltd.; GR: K99 DE022368/DE/NIDCR NIH HHS/United States; GR: L30 AG040467/AG/NIA NIH HHS/United States; GR: L30 AG043172/AG/NIA NIH HHS/United States; GR: R01 AG033906/AG/NIA NIH HHS/United States; GR: R01 AG033906/AG/NIA NIH HHS/United States; GR: R01 AG033906-07S1/AG/NIA NIH HHS/United States; GR: R01 AG039659/AG/NIA NIH HHS/United States; GR: UL1 TR000064/TR/NCATS NIH HHS/United States; GR: UL1 TR000165/TR/NCATS NIH HHS/United States; GR: UL1TR000165/TR/NCATS NIH HHS/United States; JID: 9305697; EIN: Osteoarthritis Cartilage. 2013 Nov;21(11):1811; NIHMS506602; OID: NLM: NIHMS506602; OID: NLM: PMC3831366; OTO: NOTNLM; 2013/01/17 [received]; 2013/05/14 [revised]; 2013/05/20 [accepted]; ppublish", "page" : "1243-1252", "publisher-place" : "University of Florida Pain Research and Intervention Center of Excellence (PRICE), FL 32610, USA. kingpininflorida@gmail.com", "title" : "Experimental pain sensitivity differs as a function of clinical pain severity in symptomatic knee osteoarthritis", "type" : "article-journal", "volume" : "21" }, "uris" : [ "http://www.mendeley.com/documents/?uuid=42d103a6-987c-443f-8546-0070e56eb878" ] } ], "mendeley" : { "formattedCitation" : "[30]", "plainTextFormattedCitation" : "[30]", "previouslyFormattedCitation" : "[30]"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[30]</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CHARACTERISTICS: age </w:t>
            </w:r>
            <w:r w:rsidRPr="00A403BC">
              <w:rPr>
                <w:rFonts w:cs="Calibri"/>
                <w:color w:val="000000"/>
                <w:sz w:val="14"/>
                <w:szCs w:val="12"/>
                <w:lang w:val="en-US"/>
              </w:rPr>
              <w:t xml:space="preserve">56.4 (54.8, 58.1) 95% confidence interval; BMI 33.5 (31.9, 35.1) 95% </w:t>
            </w:r>
            <w:r w:rsidRPr="00A403BC">
              <w:rPr>
                <w:rFonts w:cs="Calibri"/>
                <w:color w:val="000000"/>
                <w:sz w:val="14"/>
                <w:szCs w:val="12"/>
              </w:rPr>
              <w:t xml:space="preserve"> high level of pain, lower PPT and presence of temporal summation (lower and upper body)</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en-US" w:eastAsia="it-IT"/>
              </w:rPr>
            </w:pPr>
            <w:proofErr w:type="spellStart"/>
            <w:r w:rsidRPr="00101897">
              <w:rPr>
                <w:rFonts w:eastAsia="Times New Roman" w:cs="Times New Roman"/>
                <w:color w:val="000000"/>
                <w:sz w:val="14"/>
                <w:szCs w:val="14"/>
                <w:lang w:val="en-US" w:eastAsia="it-IT"/>
              </w:rPr>
              <w:t>Knoop</w:t>
            </w:r>
            <w:proofErr w:type="spellEnd"/>
            <w:r w:rsidRPr="00101897">
              <w:rPr>
                <w:rFonts w:eastAsia="Times New Roman" w:cs="Times New Roman"/>
                <w:color w:val="000000"/>
                <w:sz w:val="14"/>
                <w:szCs w:val="14"/>
                <w:lang w:val="en-US" w:eastAsia="it-IT"/>
              </w:rPr>
              <w:t xml:space="preserve"> 2011</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"http://dx.doi.org/10.1002/acr.20571", "ISBN" : "2151-4658\r1529-0131", "PMID" : "2011599767", "abstract" : "Objective To identify subgroups or phenotypes of knee osteoarthritis (OA) patients based on similarities of clinically relevant patient characteristics, and to compare clinical outcomes of these phenotypes. Methods Data from 842 knee OA patients of the Osteoarthritis Initiative were used. A cluster analysis method was performed, in which clusters were formed based on similarities in 4 clinically relevant, easily available variables: severity of radiographic OA, lower extremity muscle strength, body mass index, and depression. Univariable and multivariable regression analyses were used to compare phenotypes on clinical outcomes (pain and activity limitations), taking into account possible confounders. Results Five phenotypes of knee OA patients were identified: \"minimal joint disease phenotype,\" \"strong muscle phenotype,\" \"nonobese and weak muscle phenotype,\" \"obese and weak muscle phenotype,\" and \"depressive phenotype.\" The \"depressive phenotype\" and \"obese and weak muscle phenotype\" showed higher pain levels and more severe activity limitations than the other 3 phenotypes. Conclusion Five phenotypes based on clinically relevant patient characteristics can be identified in the heterogeneous population of knee OA patients. These phenotypes showed different clinical outcomes. Interventions may need to be tailored to these clinical phenotypes. Copyright \u00a9 2011 by the American College of Rheumatology.", "author" : [ { "dropping-particle" : "", "family" : "Knoop", "given" : "J", "non-dropping-particle" : "", "parse-names" : false, "suffix" : "" }, { "dropping-particle" : "", "family" : "Leeden", "given" : "M", "non-dropping-particle" : "Van Der", "parse-names" : false, "suffix" : "" }, { "dropping-particle" : "", "family" : "Thorstensson", "given" : "C A", "non-dropping-particle" : "", "parse-names" : false, "suffix" : "" }, { "dropping-particle" : "", "family" : "Roorda", "given" : "L D", "non-dropping-particle" : "", "parse-names" : false, "suffix" : "" }, { "dropping-particle" : "", "family" : "Lems", "given" : "W F", "non-dropping-particle" : "", "parse-names" : false, "suffix" : "" }, { "dropping-particle" : "", "family" : "Knol", "given" : "D L", "non-dropping-particle" : "", "parse-names" : false, "suffix" : "" }, { "dropping-particle" : "", "family" : "Steultjens", "given" : "M P M", "non-dropping-particle" : "", "parse-names" : false, "suffix" : "" }, { "dropping-particle" : "", "family" : "Dekker", "given" : "J", "non-dropping-particle" : "", "parse-names" : false, "suffix" : "" } ], "container-title" : "Arthritis Care and Research", "id" : "ITEM-1", "issue" : "11", "issued" : { "date-parts" : [ [ "2011" ] ] }, "language" : "English", "page" : "1535-1542", "title" : "Identification of phenotypes with different clinical outcomes in knee osteoarthritis: Data from the osteoarthritis initiative", "type" : "article-journal", "volume" : "63" }, "uris" : [ "http://www.mendeley.com/documents/?uuid=a2d18d8d-2f8c-442c-b279-9c96bd6accfb" ] } ], "mendeley" : { "formattedCitation" : "[7]", "plainTextFormattedCitation" : "[7]", "previouslyFormattedCitation" : "[7]"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3B45A0">
              <w:rPr>
                <w:rFonts w:eastAsia="Times New Roman" w:cs="Times New Roman"/>
                <w:noProof/>
                <w:color w:val="000000"/>
                <w:sz w:val="14"/>
                <w:szCs w:val="14"/>
                <w:lang w:val="en-US" w:eastAsia="it-IT"/>
              </w:rPr>
              <w:t>[7]</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OA DIAGNOSIS: </w:t>
            </w:r>
            <w:proofErr w:type="spellStart"/>
            <w:r w:rsidRPr="00A403BC">
              <w:rPr>
                <w:rFonts w:cs="Calibri"/>
                <w:color w:val="000000"/>
                <w:sz w:val="14"/>
                <w:szCs w:val="12"/>
              </w:rPr>
              <w:t>OAI</w:t>
            </w:r>
            <w:proofErr w:type="spellEnd"/>
            <w:r w:rsidRPr="00A403BC">
              <w:rPr>
                <w:rFonts w:cs="Calibri"/>
                <w:color w:val="000000"/>
                <w:sz w:val="14"/>
                <w:szCs w:val="12"/>
              </w:rPr>
              <w:t xml:space="preserve"> progression </w:t>
            </w:r>
            <w:proofErr w:type="spellStart"/>
            <w:r w:rsidRPr="00A403BC">
              <w:rPr>
                <w:rFonts w:cs="Calibri"/>
                <w:color w:val="000000"/>
                <w:sz w:val="14"/>
                <w:szCs w:val="12"/>
              </w:rPr>
              <w:t>subcohort</w:t>
            </w:r>
            <w:proofErr w:type="spellEnd"/>
            <w:r w:rsidRPr="00A403BC">
              <w:rPr>
                <w:rFonts w:cs="Calibri"/>
                <w:color w:val="000000"/>
                <w:sz w:val="14"/>
                <w:szCs w:val="12"/>
              </w:rPr>
              <w:t>.</w:t>
            </w:r>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rPr>
              <w:t>CHARACTERISTICS: age</w:t>
            </w:r>
            <w:r w:rsidRPr="00A403BC">
              <w:rPr>
                <w:rFonts w:cs="Melior"/>
                <w:color w:val="231F20"/>
                <w:sz w:val="14"/>
                <w:szCs w:val="12"/>
              </w:rPr>
              <w:t xml:space="preserve"> </w:t>
            </w:r>
            <w:r w:rsidRPr="00A403BC">
              <w:rPr>
                <w:rFonts w:cs="Calibri"/>
                <w:color w:val="000000"/>
                <w:sz w:val="14"/>
                <w:szCs w:val="12"/>
              </w:rPr>
              <w:t xml:space="preserve">63.2 ± 9.1* BMI: </w:t>
            </w:r>
            <w:r w:rsidRPr="00A403BC">
              <w:rPr>
                <w:rFonts w:cs="Calibri"/>
                <w:color w:val="000000"/>
                <w:sz w:val="14"/>
                <w:szCs w:val="12"/>
                <w:lang w:val="en-US"/>
              </w:rPr>
              <w:t>31.0 ± 4.6prevalence of depression in almost all participants (88%), mild to moderate radiographic OA, muscle weakness, and obesity</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lang w:val="en-US"/>
              </w:rPr>
              <w:t>in 58% of participants</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OA DIAGNOSIS: </w:t>
            </w:r>
            <w:proofErr w:type="spellStart"/>
            <w:r w:rsidRPr="00A403BC">
              <w:rPr>
                <w:rFonts w:cs="Calibri"/>
                <w:color w:val="000000"/>
                <w:sz w:val="14"/>
                <w:szCs w:val="12"/>
              </w:rPr>
              <w:t>OAI</w:t>
            </w:r>
            <w:proofErr w:type="spellEnd"/>
            <w:r w:rsidRPr="00A403BC">
              <w:rPr>
                <w:rFonts w:cs="Calibri"/>
                <w:color w:val="000000"/>
                <w:sz w:val="14"/>
                <w:szCs w:val="12"/>
              </w:rPr>
              <w:t xml:space="preserve"> progression </w:t>
            </w:r>
            <w:proofErr w:type="spellStart"/>
            <w:r w:rsidRPr="00A403BC">
              <w:rPr>
                <w:rFonts w:cs="Calibri"/>
                <w:color w:val="000000"/>
                <w:sz w:val="14"/>
                <w:szCs w:val="12"/>
              </w:rPr>
              <w:t>subcohort</w:t>
            </w:r>
            <w:proofErr w:type="spellEnd"/>
            <w:r w:rsidRPr="00A403BC">
              <w:rPr>
                <w:rFonts w:cs="Calibri"/>
                <w:color w:val="000000"/>
                <w:sz w:val="14"/>
                <w:szCs w:val="12"/>
              </w:rPr>
              <w:t>.</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age</w:t>
            </w:r>
            <w:r w:rsidRPr="00A403BC">
              <w:rPr>
                <w:rFonts w:cs="Melior"/>
                <w:color w:val="231F20"/>
                <w:sz w:val="14"/>
                <w:szCs w:val="12"/>
              </w:rPr>
              <w:t xml:space="preserve"> </w:t>
            </w:r>
            <w:r w:rsidRPr="00A403BC">
              <w:rPr>
                <w:rFonts w:cs="Calibri"/>
                <w:color w:val="000000"/>
                <w:sz w:val="14"/>
                <w:szCs w:val="12"/>
              </w:rPr>
              <w:t xml:space="preserve">63.2 ± 9.1* BMI </w:t>
            </w:r>
            <w:r w:rsidRPr="00A403BC">
              <w:rPr>
                <w:rFonts w:cs="Calibri"/>
                <w:color w:val="000000"/>
                <w:sz w:val="14"/>
                <w:szCs w:val="12"/>
                <w:lang w:val="en-US"/>
              </w:rPr>
              <w:t>35.9 ± 3.5</w:t>
            </w:r>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lang w:val="en-US"/>
              </w:rPr>
              <w:t>obesity in all participants (100%), muscle weakness, mild to moderate radiographic OA, low prevalence of depression</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OA DIAGNOSIS: </w:t>
            </w:r>
            <w:proofErr w:type="spellStart"/>
            <w:r w:rsidRPr="00A403BC">
              <w:rPr>
                <w:rFonts w:cs="Calibri"/>
                <w:color w:val="000000"/>
                <w:sz w:val="14"/>
                <w:szCs w:val="12"/>
              </w:rPr>
              <w:t>OAI</w:t>
            </w:r>
            <w:proofErr w:type="spellEnd"/>
            <w:r w:rsidRPr="00A403BC">
              <w:rPr>
                <w:rFonts w:cs="Calibri"/>
                <w:color w:val="000000"/>
                <w:sz w:val="14"/>
                <w:szCs w:val="12"/>
              </w:rPr>
              <w:t xml:space="preserve"> progression </w:t>
            </w:r>
            <w:proofErr w:type="spellStart"/>
            <w:r w:rsidRPr="00A403BC">
              <w:rPr>
                <w:rFonts w:cs="Calibri"/>
                <w:color w:val="000000"/>
                <w:sz w:val="14"/>
                <w:szCs w:val="12"/>
              </w:rPr>
              <w:t>subcohort</w:t>
            </w:r>
            <w:proofErr w:type="spellEnd"/>
            <w:r w:rsidRPr="00A403BC">
              <w:rPr>
                <w:rFonts w:cs="Calibri"/>
                <w:color w:val="000000"/>
                <w:sz w:val="14"/>
                <w:szCs w:val="12"/>
              </w:rPr>
              <w:t>.</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age</w:t>
            </w:r>
            <w:r w:rsidRPr="00A403BC">
              <w:rPr>
                <w:rFonts w:cs="Melior"/>
                <w:color w:val="231F20"/>
                <w:sz w:val="14"/>
                <w:szCs w:val="12"/>
              </w:rPr>
              <w:t xml:space="preserve"> </w:t>
            </w:r>
            <w:r w:rsidRPr="00A403BC">
              <w:rPr>
                <w:rFonts w:cs="Calibri"/>
                <w:color w:val="000000"/>
                <w:sz w:val="14"/>
                <w:szCs w:val="12"/>
              </w:rPr>
              <w:t xml:space="preserve">63.2 ± 9.1* BMI </w:t>
            </w:r>
            <w:r w:rsidRPr="00A403BC">
              <w:rPr>
                <w:rFonts w:cs="Calibri"/>
                <w:color w:val="000000"/>
                <w:sz w:val="14"/>
                <w:szCs w:val="12"/>
                <w:lang w:val="en-US"/>
              </w:rPr>
              <w:t>29.9 ±3.4</w:t>
            </w:r>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lang w:val="en-US"/>
              </w:rPr>
              <w:t>High muscle strength, moderate to severe radiographic OA, obesity</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lang w:val="en-US"/>
              </w:rPr>
              <w:t>in 48% of participants, and low prevalence of depression</w:t>
            </w:r>
          </w:p>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OA DIAGNOSIS: </w:t>
            </w:r>
            <w:proofErr w:type="spellStart"/>
            <w:r w:rsidRPr="00A403BC">
              <w:rPr>
                <w:rFonts w:cs="Calibri"/>
                <w:color w:val="000000"/>
                <w:sz w:val="14"/>
                <w:szCs w:val="12"/>
              </w:rPr>
              <w:t>OAI</w:t>
            </w:r>
            <w:proofErr w:type="spellEnd"/>
            <w:r w:rsidRPr="00A403BC">
              <w:rPr>
                <w:rFonts w:cs="Calibri"/>
                <w:color w:val="000000"/>
                <w:sz w:val="14"/>
                <w:szCs w:val="12"/>
              </w:rPr>
              <w:t xml:space="preserve"> progression </w:t>
            </w:r>
            <w:proofErr w:type="spellStart"/>
            <w:r w:rsidRPr="00A403BC">
              <w:rPr>
                <w:rFonts w:cs="Calibri"/>
                <w:color w:val="000000"/>
                <w:sz w:val="14"/>
                <w:szCs w:val="12"/>
              </w:rPr>
              <w:t>subcohort</w:t>
            </w:r>
            <w:proofErr w:type="spellEnd"/>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rPr>
              <w:t>CHARACTERISTICS: age</w:t>
            </w:r>
            <w:r w:rsidRPr="00A403BC">
              <w:rPr>
                <w:rFonts w:cs="Melior"/>
                <w:color w:val="231F20"/>
                <w:sz w:val="14"/>
                <w:szCs w:val="12"/>
              </w:rPr>
              <w:t xml:space="preserve"> </w:t>
            </w:r>
            <w:r w:rsidRPr="00A403BC">
              <w:rPr>
                <w:rFonts w:cs="Calibri"/>
                <w:color w:val="000000"/>
                <w:sz w:val="14"/>
                <w:szCs w:val="12"/>
              </w:rPr>
              <w:t xml:space="preserve">63.2 ± 9.1* BMI </w:t>
            </w:r>
            <w:r w:rsidRPr="00A403BC">
              <w:rPr>
                <w:rFonts w:cs="Calibri"/>
                <w:color w:val="000000"/>
                <w:sz w:val="14"/>
                <w:szCs w:val="12"/>
                <w:lang w:val="en-US"/>
              </w:rPr>
              <w:t>27.5 ±3.9</w:t>
            </w:r>
            <w:r w:rsidRPr="00A403BC">
              <w:rPr>
                <w:rFonts w:cs="Calibri"/>
                <w:color w:val="000000"/>
                <w:sz w:val="14"/>
                <w:szCs w:val="12"/>
              </w:rPr>
              <w:t xml:space="preserve"> </w:t>
            </w:r>
            <w:r w:rsidRPr="00A403BC">
              <w:rPr>
                <w:rFonts w:cs="Calibri"/>
                <w:color w:val="000000"/>
                <w:sz w:val="14"/>
                <w:szCs w:val="12"/>
                <w:lang w:val="en-US"/>
              </w:rPr>
              <w:t>mostly no or doubtful evidence of radiographic OA, average muscle strength, low prevalence of obesity and depression</w:t>
            </w:r>
          </w:p>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p>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en-US" w:eastAsia="it-IT"/>
              </w:rPr>
              <w:t>Murphy 2011</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"10.1186/ar3449 [doi]", "ISSN" : "1478-6362; 1478-6354", "abstract" : "INTRODUCTION: Although people with knee and hip osteoarthritis (OA) seek treatment because of pain, many of these individuals have commonly co-occurring symptoms (for example, fatigue, sleep problems, mood disorders). The purpose of this study was to characterize adults with OA by identifying subgroups with the above comorbid symptoms along with illness burden (a composite measure of somatic symptoms) to begin to examine whether subsets may have differing underlying pain mechanisms. METHODS: Community-living older adults with symptomatic knee and hip OA (n = 129) participated (68% with knee OA, 38% with hip OA). Hierarchical agglomerative cluster analysis was used. To determine the relative contribution of each variable in a cluster, multivariate analysis of variance was used. RESULTS: We found three clusters. Cluster 1 (n = 45) had high levels of pain, fatigue, sleep problems, and mood disturbances. Cluster 2 (n = 38) had intermediate degrees of depression and fatigue, but low pain and good sleep. Cluster 3 (n = 42) had the lowest levels of pain, fatigue, and depression, but worse sleep quality than Cluster 2. CONCLUSIONS: In adults with symptomatic OA, three distinct subgroups were identified. Although replication is needed, many individuals with OA had symptoms other than joint pain and some (such as those in Cluster 1) may have relatively stronger central nervous system (CNS) contributions to their symptoms. For such individuals, therapies may need to include centrally-acting components in addition to traditional peripheral approaches.", "author" : [ { "dropping-particle" : "", "family" : "Murphy", "given" : "S L", "non-dropping-particle" : "", "parse-names" : false, "suffix" : "" }, { "dropping-particle" : "", "family" : "Lyden", "given" : "A K", "non-dropping-particle" : "", "parse-names" : false, "suffix" : "" }, { "dropping-particle" : "", "family" : "Phillips", "given" : "K", "non-dropping-particle" : "", "parse-names" : false, "suffix" : "" }, { "dropping-particle" : "", "family" : "Clauw", "given" : "D J", "non-dropping-particle" : "", "parse-names" : false, "suffix" : "" }, { "dropping-particle" : "", "family" : "Williams", "given" : "D A", "non-dropping-particle" : "", "parse-names" : false, "suffix" : "" } ], "container-title" : "Arthritis research &amp; therapy", "id" : "ITEM-1", "issue" : "4", "issued" : { "date-parts" : [ [ "2011", "8", "24" ] ] }, "note" : "LR: 20141022; GR: K23 AR060241/AR/NIAMS NIH HHS/United States; GR: K23 AR060241-01/AR/NIAMS NIH HHS/United States; GR: K23 AR060241-02/AR/NIAMS NIH HHS/United States; JID: 101154438; CIN: Arthritis Res Ther. 2011;13(6):133. PMID: 22136200; OID: NLM: PMC3239378; 2011/04/26 [received]; 2011/07/08 [revised]; 2011/08/24 [accepted]; 2011/08/24 [aheadofprint]; epublish", "page" : "R135", "publisher-place" : "Department of Physical Medicine and Rehabilitation, University of Michigan, 300 North Ingalls, 9th floor, Ann Arbor, MI 48109-2007, USA. sumurphy@umich.edu", "title" : "Subgroups of older adults with osteoarthritis based upon differing comorbid symptom presentations and potential underlying pain mechanisms", "type" : "article-journal", "volume" : "13" }, "uris" : [ "http://www.mendeley.com/documents/?uuid=4f0d0f62-bd2b-427d-baa2-934046e61c9e" ] } ], "mendeley" : { "formattedCitation" : "[31]", "plainTextFormattedCitation" : "[31]", "previouslyFormattedCitation" : "[31]"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[31]</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rPr>
              <w:t xml:space="preserve">OA DIAGNOSIS: </w:t>
            </w:r>
            <w:r w:rsidRPr="00A403BC">
              <w:rPr>
                <w:rFonts w:cs="Calibri"/>
                <w:color w:val="000000"/>
                <w:sz w:val="14"/>
                <w:szCs w:val="12"/>
                <w:lang w:val="en-US"/>
              </w:rPr>
              <w:t>reported pain in a joint with OA on the WOMAC</w:t>
            </w:r>
            <w:r w:rsidR="00660AC6">
              <w:rPr>
                <w:rFonts w:cs="Calibri"/>
                <w:color w:val="000000"/>
                <w:sz w:val="14"/>
                <w:szCs w:val="12"/>
                <w:lang w:val="en-US"/>
              </w:rPr>
              <w:t xml:space="preserve"> </w:t>
            </w:r>
            <w:r w:rsidRPr="00A403BC">
              <w:rPr>
                <w:rFonts w:cs="Calibri"/>
                <w:color w:val="000000"/>
                <w:sz w:val="14"/>
                <w:szCs w:val="12"/>
                <w:lang w:val="en-US"/>
              </w:rPr>
              <w:t>scale (Likert version) of ≥ 4 with at least two items rated as moderate pain or higher.</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CHARACTERISTICS: age </w:t>
            </w:r>
            <w:r w:rsidRPr="00A403BC">
              <w:rPr>
                <w:rFonts w:cs="Calibri"/>
                <w:color w:val="000000"/>
                <w:sz w:val="14"/>
                <w:szCs w:val="12"/>
                <w:lang w:val="en-US"/>
              </w:rPr>
              <w:t>72.2 (9.8)*; BMI 30.5 (5.9)*; high levels of pain, fatigue, sleep problems, and mood disturbances</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 xml:space="preserve">Otterness </w:t>
            </w:r>
          </w:p>
          <w:p w:rsidR="00FA44F6" w:rsidRPr="00E04F3C" w:rsidRDefault="00FA44F6" w:rsidP="00FA44F6">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2000</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"10.1053/joca.1999.0288 [doi]", "ISSN" : "1063-4584; 1063-4584", "abstract" : "OBJECTIVE: To investigate the relationships between serum and urinary molecular markers (MM) used to monitor osteoarthritis. DESIGN: Forty osteoarthritis patients had blood and urine collected at baseline and 1, 3, 6 and 12 months later. Specimens from 20 controls were obtained twice at a one month interval. The concentration of 14 different markers was determined at each time point and the data were analyzed by statistical methodology. RESULTS: The markers could be divided by the method of principal components analysis into five clusters of related markers: inflammation markers (C-reactive protein, tumor necrosis receptor type I and tumor necrosis receptor type II, interleukin 6, eosinophilic cationic protein), bone markers (bone sialoprotein, hydroxylysyl pyridinoline, lysyl pyridinoline), putative markers of cartilage anabolism (carboxypropeptide of type II procollagen, hyaluronan, epitope 846) and catabolism (keratan sulfate, cartilage oligomeric matrix protein), and transforming growth factor beta. Three markers (tumor necrosis factor receptor II, cartilage oligomeric matrix protein and epitope 846) from independent clusters discriminated osteoarthritis patients from controls. Inflammation was not a confounding factor in measurement, but a recognizable distinguishing factor in osteoarthritis. CONCLUSIONS: The markers separated into rational groups on the basis of their covariance, a finding with independent biochemical support. The covariance of markers from the same cluster suggests the use of a representative marker from the cluster to reflect changes in osteoarthritis. If multiple markers are being measured within a single cluster, then the use of a weighted cluster 'factor' may be preferable to the separate use of individual markers.", "author" : [ { "dropping-particle" : "", "family" : "Otterness", "given" : "I G", "non-dropping-particle" : "", "parse-names" : false, "suffix" : "" }, { "dropping-particle" : "", "family" : "Swindell", "given" : "A C", "non-dropping-particle" : "", "parse-names" : false, "suffix" : "" }, { "dropping-particle" : "", "family" : "Zimmerer", "given" : "R O", "non-dropping-particle" : "", "parse-names" : false, "suffix" : "" }, { "dropping-particle" : "", "family" : "Poole", "given" : "A R", "non-dropping-particle" : "", "parse-names" : false, "suffix" : "" }, { "dropping-particle" : "", "family" : "Ionescu", "given" : "M", "non-dropping-particle" : "", "parse-names" : false, "suffix" : "" }, { "dropping-particle" : "", "family" : "Weiner", "given" : "E", "non-dropping-particle" : "", "parse-names" : false, "suffix" : "" } ], "container-title" : "Osteoarthritis and cartilage / OARS, Osteoarthritis Research Society", "id" : "ITEM-1", "issue" : "3", "issued" : { "date-parts" : [ [ "2000", "5" ] ] }, "note" : "LR: 20041117; JID: 9305697; 0 (Amino Acids); 0 (Biological Markers); 0 (Blood Proteins); 0 (Epitopes); 0 (Extracellular Matrix Proteins); 0 (Interleukin-6); 0 (Procollagen); 0 (Receptors, Tumor Necrosis Factor); 0 (Sialoglycoproteins); 0 (Transforming Growth Factor beta); 9004-61-9 (Hyaluronic Acid); 9007-41-4 (C-Reactive Protein); 9056-36-4 (Keratan Sulfate); EC 3.4.- (Carboxypeptidases); ppublish", "page" : "180-185", "publisher-place" : "Inflammation Biology, Pfizer Central Research, Groton, CT 06340, USA. otterx@earthlink.net", "title" : "An analysis of 14 molecular markers for monitoring osteoarthritis: segregation of the markers into clusters and distinguishing osteoarthritis at baseline", "type" : "article-journal", "volume" : "8" }, "uris" : [ "http://www.mendeley.com/documents/?uuid=13be34e1-cfdd-4a18-8371-7bd6635b97d4" ] } ], "mendeley" : { "formattedCitation" : "[32]", "plainTextFormattedCitation" : "[32]", "previouslyFormattedCitation" : "[32]"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[32]</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age 57*,</w:t>
            </w:r>
            <w:r>
              <w:rPr>
                <w:rFonts w:cs="Calibri"/>
                <w:color w:val="000000"/>
                <w:sz w:val="14"/>
                <w:szCs w:val="12"/>
              </w:rPr>
              <w:t xml:space="preserve"> </w:t>
            </w:r>
            <w:r w:rsidRPr="00A403BC">
              <w:rPr>
                <w:rFonts w:cs="Calibri"/>
                <w:color w:val="000000"/>
                <w:sz w:val="14"/>
                <w:szCs w:val="12"/>
              </w:rPr>
              <w:t>high level of inflammation biomarkers (IL-6, CRP, TNF RI, TNF RII, and ECP)</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age 57*, bone, cartilage and synovial biomarkers divided in 2 factors: 1. epitope 846, HA, CPII; 2. epitope 846, HA, CPII</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en-US" w:eastAsia="it-IT"/>
              </w:rPr>
              <w:t>Pereira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"10.1186/1471-2474-14-214 [doi]", "ISSN" : "1471-2474; 1471-2474", "abstract" : "BACKGROUND: The progressive nature of knee osteoarthritis (OA) leads to not only to physical but also to psychosocial decline; this aspect can influence knee pain experience, manifestations and inevitably diagnostic accuracy. METHODS: Data on 663 subjects was obtained by interview using a structured questionnaire on social, demographic, behavioural and clinical data. Painful knee was assessed regarding having pain: ever, in the last year, in the last 6 months and in the last month. Using factor analysis, participants were graded using a knee pain score, with higher scores representing more symptomatology. Depressive symptoms were evaluated with the Beck Depressive Inventory (BDI), and radiographic knee OA was classified using the Kellgren Lawrence (KL) scale; those with KL &gt;/= 2 were considered as having radiographic OA. RESULTS: Knee pain was reported by 53.2% of those with radiographic KL &gt;/= 2 and by 33.2% of those with radiographic KL  14) was 19.9% among participants with radiographic KL &gt;/= 2 and 12.6% among those with radiographic KL  14) was 19.9% among participants with radiographic KL &gt;/= 2 and 12.6% among those with radiographic KL  14) likelihood ratios were 0.51, 1.92, 1.82, respectively. The results were similar for both genders. CONCLUSIONS: Knee pain scores increased ability to identify participants with radiographic KL &gt;/= 2 in both sexes. However, the presence of depressive symptoms impairs the ability of knee pain complaints to identify patients with radiographic OA.", "author" : [ { "dropping-particle" : "", "family" : "Pereira", "given" : "D", "non-dropping-particle" : "", "parse-names" : false, "suffix" : "" }, { "dropping-particle" : "", "family" : "Severo", "given" : "M", "non-dropping-particle" : "", "parse-names" : false, "suffix" : "" }, { "dropping-particle" : "", "family" : "Barros", "given" : "H", "non-dropping-particle" : "", "parse-names" : false, "suffix" : "" }, { "dropping-particle" : "", "family" : "Branco", "given" : "J", "non-dropping-particle" : "", "parse-names" : false, "suffix" : "" }, { "dropping-particle" : "", "family" : "Santos", "given" : "R A", "non-dropping-particle" : "", "parse-names" : false, "suffix" : "" }, { "dropping-particle" : "", "family" : "Ramos", "given" : "E", "non-dropping-particle" : "", "parse-names" : false, "suffix" : "" } ], "container-title" : "BMC musculoskeletal disorders", "id" : "ITEM-1", "issued" : { "date-parts" : [ [ "2013", "7", "22" ] ] }, "note" : "JID: 100968565; OID: NLM: PMC3724602; 2013/01/22 [received]; 2013/07/12 [accepted]; 2013/07/22 [aheadofprint]; epublish", "page" : "214", "publisher-place" : "England", "title" : "The effect of depressive symptoms on the association between radiographic osteoarthritis and knee pain: a cross-sectional study", "type" : "article-journal", "volume" : "14" }, "uris" : [ "http://www.mendeley.com/documents/?uuid=906ddd11-242e-4789-a9b1-3211be919530" ] } ], "mendeley" : { "formattedCitation" : "[33]", "plainTextFormattedCitation" : "[33]", "previouslyFormattedCitation" : "[33]"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[33]</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tabs>
                <w:tab w:val="left" w:pos="709"/>
                <w:tab w:val="center" w:pos="810"/>
              </w:tabs>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OA DIAGNIOSIS: KL ≥2. CHARACTERISTICS: Age </w:t>
            </w:r>
            <w:r w:rsidRPr="00A403BC">
              <w:rPr>
                <w:rFonts w:cs="AdvTTb5929f4c"/>
                <w:sz w:val="14"/>
                <w:szCs w:val="12"/>
              </w:rPr>
              <w:t>58.0 (15.2)*</w:t>
            </w:r>
            <w:r w:rsidRPr="00A403BC">
              <w:rPr>
                <w:rFonts w:cs="Calibri"/>
                <w:color w:val="000000"/>
                <w:sz w:val="14"/>
                <w:szCs w:val="12"/>
              </w:rPr>
              <w:t xml:space="preserve"> high level of pain, depressive symptoms (BDI ≥14) , no correlation between pain and ROA</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en-US" w:eastAsia="it-IT"/>
              </w:rPr>
              <w:t>Roemer 2012</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"10.1002/art.33344 [doi]", "ISSN" : "1529-0131; 0004-3591", "abstract" : "OBJECTIVE: To describe the association of osteophytes with concomitant cartilage damage, assessed using semiquantitative magnetic resonance imaging (MRI), and to describe the prevalence of atrophic and hypertrophic phenotypes of tibiofemoral knee osteoarthritis (OA) in a population-based cohort. METHODS: Participants of the Framingham Knee Osteoarthritis Study were examined with a 1.5T MRI system using triplanar intermediate-weighted fat-suppressed sequences. Cartilage and osteophytes were assessed using the Whole-Organ Magnetic Resonance Imaging Score (WORMS). Overall prevalence of knees with severe cartilage damage and concomitant osteophyte status were described. Odds ratios for the likelihood of having severe cartilage damage according to osteophyte size were estimated using a logistic regression model. An additional analysis assessed knees according to phenotype in relation to radiographic OA status, with the atrophic phenotype being defined as knees with absent or only tiny osteophytes (WORMS grade /=5 on a 0-7 scale) but lacking substantial cartilage damage. RESULTS: In this study, 1,597 knees of 1,248 subjects were included. Of the 67 knees with large osteophytes, 54 (80.6%) exhibited severe cartilage damage. The risk of severe cartilage damage increased markedly with increasing osteophyte size. Twenty-one knees (1.3%) showed an atrophic phenotype. Only 3 knees (0.2%) exhibited a hypertrophic phenotype. CONCLUSION: The majority of knees with severe tibiofemoral cartilage damage exhibited moderate to large osteophytes. The larger the osteophyte, the more likely was the presence of severe cartilage damage. A minority of knees exhibited the atrophic phenotype, which also included knees without radiographic OA. The hypertrophic phenotype was extremely rare.", "author" : [ { "dropping-particle" : "", "family" : "Roemer", "given" : "F W", "non-dropping-particle" : "", "parse-names" : false, "suffix" : "" }, { "dropping-particle" : "", "family" : "Guermazi", "given" : "A", "non-dropping-particle" : "", "parse-names" : false, "suffix" : "" }, { "dropping-particle" : "", "family" : "Niu", "given" : "J", "non-dropping-particle" : "", "parse-names" : false, "suffix" : "" }, { "dropping-particle" : "", "family" : "Zhang", "given" : "Y", "non-dropping-particle" : "", "parse-names" : false, "suffix" : "" }, { "dropping-particle" : "", "family" : "Mohr", "given" : "A", "non-dropping-particle" : "", "parse-names" : false, "suffix" : "" }, { "dropping-particle" : "", "family" : "Felson", "given" : "D T", "non-dropping-particle" : "", "parse-names" : false, "suffix" : "" } ], "container-title" : "Arthritis and Rheumatism", "id" : "ITEM-1", "issue" : "2", "issued" : { "date-parts" : [ [ "2012", "2" ] ] }, "note" : "LR: 20141021; CI: Copyright (c) 2012; GR: AG-18393/AG/NIA NIH HHS/United States; GR: AR-47785/AR/NIAMS NIH HHS/United States; GR: N01-HC-25195/HC/NHLBI NIH HHS/United States; GR: R01 AG018393/AG/NIA NIH HHS/United States; GR: R01 AG018393-01/AG/NIA NIH HHS/United States; JID: 0370605; NIHMS323304; OID: NLM: NIHMS323304; OID: NLM: PMC3268883; ppublish", "page" : "429-437", "publisher" : "by the American College of Rheumatology", "publisher-place" : "Department of Radiology, Boston University Medical Center, Boston, Massachusetts 02118, USA. froemer@bu.edu", "title" : "Prevalence of magnetic resonance imaging-defined atrophic and hypertrophic phenotypes of knee osteoarthritis in a population-based cohort", "type" : "article-journal", "volume" : "64" }, "uris" : [ "http://www.mendeley.com/documents/?uuid=ad100a77-4e92-4235-bdff-b452c2764296" ] } ], "mendeley" : { "formattedCitation" : "[34]", "plainTextFormattedCitation" : "[34]", "previouslyFormattedCitation" : "[34]"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[34]</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MRI (WORMS)</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CHARACTERISTICS: hypertrophic phenotype</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(large osteophytes with little joint space narrowing) age</w:t>
            </w:r>
            <w:r w:rsidRPr="00A403BC">
              <w:rPr>
                <w:sz w:val="14"/>
                <w:szCs w:val="12"/>
              </w:rPr>
              <w:t xml:space="preserve"> </w:t>
            </w:r>
            <w:r w:rsidRPr="00A403BC">
              <w:rPr>
                <w:rFonts w:cs="Calibri"/>
                <w:color w:val="000000"/>
                <w:sz w:val="14"/>
                <w:szCs w:val="12"/>
              </w:rPr>
              <w:t xml:space="preserve">67.3 (8.5) BMI 35.9 (4.5), atrophic (no osteophytes with severe joint space loss), age </w:t>
            </w:r>
            <w:r w:rsidRPr="00A403BC">
              <w:rPr>
                <w:rFonts w:cs="Times New Roman"/>
                <w:sz w:val="14"/>
                <w:szCs w:val="12"/>
              </w:rPr>
              <w:t>70.3 (7.9), BMI 28.0 (4.6)</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Sowers 2002</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"S1063458402908009 [pii]", "ISSN" : "1063-4584; 1063-4584", "abstract" : "OBJECTIVE: We evaluated C-reactive protein (C-RP), a quantitative marker of the acute phase response, as a potential biomarker of prevalent and incident osteoarthritis of the knee (OAK). METHODS: Serum C-reactive protein concentrations were characterized with ultrasensitive rate nephelometry in a population-based sample of 1025 women (318 African-American and 707 Caucasian) who are enrollees in a study of musculoskeletal conditions at the mid-life. Assignment of OAK was based on Kellgren-Lawrence (K-L) scores of 2 or more on radiographs. Prevalent OAK was based on the baseline (1996) score while the classification of incident OAK was based on a score of 2 or greater at the follow-up examination 2.5 years later amongst those with a baseline K-L scores of 0 or 1. RESULTS: At baseline, the prevalence of radiographic OAK was 12% in participants who were aged 27-53 years and 18% in the subgroup of women aged 40-53 years. The mean C-RP value was 2.31 mg/L, with values ranging from below detection (0.3 mg/L) to 47.4 mg/L. Higher C-RP concentrations were associated with both prevalent and incident OAK (P  30 kg/m2), mean C-RP values were: obesity and OAK, 6.3 +/- 0.4 mg/L; obesity but not OAK, 4.3 mg/L +/- 0.2; no obesity but OAK, 1.7 mg/L +/- 0.8; and neither obesity nor OAK, 1.3 mg/L +/- 0.2 mg/L. These stratum means were significantly different from each other, indicating a higher C-RP with OAK after accounting for obesity. CONCLUSION: C-RP, as a measure of an acute phase response and inflammation, is highly associated with OAK; however, its high correlation with obesity limits its utility as an exclusive marker for OAK.", "author" : [ { "dropping-particle" : "", "family" : "Sowers", "given" : "M", "non-dropping-particle" : "", "parse-names" : false, "suffix" : "" }, { "dropping-particle" : "", "family" : "Jannausch", "given" : "M", "non-dropping-particle" : "", "parse-names" : false, "suffix" : "" }, { "dropping-particle" : "", "family" : "Stein", "given" : "E", "non-dropping-particle" : "", "parse-names" : false, "suffix" : "" }, { "dropping-particle" : "", "family" : "Jamadar", "given" : "D", "non-dropping-particle" : "", "parse-names" : false, "suffix" : "" }, { "dropping-particle" : "", "family" : "Hochberg", "given" : "M", "non-dropping-particle" : "", "parse-names" : false, "suffix" : "" }, { "dropping-particle" : "", "family" : "Lachance", "given" : "L", "non-dropping-particle" : "", "parse-names" : false, "suffix" : "" } ], "container-title" : "Osteoarthritis and cartilage / OARS, Osteoarthritis Research Society", "id" : "ITEM-1", "issue" : "8", "issued" : { "date-parts" : [ [ "2002", "8" ] ] }, "note" : "LR: 20071114; GR: AG-17104/AG/NIA NIH HHS/United States; GR: AR-20557/AR/NIAMS NIH HHS/United States; GR: NR-04561/NR/NINR NIH HHS/United States; JID: 9305697; 0 (Biological Markers); 9007-41-4 (C-Reactive Protein); ppublish", "page" : "595-601", "publisher-place" : "Department of Epidemiology, School of Public Health, University of Michigan, Ann Arbor, Ml 48109-2029, USA. mfsowers@umich.edu", "title" : "C-reactive protein as a biomarker of emergent osteoarthritis", "type" : "article-journal", "volume" : "10" }, "uris" : [ "http://www.mendeley.com/documents/?uuid=93e8a372-a444-4acc-96e6-6c5842f28774" ] } ], "mendeley" : { "formattedCitation" : "[35]", "plainTextFormattedCitation" : "[35]", "previouslyFormattedCitation" : "[35]"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[35]</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KL ≥ 2</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CHARACTERISTICS: BMI ≥30 and high level of C-RP (people in this group with diabetes had the highest level of C-RP) </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660AC6">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 xml:space="preserve">Van der </w:t>
            </w:r>
            <w:r w:rsidR="00660AC6">
              <w:rPr>
                <w:rFonts w:eastAsia="Times New Roman" w:cs="Times New Roman"/>
                <w:color w:val="000000"/>
                <w:sz w:val="14"/>
                <w:szCs w:val="14"/>
                <w:lang w:val="it-IT" w:eastAsia="it-IT"/>
              </w:rPr>
              <w:t>E</w:t>
            </w:r>
            <w:r w:rsidRPr="00101897">
              <w:rPr>
                <w:rFonts w:eastAsia="Times New Roman" w:cs="Times New Roman"/>
                <w:color w:val="000000"/>
                <w:sz w:val="14"/>
                <w:szCs w:val="14"/>
                <w:lang w:val="it-IT" w:eastAsia="it-IT"/>
              </w:rPr>
              <w:t>sch 2015</w:t>
            </w:r>
            <w:r>
              <w:rPr>
                <w:rFonts w:eastAsia="Times New Roman" w:cs="Times New Roman"/>
                <w:color w:val="000000"/>
                <w:sz w:val="14"/>
                <w:szCs w:val="14"/>
                <w:lang w:val="it-IT" w:eastAsia="it-IT"/>
              </w:rPr>
              <w:t xml:space="preserve"> </w:t>
            </w:r>
            <w:r w:rsidR="00142F7B">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"10.1016/j.joca.2015.01.006", "ISSN" : "10634584", "author" : [ { "dropping-particle" : "", "family" : "Esch", "given" : "M.", "non-dropping-particle" : "van der", "parse-names" : false, "suffix" : "" }, { "dropping-particle" : "", "family" : "Knoop", "given" : "J.", "non-dropping-particle" : "", "parse-names" : false, "suffix" : "" }, { "dropping-particle" : "", "family" : "Leeden", "given" : "M.", "non-dropping-particle" : "van der", "parse-names" : false, "suffix" : "" }, { "dropping-particle" : "", "family" : "Roorda", "given" : "L.D.", "non-dropping-particle" : "", "parse-names" : false, "suffix" : "" }, { "dropping-particle" : "", "family" : "Lems", "given" : "W.F.", "non-dropping-particle" : "", "parse-names" : false, "suffix" : "" }, { "dropping-particle" : "", "family" : "Knol", "given" : "D.L.", "non-dropping-particle" : "", "parse-names" : false, "suffix" : "" }, { "dropping-particle" : "", "family" : "Dekker", "given" : "J.", "non-dropping-particle" : "", "parse-names" : false, "suffix" : "" } ], "container-title" : "Osteoarthritis and Cartilage", "id" : "ITEM-1", "issue" : "4", "issued" : { "date-parts" : [ [ "2015" ] ] }, "page" : "544-549", "publisher" : "Elsevier Ltd", "title" : "Clinical phenotypes in patients with knee osteoarthritis: a study in the Amsterdam osteoarthritis cohort", "type" : "article-journal", "volume" : "23" }, "uris" : [ "http://www.mendeley.com/documents/?uuid=66664158-599f-4b99-88e4-d67bf7437f62" ] } ], "mendeley" : { "formattedCitation" : "[36]", "plainTextFormattedCitation" : "[36]", "previouslyFormattedCitation" : "[36]" }, "properties" : { "noteIndex" : 0 }, "schema" : "https://github.com/citation-style-language/schema/raw/master/csl-citation.json" }</w:instrText>
            </w:r>
            <w:r w:rsidR="00142F7B">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[36]</w:t>
            </w:r>
            <w:r w:rsidR="00142F7B">
              <w:rPr>
                <w:rFonts w:eastAsia="Times New Roman" w:cs="Times New Roman"/>
                <w:color w:val="000000"/>
                <w:sz w:val="14"/>
                <w:szCs w:val="14"/>
                <w:lang w:val="it-IT" w:eastAsia="it-IT"/>
              </w:rPr>
              <w:fldChar w:fldCharType="end"/>
            </w:r>
            <w:r w:rsidRPr="00101897">
              <w:rPr>
                <w:rFonts w:eastAsia="Times New Roman" w:cs="Times New Roman"/>
                <w:color w:val="000000"/>
                <w:sz w:val="14"/>
                <w:szCs w:val="14"/>
                <w:lang w:val="en-US" w:eastAsia="it-IT"/>
              </w:rPr>
              <w:t xml:space="preserve"> </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vertAlign w:val="superscript"/>
              </w:rPr>
            </w:pPr>
            <w:r w:rsidRPr="00A403BC">
              <w:rPr>
                <w:rFonts w:cs="Calibri"/>
                <w:color w:val="000000"/>
                <w:sz w:val="14"/>
                <w:szCs w:val="12"/>
              </w:rPr>
              <w:t>OA DIAGNOSIS: ACR criteria CHARACTERISTICS: age 61.7 (8.8) BMI 28.5±4.4, muscle strength 28.5 ± 4.4 Nm, Depressive mood.</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 CHARACTERISTICS: age 61.7 (8.8)BMI</w:t>
            </w:r>
            <w:r w:rsidRPr="00A403BC">
              <w:rPr>
                <w:sz w:val="14"/>
                <w:szCs w:val="12"/>
              </w:rPr>
              <w:t xml:space="preserve"> </w:t>
            </w:r>
            <w:r w:rsidRPr="00A403BC">
              <w:rPr>
                <w:rFonts w:cs="Calibri"/>
                <w:color w:val="000000"/>
                <w:sz w:val="14"/>
                <w:szCs w:val="12"/>
              </w:rPr>
              <w:t>41.3 ± 5.0</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 CHARACTERISTICS: age 61.7 (8.8)  BMI 28.8 ± 3.8, Muscle strength 124.3 ± 23.1 Nm</w:t>
            </w: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ACR criteria CHARACTERISTICS: age 61.7 (8.8)BMI 27.5±4,0, muscle strength  57.0±20.8 Nm, K/L 0-1 69%</w:t>
            </w:r>
          </w:p>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660AC6" w:rsidP="00FA44F6">
            <w:pPr>
              <w:spacing w:after="0" w:line="480" w:lineRule="auto"/>
              <w:jc w:val="center"/>
              <w:rPr>
                <w:rFonts w:eastAsia="Times New Roman" w:cs="Times New Roman"/>
                <w:color w:val="000000"/>
                <w:sz w:val="14"/>
                <w:szCs w:val="14"/>
                <w:lang w:val="en-US" w:eastAsia="it-IT"/>
              </w:rPr>
            </w:pPr>
            <w:r>
              <w:rPr>
                <w:rFonts w:eastAsia="Times New Roman" w:cs="Times New Roman"/>
                <w:color w:val="000000"/>
                <w:sz w:val="14"/>
                <w:szCs w:val="14"/>
                <w:lang w:val="en-US" w:eastAsia="it-IT"/>
              </w:rPr>
              <w:t xml:space="preserve">Van </w:t>
            </w:r>
            <w:proofErr w:type="spellStart"/>
            <w:r>
              <w:rPr>
                <w:rFonts w:eastAsia="Times New Roman" w:cs="Times New Roman"/>
                <w:color w:val="000000"/>
                <w:sz w:val="14"/>
                <w:szCs w:val="14"/>
                <w:lang w:val="en-US" w:eastAsia="it-IT"/>
              </w:rPr>
              <w:t>S</w:t>
            </w:r>
            <w:r w:rsidR="00FA44F6" w:rsidRPr="00101897">
              <w:rPr>
                <w:rFonts w:eastAsia="Times New Roman" w:cs="Times New Roman"/>
                <w:color w:val="000000"/>
                <w:sz w:val="14"/>
                <w:szCs w:val="14"/>
                <w:lang w:val="en-US" w:eastAsia="it-IT"/>
              </w:rPr>
              <w:t>pil</w:t>
            </w:r>
            <w:proofErr w:type="spellEnd"/>
            <w:r w:rsidR="00FA44F6" w:rsidRPr="00101897">
              <w:rPr>
                <w:rFonts w:eastAsia="Times New Roman" w:cs="Times New Roman"/>
                <w:color w:val="000000"/>
                <w:sz w:val="14"/>
                <w:szCs w:val="14"/>
                <w:lang w:val="en-US" w:eastAsia="it-IT"/>
              </w:rPr>
              <w:t xml:space="preserve"> 2012</w:t>
            </w:r>
            <w:r w:rsidR="00142F7B" w:rsidRPr="00101897">
              <w:rPr>
                <w:rFonts w:eastAsia="Times New Roman" w:cs="Times New Roman"/>
                <w:color w:val="000000"/>
                <w:sz w:val="14"/>
                <w:szCs w:val="14"/>
                <w:lang w:val="it-IT" w:eastAsia="it-IT"/>
              </w:rPr>
              <w:fldChar w:fldCharType="begin" w:fldLock="1"/>
            </w:r>
            <w:r w:rsidR="00FA44F6">
              <w:rPr>
                <w:rFonts w:eastAsia="Times New Roman" w:cs="Times New Roman"/>
                <w:color w:val="000000"/>
                <w:sz w:val="14"/>
                <w:szCs w:val="14"/>
                <w:lang w:val="en-US" w:eastAsia="it-IT"/>
              </w:rPr>
              <w:instrText>ADDIN CSL_CITATION { "citationItems" : [ { "id" : "ITEM-1", "itemData" : { "DOI" : "10.1016/j.joca.2012.04.004 [doi]", "ISBN" : "1522-9653 (Electronic)\\r1063-4584 (Linking)", "ISSN" : "1522-9653; 1063-4584", "PMID" : "22503811", "abstract" : "OBJECTIVE: To assess a wide spectrum of biochemical markers (biomarkers) in a large cohort of individuals with (very) early symptomatic knee and/or hip osteoarthritis (OA). Secondly, to investigate associations between biomarkers and between biomarkers and demographics to demonstrate validity of the obtained dataset and further investigate the involvement and/or role of these biomarkers in OA. DESIGN: Fourteen biomarkers (uCTX-II, uCTX-I, uNTX-I, sCOMP, sPIIANP, sCS846, sC1,2C, sOC, sPINP, sHA, sPIIINP, pLeptin, pAdiponectin, pResistin) were assessed by ELISA or RIA in CHECK (Cohort Hip and Cohort Knee), a 10-year prospective cohort of 1,002 individuals with early symptomatic knee and/or hip OA. RESULTS: Quality controls revealed that gathered data were technically reliable. The majority of biomarkers showed relevant associations with demographic variables, which were expectedly different between genders and/or menopausal status for some. Principal component analysis enabled identification of five clusters, consecutively designated as 'bone-CTX-II', 'inflammation', 'synovium', 'C1,2C-adipokines', and 'cartilage synthesis' cluster. Notably, uCTX-II clustered with biomarkers of bone metabolism, while sCOMP clustered with biomarkers of synovial activity. CONCLUSIONS: The identified clusters extended knowledge on individual biomarkers from mostly smaller studies as did the observed associations between biomarker levels and demographics, from which validity of our data was deduced. uCTX-II may not only reflect articular cartilage but also bone metabolism and sCOMP may reflect synovial rather than cartilage metabolism. Major involvement of adipokines in joint metabolism was not identified.", "author" : [ { "dropping-particle" : "", "family" : "Spil", "given" : "W.E. E", "non-dropping-particle" : "van", "parse-names" : false, "suffix" : "" }, { "dropping-particle" : "", "family" : "Jansen", "given" : "N.W.D. W", "non-dropping-particle" : "", "parse-names" : false, "suffix" : "" }, { "dropping-particle" : "", "family" : "Bijlsma", "given" : "J.W.J. W", "non-dropping-particle" : "", "parse-names" : false, "suffix" : "" }, { "dropping-particle" : "", "family" : "Reijman", "given" : "M.", "non-dropping-particle" : "", "parse-names" : false, "suffix" : "" }, { "dropping-particle" : "", "family" : "DeGroot", "given" : "J.", "non-dropping-particle" : "", "parse-names" : false, "suffix" : "" }, { "dropping-particle" : "", "family" : "Welsing", "given" : "P.M.J. M", "non-dropping-particle" : "", "parse-names" : false, "suffix" : "" }, { "dropping-particle" : "", "family" : "Lafeber", "given" : "F.P.J.G. P", "non-dropping-particle" : "", "parse-names" : false, "suffix" : "" } ], "container-title" : "Osteoarthritis and cartilage / OARS, Osteoarthritis Research Society", "id" : "ITEM-1", "issue" : "7", "issued" : { "date-parts" : [ [ "2012", "7" ] ] }, "note" : "From Duplicate 1 (Clusters within a wide spectrum of biochemical markers for osteoarthritis: data from CHECK, a large cohort of individuals with very early symptomatic osteoarthritis - van Spil, W E; Jansen, N W; Bijlsma, J W; Reijman, M; DeGroot, J; Welsing, P M; Lafeber, F P)\n\nCI: Copyright (c) 2012; JID: 9305697; 0 (Adipokines); 0 (Biological Markers); 2011/12/12 [received]; 2012/03/08 [revised]; 2012/04/04 [accepted]; 2012/04/11 [aheadofprint]; ppublish", "page" : "745-754", "publisher" : "Osteoarthritis Research Society International. Published by Elsevier Ltd", "publisher-place" : "Department of Rheumatology &amp; Clinical Immunology, University Medical Center Utrecht, P.O. Box 85500, 3508 GA, Utrecht, The Netherlands. w.e.vanspil@umcutrecht.nl", "title" : "Clusters within a wide spectrum of biochemical markers for osteoarthritis: data from CHECK, a large cohort of individuals with very early symptomatic osteoarthritis", "type" : "article-journal", "volume" : "20" }, "uris" : [ "http://www.mendeley.com/documents/?uuid=a49d0205-9f26-4cb9-a574-6b5e60353496" ] } ], "mendeley" : { "formattedCitation" : "[37]", "plainTextFormattedCitation" : "[37]", "previouslyFormattedCitation" : "[37]"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00FA44F6" w:rsidRPr="00122694">
              <w:rPr>
                <w:rFonts w:eastAsia="Times New Roman" w:cs="Times New Roman"/>
                <w:noProof/>
                <w:color w:val="000000"/>
                <w:sz w:val="14"/>
                <w:szCs w:val="14"/>
                <w:lang w:val="en-US" w:eastAsia="it-IT"/>
              </w:rPr>
              <w:t>[37]</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OA DIAGNOSIS: CHECK cohort CHARACTERISTICS: </w:t>
            </w:r>
            <w:r>
              <w:rPr>
                <w:rFonts w:cs="Calibri"/>
                <w:color w:val="000000"/>
                <w:sz w:val="14"/>
                <w:szCs w:val="12"/>
              </w:rPr>
              <w:t xml:space="preserve">mixed sample: 76% KOA, 24% hip OA; </w:t>
            </w:r>
            <w:r w:rsidRPr="00A403BC">
              <w:rPr>
                <w:rFonts w:cs="Calibri"/>
                <w:color w:val="000000"/>
                <w:sz w:val="14"/>
                <w:szCs w:val="12"/>
              </w:rPr>
              <w:t xml:space="preserve">age 56 ± 5†, BMI 25.5 (23.3-28.4)† High level of </w:t>
            </w:r>
            <w:proofErr w:type="spellStart"/>
            <w:r w:rsidRPr="00A403BC">
              <w:rPr>
                <w:rFonts w:cs="Calibri"/>
                <w:color w:val="000000"/>
                <w:sz w:val="14"/>
                <w:szCs w:val="12"/>
              </w:rPr>
              <w:t>sPIIINP</w:t>
            </w:r>
            <w:proofErr w:type="spellEnd"/>
            <w:r w:rsidRPr="00A403BC">
              <w:rPr>
                <w:rFonts w:cs="Calibri"/>
                <w:color w:val="000000"/>
                <w:sz w:val="14"/>
                <w:szCs w:val="12"/>
              </w:rPr>
              <w:t xml:space="preserve">, </w:t>
            </w:r>
            <w:proofErr w:type="spellStart"/>
            <w:r w:rsidRPr="00A403BC">
              <w:rPr>
                <w:rFonts w:cs="Calibri"/>
                <w:color w:val="000000"/>
                <w:sz w:val="14"/>
                <w:szCs w:val="12"/>
              </w:rPr>
              <w:t>sHA</w:t>
            </w:r>
            <w:proofErr w:type="spellEnd"/>
            <w:r w:rsidRPr="00A403BC">
              <w:rPr>
                <w:rFonts w:cs="Calibri"/>
                <w:color w:val="000000"/>
                <w:sz w:val="14"/>
                <w:szCs w:val="12"/>
              </w:rPr>
              <w:t xml:space="preserve">, </w:t>
            </w:r>
            <w:proofErr w:type="spellStart"/>
            <w:r w:rsidRPr="00A403BC">
              <w:rPr>
                <w:rFonts w:cs="Calibri"/>
                <w:color w:val="000000"/>
                <w:sz w:val="14"/>
                <w:szCs w:val="12"/>
              </w:rPr>
              <w:t>sCOMP</w:t>
            </w:r>
            <w:proofErr w:type="spellEnd"/>
          </w:p>
        </w:tc>
        <w:tc>
          <w:tcPr>
            <w:tcW w:w="763" w:type="pct"/>
            <w:tcBorders>
              <w:top w:val="nil"/>
              <w:left w:val="nil"/>
              <w:bottom w:val="nil"/>
              <w:right w:val="nil"/>
            </w:tcBorders>
            <w:shd w:val="solid" w:color="FFFFFF" w:fill="auto"/>
          </w:tcPr>
          <w:p w:rsidR="00FA44F6" w:rsidRPr="00A403BC" w:rsidRDefault="00FA44F6" w:rsidP="00FA44F6">
            <w:pPr>
              <w:tabs>
                <w:tab w:val="left" w:pos="814"/>
                <w:tab w:val="center" w:pos="912"/>
              </w:tabs>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 xml:space="preserve">OA DIAGNOSIS: CHECK cohort CHARACTERISTICS: age 56 ± 5†, BMI 25.5 (23.3-28.4)†High level of  </w:t>
            </w:r>
            <w:proofErr w:type="spellStart"/>
            <w:r w:rsidRPr="00A403BC">
              <w:rPr>
                <w:rFonts w:cs="AdvOT863180fb"/>
                <w:sz w:val="14"/>
                <w:szCs w:val="12"/>
              </w:rPr>
              <w:t>ESR</w:t>
            </w:r>
            <w:proofErr w:type="spellEnd"/>
            <w:r w:rsidRPr="00A403BC">
              <w:rPr>
                <w:rFonts w:cs="AdvOT863180fb"/>
                <w:sz w:val="14"/>
                <w:szCs w:val="12"/>
              </w:rPr>
              <w:t xml:space="preserve">, </w:t>
            </w:r>
            <w:proofErr w:type="spellStart"/>
            <w:r w:rsidRPr="00A403BC">
              <w:rPr>
                <w:rFonts w:cs="AdvOT863180fb"/>
                <w:sz w:val="14"/>
                <w:szCs w:val="12"/>
              </w:rPr>
              <w:t>pLeptin</w:t>
            </w:r>
            <w:proofErr w:type="spellEnd"/>
            <w:r w:rsidRPr="00A403BC">
              <w:rPr>
                <w:rFonts w:cs="AdvOT863180fb"/>
                <w:sz w:val="14"/>
                <w:szCs w:val="12"/>
              </w:rPr>
              <w:t xml:space="preserve">, </w:t>
            </w:r>
            <w:proofErr w:type="spellStart"/>
            <w:r w:rsidRPr="00A403BC">
              <w:rPr>
                <w:rFonts w:cs="AdvOT863180fb"/>
                <w:sz w:val="14"/>
                <w:szCs w:val="12"/>
              </w:rPr>
              <w:t>hsCRP</w:t>
            </w:r>
            <w:proofErr w:type="spellEnd"/>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rPr>
              <w:t xml:space="preserve">OA DIAGNOSIS: CHECK cohort CHARACTERISTICS: age 56 ± 5†, BMI 25.5 (23.3-28.4)†High level of </w:t>
            </w:r>
            <w:proofErr w:type="spellStart"/>
            <w:r w:rsidRPr="00A403BC">
              <w:rPr>
                <w:rFonts w:cs="Calibri"/>
                <w:color w:val="000000"/>
                <w:sz w:val="14"/>
                <w:szCs w:val="12"/>
                <w:lang w:val="en-US"/>
              </w:rPr>
              <w:t>uCTX</w:t>
            </w:r>
            <w:proofErr w:type="spellEnd"/>
            <w:r w:rsidRPr="00A403BC">
              <w:rPr>
                <w:rFonts w:cs="Calibri"/>
                <w:color w:val="000000"/>
                <w:sz w:val="14"/>
                <w:szCs w:val="12"/>
                <w:lang w:val="en-US"/>
              </w:rPr>
              <w:t xml:space="preserve">-I, </w:t>
            </w:r>
            <w:proofErr w:type="spellStart"/>
            <w:r w:rsidRPr="00A403BC">
              <w:rPr>
                <w:rFonts w:cs="Calibri"/>
                <w:color w:val="000000"/>
                <w:sz w:val="14"/>
                <w:szCs w:val="12"/>
                <w:lang w:val="en-US"/>
              </w:rPr>
              <w:t>uNTX</w:t>
            </w:r>
            <w:proofErr w:type="spellEnd"/>
            <w:r w:rsidRPr="00A403BC">
              <w:rPr>
                <w:rFonts w:cs="Calibri"/>
                <w:color w:val="000000"/>
                <w:sz w:val="14"/>
                <w:szCs w:val="12"/>
                <w:lang w:val="en-US"/>
              </w:rPr>
              <w:t xml:space="preserve">-I, </w:t>
            </w:r>
            <w:proofErr w:type="spellStart"/>
            <w:r w:rsidRPr="00A403BC">
              <w:rPr>
                <w:rFonts w:cs="Calibri"/>
                <w:color w:val="000000"/>
                <w:sz w:val="14"/>
                <w:szCs w:val="12"/>
                <w:lang w:val="en-US"/>
              </w:rPr>
              <w:t>sPINP</w:t>
            </w:r>
            <w:proofErr w:type="spellEnd"/>
            <w:r w:rsidRPr="00A403BC">
              <w:rPr>
                <w:rFonts w:cs="Calibri"/>
                <w:color w:val="000000"/>
                <w:sz w:val="14"/>
                <w:szCs w:val="12"/>
                <w:lang w:val="en-US"/>
              </w:rPr>
              <w:t xml:space="preserve">, </w:t>
            </w:r>
            <w:proofErr w:type="spellStart"/>
            <w:r w:rsidRPr="00A403BC">
              <w:rPr>
                <w:rFonts w:cs="Calibri"/>
                <w:color w:val="000000"/>
                <w:sz w:val="14"/>
                <w:szCs w:val="12"/>
                <w:lang w:val="en-US"/>
              </w:rPr>
              <w:t>sOC</w:t>
            </w:r>
            <w:proofErr w:type="spellEnd"/>
            <w:r w:rsidRPr="00A403BC">
              <w:rPr>
                <w:rFonts w:cs="Calibri"/>
                <w:color w:val="000000"/>
                <w:sz w:val="14"/>
                <w:szCs w:val="12"/>
                <w:lang w:val="en-US"/>
              </w:rPr>
              <w:t xml:space="preserve">, </w:t>
            </w:r>
            <w:proofErr w:type="spellStart"/>
            <w:r w:rsidRPr="00A403BC">
              <w:rPr>
                <w:rFonts w:cs="Calibri"/>
                <w:color w:val="000000"/>
                <w:sz w:val="14"/>
                <w:szCs w:val="12"/>
                <w:lang w:val="en-US"/>
              </w:rPr>
              <w:t>uCTX</w:t>
            </w:r>
            <w:proofErr w:type="spellEnd"/>
            <w:r w:rsidRPr="00A403BC">
              <w:rPr>
                <w:rFonts w:cs="Calibri"/>
                <w:color w:val="000000"/>
                <w:sz w:val="14"/>
                <w:szCs w:val="12"/>
                <w:lang w:val="en-US"/>
              </w:rPr>
              <w:t>-II,</w:t>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en-US" w:eastAsia="it-IT"/>
              </w:rPr>
            </w:pPr>
            <w:proofErr w:type="spellStart"/>
            <w:r w:rsidRPr="00101897">
              <w:rPr>
                <w:rFonts w:eastAsia="Times New Roman" w:cs="Times New Roman"/>
                <w:color w:val="000000"/>
                <w:sz w:val="14"/>
                <w:szCs w:val="14"/>
                <w:lang w:val="en-US" w:eastAsia="it-IT"/>
              </w:rPr>
              <w:t>Waarsing</w:t>
            </w:r>
            <w:proofErr w:type="spellEnd"/>
            <w:r w:rsidRPr="00101897">
              <w:rPr>
                <w:rFonts w:eastAsia="Times New Roman" w:cs="Times New Roman"/>
                <w:color w:val="000000"/>
                <w:sz w:val="14"/>
                <w:szCs w:val="14"/>
                <w:lang w:val="en-US" w:eastAsia="it-IT"/>
              </w:rPr>
              <w:t xml:space="preserve"> 2015</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"kev100 [pii]", "ISSN" : "1462-0332; 1462-0324", "abstract" : "OBJECTIVE: OA is suspected to be a collection of distinct subtypes, each with different aetiology and clinical characteristics. We aimed to explore the existence of different subtypes of knee OA, using cluster analysis of the data of the OA Initiative. METHODS: We used latent class cluster analysis (LCA) to cluster baseline data of 518 subjects of the OA Initiative progression cohort. Data included radiographic scores of OA features per compartment, regional quantitative MRI measures of cartilage quantity and denuded bone, and self-reported clinical scores on knee symptoms. To ensure that the clusters were found independently of OA severity, the LCA model was corrected with a measure of OA severity. The resulting clusters were compared with respect to the presence of risk factors and progression. RESULTS: LCA resulted in four clusters containing 47%, 27%, 15% and 12% of the subjects. Clusters 1, 2 and 4 showed OA features at the medial compartment, while cluster 3 only showed lateral OA features. Clusters 3 and 4 showed severe increases in areas of denuded bone, whereas no denuded bone was present in cluster 1. Prevalence of OA progression over 24 months was highest in clusters 3 and 4 and lowest in cluster 1. The clusters also differed significantly in BMI, knee alignment and prevalence of reported trauma. CONCLUSION: LCA confirmed the existence of distinct subtypes of knee OA with clear differences in structural degradation and symptoms. The fact that subtypes also differed in risk factors suggests that different causes lead to different types of knee OA.", "author" : [ { "dropping-particle" : "", "family" : "Waarsing", "given" : "J H", "non-dropping-particle" : "", "parse-names" : false, "suffix" : "" }, { "dropping-particle" : "", "family" : "Bierma-Zeinstra", "given" : "S M", "non-dropping-particle" : "", "parse-names" : false, "suffix" : "" }, { "dropping-particle" : "", "family" : "Weinans", "given" : "H", "non-dropping-particle" : "", "parse-names" : false, "suffix" : "" } ], "container-title" : "Rheumatology (Oxford, England)", "id" : "ITEM-1", "issued" : { "date-parts" : [ [ "2015", "4", "16" ] ] }, "note" : "LR: 20150418; CI: (c) The Author 2015; JID: 100883501; OTO: NOTNLM; aheadofprint", "publisher" : ". Published by Oxford University Press on behalf of the British Society for Rheumatology", "publisher-place" : "Department of Orthopaedics, Department of General Practice, Erasmus Medical Center, Rotterdam, Department of Orthopaedics &amp; Rheumatology, UMC Utrecht and Department of Biomedical Engineering, Delft University of Technology, Delft, The Netherlands e.waarsi", "title" : "Distinct subtypes of knee osteoarthritis: data from the Osteoarthritis Initiative", "type" : "article-journal" }, "uris" : [ "http://www.mendeley.com/documents/?uuid=71951575-fe94-4434-83a9-5b33464a7012" ] } ], "mendeley" : { "formattedCitation" : "[8]", "plainTextFormattedCitation" : "[8]", "previouslyFormattedCitation" : "[8]"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3B45A0">
              <w:rPr>
                <w:rFonts w:eastAsia="Times New Roman" w:cs="Times New Roman"/>
                <w:noProof/>
                <w:color w:val="000000"/>
                <w:sz w:val="14"/>
                <w:szCs w:val="14"/>
                <w:lang w:val="en-US" w:eastAsia="it-IT"/>
              </w:rPr>
              <w:t>[8]</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lang w:val="en-US"/>
              </w:rPr>
            </w:pPr>
            <w:r w:rsidRPr="00A403BC">
              <w:rPr>
                <w:rFonts w:cs="Calibri"/>
                <w:color w:val="000000"/>
                <w:sz w:val="14"/>
                <w:szCs w:val="12"/>
              </w:rPr>
              <w:t xml:space="preserve">OA DIAGNOSIS: </w:t>
            </w:r>
            <w:proofErr w:type="spellStart"/>
            <w:r w:rsidRPr="00A403BC">
              <w:rPr>
                <w:rFonts w:cs="Calibri"/>
                <w:color w:val="000000"/>
                <w:sz w:val="14"/>
                <w:szCs w:val="12"/>
              </w:rPr>
              <w:t>OAI</w:t>
            </w:r>
            <w:proofErr w:type="spellEnd"/>
            <w:r w:rsidRPr="00A403BC">
              <w:rPr>
                <w:rFonts w:cs="Calibri"/>
                <w:color w:val="000000"/>
                <w:sz w:val="14"/>
                <w:szCs w:val="12"/>
              </w:rPr>
              <w:t xml:space="preserve"> progression </w:t>
            </w:r>
            <w:proofErr w:type="spellStart"/>
            <w:r w:rsidRPr="00A403BC">
              <w:rPr>
                <w:rFonts w:cs="Calibri"/>
                <w:color w:val="000000"/>
                <w:sz w:val="14"/>
                <w:szCs w:val="12"/>
              </w:rPr>
              <w:t>sub</w:t>
            </w:r>
            <w:bookmarkStart w:id="0" w:name="_GoBack"/>
            <w:bookmarkEnd w:id="0"/>
            <w:r w:rsidRPr="00A403BC">
              <w:rPr>
                <w:rFonts w:cs="Calibri"/>
                <w:color w:val="000000"/>
                <w:sz w:val="14"/>
                <w:szCs w:val="12"/>
              </w:rPr>
              <w:t>cohort</w:t>
            </w:r>
            <w:proofErr w:type="spellEnd"/>
            <w:r w:rsidRPr="00A403BC">
              <w:rPr>
                <w:rFonts w:cs="Calibri"/>
                <w:color w:val="000000"/>
                <w:sz w:val="14"/>
                <w:szCs w:val="12"/>
              </w:rPr>
              <w:t>. CHARACTERISTICS</w:t>
            </w:r>
            <w:r w:rsidRPr="00A403BC">
              <w:rPr>
                <w:rFonts w:cs="Calibri"/>
                <w:color w:val="000000"/>
                <w:sz w:val="14"/>
                <w:szCs w:val="12"/>
                <w:lang w:val="en-US"/>
              </w:rPr>
              <w:t xml:space="preserve">1: age 63 lateral compartment, high prevalence of previous injuries (48%) valgus alignment, and low BMI 28.6 </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lang w:val="en-US"/>
              </w:rPr>
              <w:t>2: age 62, high prevalence of previous injuries (55%), severe degeneration medial compartment, BMI 29,4.</w:t>
            </w: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OAI CHARACTERISTICS:</w:t>
            </w:r>
            <w:r w:rsidRPr="00A403BC">
              <w:rPr>
                <w:rFonts w:cs="Calibri"/>
                <w:color w:val="000000"/>
                <w:sz w:val="14"/>
                <w:szCs w:val="12"/>
              </w:rPr>
              <w:br/>
              <w:t xml:space="preserve">progression </w:t>
            </w:r>
            <w:proofErr w:type="spellStart"/>
            <w:r w:rsidRPr="00A403BC">
              <w:rPr>
                <w:rFonts w:cs="Calibri"/>
                <w:color w:val="000000"/>
                <w:sz w:val="14"/>
                <w:szCs w:val="12"/>
              </w:rPr>
              <w:t>subcohort</w:t>
            </w:r>
            <w:proofErr w:type="spellEnd"/>
            <w:r w:rsidRPr="00A403BC">
              <w:rPr>
                <w:rFonts w:cs="Calibri"/>
                <w:color w:val="000000"/>
                <w:sz w:val="14"/>
                <w:szCs w:val="12"/>
              </w:rPr>
              <w:t xml:space="preserve">. Age 60, Low </w:t>
            </w:r>
            <w:r w:rsidR="00660AC6" w:rsidRPr="00A403BC">
              <w:rPr>
                <w:rFonts w:cs="Calibri"/>
                <w:color w:val="000000"/>
                <w:sz w:val="14"/>
                <w:szCs w:val="12"/>
              </w:rPr>
              <w:t>degeneration, medial</w:t>
            </w:r>
            <w:r w:rsidRPr="00A403BC">
              <w:rPr>
                <w:rFonts w:cs="Calibri"/>
                <w:color w:val="000000"/>
                <w:sz w:val="14"/>
                <w:szCs w:val="12"/>
              </w:rPr>
              <w:t xml:space="preserve"> compartment, neutral </w:t>
            </w:r>
            <w:proofErr w:type="spellStart"/>
            <w:r w:rsidRPr="00A403BC">
              <w:rPr>
                <w:rFonts w:cs="Calibri"/>
                <w:color w:val="000000"/>
                <w:sz w:val="14"/>
                <w:szCs w:val="12"/>
              </w:rPr>
              <w:t>alignement</w:t>
            </w:r>
            <w:proofErr w:type="spellEnd"/>
            <w:r w:rsidRPr="00A403BC">
              <w:rPr>
                <w:rFonts w:cs="Calibri"/>
                <w:color w:val="000000"/>
                <w:sz w:val="14"/>
                <w:szCs w:val="12"/>
              </w:rPr>
              <w:t>, BMI 30,6, low progression (7% for KL</w:t>
            </w:r>
            <w:r w:rsidRPr="00A403BC">
              <w:rPr>
                <w:rFonts w:cs="Calibri"/>
                <w:color w:val="000000"/>
                <w:sz w:val="14"/>
                <w:szCs w:val="12"/>
                <w:vertAlign w:val="superscript"/>
              </w:rPr>
              <w:t>3</w:t>
            </w:r>
            <w:r w:rsidRPr="00A403BC">
              <w:rPr>
                <w:rFonts w:cs="Calibri"/>
                <w:color w:val="000000"/>
                <w:sz w:val="14"/>
                <w:szCs w:val="12"/>
              </w:rPr>
              <w:t xml:space="preserve"> score, 21% for JSN</w:t>
            </w:r>
            <w:r w:rsidRPr="00A403BC">
              <w:rPr>
                <w:rFonts w:cs="Calibri"/>
                <w:color w:val="000000"/>
                <w:sz w:val="14"/>
                <w:szCs w:val="12"/>
                <w:vertAlign w:val="superscript"/>
              </w:rPr>
              <w:t>2</w:t>
            </w:r>
            <w:r w:rsidRPr="00A403BC">
              <w:rPr>
                <w:rFonts w:cs="Calibri"/>
                <w:color w:val="000000"/>
                <w:sz w:val="14"/>
                <w:szCs w:val="12"/>
              </w:rPr>
              <w:t>) at 2 years, trauma 33%</w:t>
            </w:r>
          </w:p>
        </w:tc>
      </w:tr>
      <w:tr w:rsidR="00FA44F6" w:rsidRPr="00A403BC" w:rsidTr="00E04F3C">
        <w:trPr>
          <w:trHeight w:val="290"/>
        </w:trPr>
        <w:tc>
          <w:tcPr>
            <w:tcW w:w="424" w:type="pct"/>
            <w:tcBorders>
              <w:top w:val="nil"/>
              <w:left w:val="nil"/>
              <w:bottom w:val="nil"/>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en-US" w:eastAsia="it-IT"/>
              </w:rPr>
            </w:pPr>
            <w:proofErr w:type="spellStart"/>
            <w:r>
              <w:rPr>
                <w:rFonts w:eastAsia="Times New Roman" w:cs="Times New Roman"/>
                <w:color w:val="000000"/>
                <w:sz w:val="14"/>
                <w:szCs w:val="14"/>
                <w:lang w:val="en-US" w:eastAsia="it-IT"/>
              </w:rPr>
              <w:t>Iijima</w:t>
            </w:r>
            <w:proofErr w:type="spellEnd"/>
            <w:r>
              <w:rPr>
                <w:rFonts w:eastAsia="Times New Roman" w:cs="Times New Roman"/>
                <w:color w:val="000000"/>
                <w:sz w:val="14"/>
                <w:szCs w:val="14"/>
                <w:lang w:val="en-US" w:eastAsia="it-IT"/>
              </w:rPr>
              <w:t xml:space="preserve"> 2015</w:t>
            </w:r>
            <w:r w:rsidR="00142F7B">
              <w:rPr>
                <w:rFonts w:eastAsia="Times New Roman" w:cs="Times New Roman"/>
                <w:color w:val="000000"/>
                <w:sz w:val="14"/>
                <w:szCs w:val="14"/>
                <w:lang w:val="en-US" w:eastAsia="it-IT"/>
              </w:rPr>
              <w:fldChar w:fldCharType="begin" w:fldLock="1"/>
            </w:r>
            <w:r>
              <w:rPr>
                <w:rFonts w:eastAsia="Times New Roman" w:cs="Times New Roman"/>
                <w:color w:val="000000"/>
                <w:sz w:val="14"/>
                <w:szCs w:val="14"/>
                <w:lang w:val="en-US" w:eastAsia="it-IT"/>
              </w:rPr>
              <w:instrText>ADDIN CSL_CITATION { "citationItems" : [ { "id" : "ITEM-1", "itemData" : { "DOI" : "10.1002/art.39224", "ISSN" : "2326-5205", "PMID" : "26017348", "abstract" : "OBJECTIVE: To investigate the association between knee pain during gait and 4 clinical phenotypes based on static varus alignment and varus thrust in patients with medial knee osteoarthritis (OA).\n\nMETHODS: Patients in an orthopedic clinic (n\u2009=\u2009266) diagnosed as having knee OA (Kellgren/Lawrence [K/L] grade \u22651) were divided into 4 phenotype groups according to the presence or absence of static varus alignment and varus thrust (dynamic varus): no varus (n\u2009=\u2009173), dynamic varus (n\u2009=\u200917), static varus (n\u2009=\u200950), and static varus\u2009+\u2009dynamic varus (n\u2009=\u200926). The knee range of motion, spatiotemporal gait parameters, visual analog scale scores for knee pain, and scores on the Japanese Knee Osteoarthritis Measure were used to assess clinical outcomes. Multiple logistic regression analyses identified the relationship between knee pain during gait and the 4 phenotypes, adjusted for possible risk factors, including age, sex, body mass index, K/L grade, and gait velocity.\n\nRESULTS: Multiple logistic regression analysis showed that varus thrust without varus alignment was associated with knee pain during gait (odds ratio [OR] 3.30, 95% confidence interval [95% CI] 1.08-12.4), and that varus thrust combined with varus alignment was strongly associated with knee pain during gait (OR 17.1, 95% CI 3.19-320.0). Sensitivity analyses applying alternative cutoff values for defining static varus alignment showed comparable results.\n\nCONCLUSION: Varus thrust with or without static varus alignment was associated with the occurrence of knee pain during gait. Tailored interventions based on individual malalignment phenotypes may improve clinical outcomes in patients with knee OA.", "author" : [ { "dropping-particle" : "", "family" : "Iijima", "given" : "Hirotaka", "non-dropping-particle" : "", "parse-names" : false, "suffix" : "" }, { "dropping-particle" : "", "family" : "Fukutani", "given" : "Naoto", "non-dropping-particle" : "", "parse-names" : false, "suffix" : "" }, { "dropping-particle" : "", "family" : "Aoyama", "given" : "Tomoki", "non-dropping-particle" : "", "parse-names" : false, "suffix" : "" }, { "dropping-particle" : "", "family" : "Fukumoto", "given" : "Takahiko", "non-dropping-particle" : "", "parse-names" : false, "suffix" : "" }, { "dropping-particle" : "", "family" : "Uritani", "given" : "Daisuke", "non-dropping-particle" : "", "parse-names" : false, "suffix" : "" }, { "dropping-particle" : "", "family" : "Kaneda", "given" : "Eishi", "non-dropping-particle" : "", "parse-names" : false, "suffix" : "" }, { "dropping-particle" : "", "family" : "Ota", "given" : "Kazuo", "non-dropping-particle" : "", "parse-names" : false, "suffix" : "" }, { "dropping-particle" : "", "family" : "Kuroki", "given" : "Hiroshi", "non-dropping-particle" : "", "parse-names" : false, "suffix" : "" }, { "dropping-particle" : "", "family" : "Matsuda", "given" : "Shuichi", "non-dropping-particle" : "", "parse-names" : false, "suffix" : "" } ], "container-title" : "Arthritis &amp; rheumatology (Hoboken, N.J.)", "id" : "ITEM-1", "issue" : "9", "issued" : { "date-parts" : [ [ "2015", "9" ] ] }, "page" : "2354-62", "title" : "Clinical Phenotype Classifications Based on Static Varus Alignment and Varus Thrust in Japanese Patients With Medial Knee Osteoarthritis.", "type" : "article-journal", "volume" : "67" }, "uris" : [ "http://www.mendeley.com/documents/?uuid=5783b031-cfdc-43fe-9157-ee977c953d6d" ] } ], "mendeley" : { "formattedCitation" : "[38]", "plainTextFormattedCitation" : "[38]", "previouslyFormattedCitation" : "[38]" }, "properties" : { "noteIndex" : 0 }, "schema" : "https://github.com/citation-style-language/schema/raw/master/csl-citation.json" }</w:instrText>
            </w:r>
            <w:r w:rsidR="00142F7B">
              <w:rPr>
                <w:rFonts w:eastAsia="Times New Roman" w:cs="Times New Roman"/>
                <w:color w:val="000000"/>
                <w:sz w:val="14"/>
                <w:szCs w:val="14"/>
                <w:lang w:val="en-US" w:eastAsia="it-IT"/>
              </w:rPr>
              <w:fldChar w:fldCharType="separate"/>
            </w:r>
            <w:r w:rsidRPr="00122694">
              <w:rPr>
                <w:rFonts w:eastAsia="Times New Roman" w:cs="Times New Roman"/>
                <w:noProof/>
                <w:color w:val="000000"/>
                <w:sz w:val="14"/>
                <w:szCs w:val="14"/>
                <w:lang w:val="en-US" w:eastAsia="it-IT"/>
              </w:rPr>
              <w:t>[38]</w:t>
            </w:r>
            <w:r w:rsidR="00142F7B">
              <w:rPr>
                <w:rFonts w:eastAsia="Times New Roman" w:cs="Times New Roman"/>
                <w:color w:val="000000"/>
                <w:sz w:val="14"/>
                <w:szCs w:val="14"/>
                <w:lang w:val="en-US" w:eastAsia="it-IT"/>
              </w:rPr>
              <w:fldChar w:fldCharType="end"/>
            </w: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age .50 years,</w:t>
            </w:r>
          </w:p>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K/L grade ≥1 in the medial compartment. CHARACTERISTICS: age 74.2 ± 6.42, BMI 25.5, KL1 11.5%, KL2 19.2%, KL 3 38.5%, KL 4 30.8%</w:t>
            </w:r>
          </w:p>
        </w:tc>
        <w:tc>
          <w:tcPr>
            <w:tcW w:w="761" w:type="pct"/>
            <w:gridSpan w:val="2"/>
            <w:tcBorders>
              <w:top w:val="nil"/>
              <w:left w:val="nil"/>
              <w:bottom w:val="nil"/>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r w:rsidR="00FA44F6" w:rsidRPr="00A403BC" w:rsidTr="00E04F3C">
        <w:trPr>
          <w:trHeight w:val="290"/>
        </w:trPr>
        <w:tc>
          <w:tcPr>
            <w:tcW w:w="424" w:type="pct"/>
            <w:tcBorders>
              <w:top w:val="nil"/>
              <w:left w:val="nil"/>
              <w:bottom w:val="single" w:sz="4" w:space="0" w:color="auto"/>
              <w:right w:val="nil"/>
            </w:tcBorders>
            <w:shd w:val="solid" w:color="FFFFFF" w:fill="auto"/>
            <w:vAlign w:val="center"/>
          </w:tcPr>
          <w:p w:rsidR="00FA44F6" w:rsidRPr="00101897" w:rsidRDefault="00FA44F6" w:rsidP="00FA44F6">
            <w:pPr>
              <w:spacing w:after="0" w:line="480" w:lineRule="auto"/>
              <w:jc w:val="center"/>
              <w:rPr>
                <w:rFonts w:eastAsia="Times New Roman" w:cs="Times New Roman"/>
                <w:color w:val="000000"/>
                <w:sz w:val="14"/>
                <w:szCs w:val="14"/>
                <w:lang w:val="en-US" w:eastAsia="it-IT"/>
              </w:rPr>
            </w:pPr>
            <w:proofErr w:type="spellStart"/>
            <w:r w:rsidRPr="00101897">
              <w:rPr>
                <w:rFonts w:eastAsia="Times New Roman" w:cs="Times New Roman"/>
                <w:color w:val="000000"/>
                <w:sz w:val="14"/>
                <w:szCs w:val="14"/>
                <w:lang w:val="en-US" w:eastAsia="it-IT"/>
              </w:rPr>
              <w:t>Kittelson</w:t>
            </w:r>
            <w:proofErr w:type="spellEnd"/>
            <w:r w:rsidRPr="00101897">
              <w:rPr>
                <w:rFonts w:eastAsia="Times New Roman" w:cs="Times New Roman"/>
                <w:color w:val="000000"/>
                <w:sz w:val="14"/>
                <w:szCs w:val="14"/>
                <w:lang w:val="en-US" w:eastAsia="it-IT"/>
              </w:rPr>
              <w:t xml:space="preserve"> 2015</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"10.1002/acr.22734", "ISSN" : "2151-4658", "PMID" : "26414884", "abstract" : "OBJECTIVE: Knee osteoarthritis (OA) is a broadly applied diagnosis that may encompass multiple subtypes of pain. The purpose of this study was to identify phenotypes of knee OA, using measures from the following pain-related domains: 1) knee OA pathology, 2) psychological distress, and 3) altered pain neurophysiology.\n\nMETHODS: Data were selected from a total of 3494 participants at Visit #6 of the Osteoarthritis Initiative (OAI) study. Latent Class Analysis was applied to the following variables: radiographic OA severity, quadriceps strength, Body Mass Index (BMI), Charlson Comorbidity Index (CCI), Center for Epidemiologic Studies Depression subscale (CES-D), Coping Strategies Questionnaire-Catastrophizing subscale (CSQ-Cat), number of bodily pain sites, and knee joint tenderness at 4 sites. Resulting classes were compared on the following demographic and clinical factors: age, sex, pain severity, disability, walking speed, and use of arthritis-related healthcare.\n\nRESULTS: A four-class model was identified. Class 1 (4% of the study population) had higher CCI scores. Class 2 (24%) had higher knee joint sensitivity. Class 3 (10%) had greater psychological distress. Class 4 (62%) had lesser radiographic OA, little psychological involvement, greater strength, and less pain sensitivity. Additionally, Class 1 was the oldest, on average. Class 4 was the youngest, had the lowest disability, and least pain. Class 3 had the worst disability and most pain.\n\nCONCLUSIONS: Four distinct pain phenotypes of knee OA were identified. Psychological factors, comorbidity status, and joint sensitivity appear to be important in defining phenotypes of knee OA-related pain. This article is protected by copyright. All rights reserved.", "author" : [ { "dropping-particle" : "", "family" : "Kittelson", "given" : "Andrew J", "non-dropping-particle" : "", "parse-names" : false, "suffix" : "" }, { "dropping-particle" : "", "family" : "Stevens-Lapsley", "given" : "Jennifer E", "non-dropping-particle" : "", "parse-names" : false, "suffix" : "" }, { "dropping-particle" : "", "family" : "Schmiege", "given" : "Sarah J", "non-dropping-particle" : "", "parse-names" : false, "suffix" : "" } ], "container-title" : "Arthritis care &amp; research", "id" : "ITEM-1", "issued" : { "date-parts" : [ [ "2015", "9", "28" ] ] }, "title" : "Determination of Pain Phenotypes in Knee Osteoarthritis: A Latent Class Analysis using Data from the Osteoarthritis Initiative Study.", "type" : "article-journal" }, "uris" : [ "http://www.mendeley.com/documents/?uuid=a516ad32-d90d-4dd1-8306-00d639b59c17" ] } ], "mendeley" : { "formattedCitation" : "[40]", "plainTextFormattedCitation" : "[40]", "previouslyFormattedCitation" : "[40]"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[40]</w:t>
            </w:r>
            <w:r w:rsidR="00142F7B" w:rsidRPr="00101897">
              <w:rPr>
                <w:rFonts w:eastAsia="Times New Roman" w:cs="Times New Roman"/>
                <w:color w:val="000000"/>
                <w:sz w:val="14"/>
                <w:szCs w:val="14"/>
                <w:lang w:val="it-IT" w:eastAsia="it-IT"/>
              </w:rPr>
              <w:fldChar w:fldCharType="end"/>
            </w:r>
          </w:p>
        </w:tc>
        <w:tc>
          <w:tcPr>
            <w:tcW w:w="763" w:type="pct"/>
            <w:tcBorders>
              <w:top w:val="nil"/>
              <w:left w:val="nil"/>
              <w:bottom w:val="single" w:sz="4" w:space="0" w:color="auto"/>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r w:rsidRPr="00A403BC">
              <w:rPr>
                <w:rFonts w:cs="Calibri"/>
                <w:color w:val="000000"/>
                <w:sz w:val="14"/>
                <w:szCs w:val="12"/>
              </w:rPr>
              <w:t>OA DIAGNOSIS: CHARACTERISTICS: age 64.7, BMI 30.3±5.2, WOMAC score 32.5±20.5, NPRS6.0±2.8, CES-D 14.7±10.6, Number of pain sites 3.1±3.2</w:t>
            </w:r>
          </w:p>
        </w:tc>
        <w:tc>
          <w:tcPr>
            <w:tcW w:w="763" w:type="pct"/>
            <w:tcBorders>
              <w:top w:val="nil"/>
              <w:left w:val="nil"/>
              <w:bottom w:val="single" w:sz="4" w:space="0" w:color="auto"/>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single" w:sz="4" w:space="0" w:color="auto"/>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single" w:sz="4" w:space="0" w:color="auto"/>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3" w:type="pct"/>
            <w:tcBorders>
              <w:top w:val="nil"/>
              <w:left w:val="nil"/>
              <w:bottom w:val="single" w:sz="4" w:space="0" w:color="auto"/>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c>
          <w:tcPr>
            <w:tcW w:w="761" w:type="pct"/>
            <w:gridSpan w:val="2"/>
            <w:tcBorders>
              <w:top w:val="nil"/>
              <w:left w:val="nil"/>
              <w:bottom w:val="single" w:sz="4" w:space="0" w:color="auto"/>
              <w:right w:val="nil"/>
            </w:tcBorders>
            <w:shd w:val="solid" w:color="FFFFFF" w:fill="auto"/>
          </w:tcPr>
          <w:p w:rsidR="00FA44F6" w:rsidRPr="00A403BC" w:rsidRDefault="00FA44F6" w:rsidP="00FA44F6">
            <w:pPr>
              <w:autoSpaceDE w:val="0"/>
              <w:autoSpaceDN w:val="0"/>
              <w:adjustRightInd w:val="0"/>
              <w:spacing w:after="0" w:line="240" w:lineRule="auto"/>
              <w:jc w:val="center"/>
              <w:rPr>
                <w:rFonts w:cs="Calibri"/>
                <w:color w:val="000000"/>
                <w:sz w:val="14"/>
                <w:szCs w:val="12"/>
              </w:rPr>
            </w:pPr>
          </w:p>
        </w:tc>
      </w:tr>
    </w:tbl>
    <w:p w:rsidR="001A3294" w:rsidRDefault="001A3294" w:rsidP="001A3294">
      <w:pPr>
        <w:spacing w:after="0" w:line="480" w:lineRule="auto"/>
      </w:pPr>
    </w:p>
    <w:p w:rsidR="001A3294" w:rsidRPr="009A12ED" w:rsidRDefault="001A3294" w:rsidP="001A3294">
      <w:pPr>
        <w:autoSpaceDE w:val="0"/>
        <w:autoSpaceDN w:val="0"/>
        <w:adjustRightInd w:val="0"/>
        <w:spacing w:after="0" w:line="480" w:lineRule="auto"/>
        <w:rPr>
          <w:rFonts w:cs="Times-Roman"/>
          <w:sz w:val="16"/>
          <w:szCs w:val="16"/>
        </w:rPr>
      </w:pPr>
      <w:r w:rsidRPr="009A12ED">
        <w:rPr>
          <w:rFonts w:cs="Times New Roman"/>
          <w:sz w:val="16"/>
          <w:szCs w:val="16"/>
        </w:rPr>
        <w:t>*age of the sample not of the specific group, the author however declared no difference among groups or adjusted the calculation for age.</w:t>
      </w:r>
      <w:r w:rsidRPr="009A12ED">
        <w:rPr>
          <w:rFonts w:cs="Times-Roman"/>
          <w:sz w:val="16"/>
          <w:szCs w:val="16"/>
        </w:rPr>
        <w:t xml:space="preserve"> </w:t>
      </w:r>
    </w:p>
    <w:p w:rsidR="001A3294" w:rsidRPr="009A12ED" w:rsidRDefault="001A3294" w:rsidP="001A3294">
      <w:pPr>
        <w:autoSpaceDE w:val="0"/>
        <w:autoSpaceDN w:val="0"/>
        <w:adjustRightInd w:val="0"/>
        <w:spacing w:after="0" w:line="480" w:lineRule="auto"/>
        <w:rPr>
          <w:rFonts w:cs="Times-Roman"/>
          <w:sz w:val="16"/>
          <w:szCs w:val="16"/>
        </w:rPr>
      </w:pPr>
    </w:p>
    <w:p w:rsidR="001A3294" w:rsidRPr="009A12ED" w:rsidRDefault="001A3294" w:rsidP="001A3294">
      <w:pPr>
        <w:spacing w:after="0" w:line="480" w:lineRule="auto"/>
        <w:rPr>
          <w:sz w:val="16"/>
          <w:szCs w:val="16"/>
        </w:rPr>
      </w:pPr>
      <w:proofErr w:type="gramStart"/>
      <w:r w:rsidRPr="009A12ED">
        <w:rPr>
          <w:sz w:val="16"/>
          <w:szCs w:val="16"/>
        </w:rPr>
        <w:t>†</w:t>
      </w:r>
      <w:r w:rsidRPr="009A12ED">
        <w:rPr>
          <w:rFonts w:cs="AdvOT863180fb"/>
          <w:sz w:val="16"/>
          <w:szCs w:val="16"/>
        </w:rPr>
        <w:t xml:space="preserve"> :</w:t>
      </w:r>
      <w:proofErr w:type="gramEnd"/>
      <w:r w:rsidRPr="009A12ED">
        <w:rPr>
          <w:rFonts w:cs="AdvOT863180fb"/>
          <w:sz w:val="16"/>
          <w:szCs w:val="16"/>
        </w:rPr>
        <w:t xml:space="preserve"> </w:t>
      </w:r>
      <w:r w:rsidRPr="009A12ED">
        <w:rPr>
          <w:sz w:val="16"/>
          <w:szCs w:val="16"/>
        </w:rPr>
        <w:t xml:space="preserve">Age was strongly associated with </w:t>
      </w:r>
      <w:proofErr w:type="spellStart"/>
      <w:r w:rsidRPr="009A12ED">
        <w:rPr>
          <w:sz w:val="16"/>
          <w:szCs w:val="16"/>
        </w:rPr>
        <w:t>sHA</w:t>
      </w:r>
      <w:proofErr w:type="spellEnd"/>
      <w:r w:rsidRPr="009A12ED">
        <w:rPr>
          <w:sz w:val="16"/>
          <w:szCs w:val="16"/>
        </w:rPr>
        <w:t xml:space="preserve"> and </w:t>
      </w:r>
      <w:proofErr w:type="spellStart"/>
      <w:r w:rsidRPr="009A12ED">
        <w:rPr>
          <w:sz w:val="16"/>
          <w:szCs w:val="16"/>
        </w:rPr>
        <w:t>uCTX</w:t>
      </w:r>
      <w:proofErr w:type="spellEnd"/>
      <w:r w:rsidRPr="009A12ED">
        <w:rPr>
          <w:sz w:val="16"/>
          <w:szCs w:val="16"/>
        </w:rPr>
        <w:t xml:space="preserve">-II levels. BMI appeared to be strongly associated with </w:t>
      </w:r>
      <w:proofErr w:type="spellStart"/>
      <w:r w:rsidRPr="009A12ED">
        <w:rPr>
          <w:sz w:val="16"/>
          <w:szCs w:val="16"/>
        </w:rPr>
        <w:t>pLeptin</w:t>
      </w:r>
      <w:proofErr w:type="spellEnd"/>
      <w:r w:rsidRPr="009A12ED">
        <w:rPr>
          <w:sz w:val="16"/>
          <w:szCs w:val="16"/>
        </w:rPr>
        <w:t xml:space="preserve"> levels (</w:t>
      </w:r>
      <w:proofErr w:type="spellStart"/>
      <w:r w:rsidRPr="009A12ED">
        <w:rPr>
          <w:sz w:val="16"/>
          <w:szCs w:val="16"/>
        </w:rPr>
        <w:t>SD</w:t>
      </w:r>
      <w:proofErr w:type="spellEnd"/>
      <w:r w:rsidRPr="009A12ED">
        <w:rPr>
          <w:sz w:val="16"/>
          <w:szCs w:val="16"/>
        </w:rPr>
        <w:t>)</w:t>
      </w:r>
      <w:r>
        <w:rPr>
          <w:sz w:val="16"/>
          <w:szCs w:val="16"/>
        </w:rPr>
        <w:t>.</w:t>
      </w:r>
    </w:p>
    <w:p w:rsidR="001A3294" w:rsidRDefault="001A3294" w:rsidP="001A3294">
      <w:pPr>
        <w:spacing w:after="0" w:line="480" w:lineRule="auto"/>
        <w:rPr>
          <w:rFonts w:cs="Times New Roman"/>
          <w:sz w:val="16"/>
          <w:szCs w:val="16"/>
        </w:rPr>
      </w:pPr>
    </w:p>
    <w:p w:rsidR="001A3294" w:rsidRPr="009A12ED" w:rsidRDefault="001A3294" w:rsidP="001A3294">
      <w:pPr>
        <w:spacing w:after="0" w:line="480" w:lineRule="auto"/>
        <w:rPr>
          <w:rFonts w:cs="Times New Roman"/>
          <w:sz w:val="16"/>
          <w:szCs w:val="16"/>
        </w:rPr>
      </w:pPr>
      <w:r w:rsidRPr="009A12ED">
        <w:rPr>
          <w:rFonts w:cs="Times New Roman"/>
          <w:sz w:val="16"/>
          <w:szCs w:val="16"/>
        </w:rPr>
        <w:t>¥: mean age calculated from the data available in the paper</w:t>
      </w:r>
      <w:r>
        <w:rPr>
          <w:rFonts w:cs="Times New Roman"/>
          <w:sz w:val="16"/>
          <w:szCs w:val="16"/>
        </w:rPr>
        <w:t>.</w:t>
      </w:r>
    </w:p>
    <w:p w:rsidR="001A3294" w:rsidRDefault="001A3294" w:rsidP="001A3294">
      <w:pPr>
        <w:spacing w:after="0" w:line="480" w:lineRule="auto"/>
        <w:rPr>
          <w:rFonts w:cs="Times New Roman"/>
          <w:sz w:val="16"/>
          <w:szCs w:val="16"/>
        </w:rPr>
      </w:pPr>
    </w:p>
    <w:p w:rsidR="001A3294" w:rsidRPr="009A12ED" w:rsidRDefault="001A3294" w:rsidP="001A3294">
      <w:pPr>
        <w:spacing w:after="0" w:line="480" w:lineRule="auto"/>
        <w:rPr>
          <w:rFonts w:cs="Times New Roman"/>
          <w:sz w:val="16"/>
          <w:szCs w:val="16"/>
        </w:rPr>
      </w:pPr>
      <w:r w:rsidRPr="009A12ED">
        <w:rPr>
          <w:rFonts w:cs="Times New Roman"/>
          <w:sz w:val="16"/>
          <w:szCs w:val="16"/>
        </w:rPr>
        <w:t>PBLs: circulating peripheral blood leukocytes</w:t>
      </w:r>
      <w:r>
        <w:rPr>
          <w:rFonts w:cs="Times New Roman"/>
          <w:sz w:val="16"/>
          <w:szCs w:val="16"/>
        </w:rPr>
        <w:t>.</w:t>
      </w:r>
    </w:p>
    <w:p w:rsidR="001A3294" w:rsidRDefault="001A3294" w:rsidP="001A3294">
      <w:pPr>
        <w:spacing w:after="0" w:line="480" w:lineRule="auto"/>
        <w:rPr>
          <w:rFonts w:cs="Times New Roman"/>
          <w:sz w:val="16"/>
          <w:szCs w:val="16"/>
        </w:rPr>
      </w:pPr>
    </w:p>
    <w:p w:rsidR="001A3294" w:rsidRPr="009A12ED" w:rsidRDefault="001A3294" w:rsidP="001A3294">
      <w:pPr>
        <w:spacing w:after="0" w:line="480" w:lineRule="auto"/>
        <w:rPr>
          <w:rFonts w:cs="Times New Roman"/>
          <w:sz w:val="16"/>
          <w:szCs w:val="16"/>
        </w:rPr>
      </w:pPr>
      <w:r w:rsidRPr="009A12ED">
        <w:rPr>
          <w:rFonts w:cs="Times New Roman"/>
          <w:sz w:val="16"/>
          <w:szCs w:val="16"/>
        </w:rPr>
        <w:t>CSQ-R: Coping Strategies Questionnaire-Revised (CSQ-R). The CSQ-R assesses passive and active coping techniques related to pain (21,22). Participants rated the frequency with which they engage in various coping techniques using a 7-point scale.</w:t>
      </w:r>
    </w:p>
    <w:p w:rsidR="001A3294" w:rsidRDefault="001A3294" w:rsidP="001A3294">
      <w:pPr>
        <w:spacing w:after="0" w:line="480" w:lineRule="auto"/>
        <w:rPr>
          <w:rFonts w:cs="Times New Roman"/>
          <w:sz w:val="16"/>
          <w:szCs w:val="16"/>
        </w:rPr>
      </w:pPr>
    </w:p>
    <w:p w:rsidR="001A3294" w:rsidRPr="009A12ED" w:rsidRDefault="001A3294" w:rsidP="001A3294">
      <w:pPr>
        <w:spacing w:after="0" w:line="480" w:lineRule="auto"/>
        <w:rPr>
          <w:rFonts w:cs="Times New Roman"/>
          <w:sz w:val="16"/>
          <w:szCs w:val="16"/>
        </w:rPr>
      </w:pPr>
      <w:r w:rsidRPr="009A12ED">
        <w:rPr>
          <w:rFonts w:cs="Times New Roman"/>
          <w:sz w:val="16"/>
          <w:szCs w:val="16"/>
        </w:rPr>
        <w:t>LOT-R: Life Orientation Test-Revised (LOT-R). The LOT-R is a 10-item questionnaire assessing dispositional optimism on a 5-point Likert scale.</w:t>
      </w:r>
    </w:p>
    <w:p w:rsidR="001A3294" w:rsidRPr="009A12ED" w:rsidRDefault="001A3294" w:rsidP="001A3294">
      <w:pPr>
        <w:spacing w:after="0" w:line="480" w:lineRule="auto"/>
        <w:rPr>
          <w:rFonts w:cs="Times New Roman"/>
          <w:sz w:val="16"/>
          <w:szCs w:val="16"/>
        </w:rPr>
      </w:pPr>
      <w:r w:rsidRPr="009A12ED">
        <w:rPr>
          <w:rFonts w:cs="Times New Roman"/>
          <w:sz w:val="16"/>
          <w:szCs w:val="16"/>
        </w:rPr>
        <w:t xml:space="preserve">KRS: Kohn Reactivity Scale (KRS). The KRS is commonly used to measure aspects of </w:t>
      </w:r>
      <w:proofErr w:type="gramStart"/>
      <w:r w:rsidRPr="009A12ED">
        <w:rPr>
          <w:rFonts w:cs="Times New Roman"/>
          <w:sz w:val="16"/>
          <w:szCs w:val="16"/>
        </w:rPr>
        <w:t>hypervigilance  and</w:t>
      </w:r>
      <w:proofErr w:type="gramEnd"/>
      <w:r w:rsidRPr="009A12ED">
        <w:rPr>
          <w:rFonts w:cs="Times New Roman"/>
          <w:sz w:val="16"/>
          <w:szCs w:val="16"/>
        </w:rPr>
        <w:t xml:space="preserve"> general reactivity and </w:t>
      </w:r>
      <w:proofErr w:type="spellStart"/>
      <w:r w:rsidRPr="009A12ED">
        <w:rPr>
          <w:rFonts w:cs="Times New Roman"/>
          <w:sz w:val="16"/>
          <w:szCs w:val="16"/>
        </w:rPr>
        <w:t>arousability</w:t>
      </w:r>
      <w:proofErr w:type="spellEnd"/>
      <w:r w:rsidRPr="009A12ED">
        <w:rPr>
          <w:rFonts w:cs="Times New Roman"/>
          <w:sz w:val="16"/>
          <w:szCs w:val="16"/>
        </w:rPr>
        <w:t xml:space="preserve"> (24) to common experiences across 24 items using a 5-point scale.</w:t>
      </w:r>
    </w:p>
    <w:p w:rsidR="001A3294" w:rsidRDefault="001A3294" w:rsidP="001A3294">
      <w:pPr>
        <w:spacing w:after="0" w:line="480" w:lineRule="auto"/>
        <w:rPr>
          <w:rFonts w:cs="Times New Roman"/>
          <w:sz w:val="16"/>
          <w:szCs w:val="16"/>
        </w:rPr>
      </w:pPr>
    </w:p>
    <w:p w:rsidR="001A3294" w:rsidRPr="009A12ED" w:rsidRDefault="001A3294" w:rsidP="001A3294">
      <w:pPr>
        <w:spacing w:after="0" w:line="480" w:lineRule="auto"/>
        <w:rPr>
          <w:rFonts w:cs="Times New Roman"/>
          <w:sz w:val="16"/>
          <w:szCs w:val="16"/>
        </w:rPr>
      </w:pPr>
      <w:r w:rsidRPr="009A12ED">
        <w:rPr>
          <w:rFonts w:cs="Times New Roman"/>
          <w:sz w:val="16"/>
          <w:szCs w:val="16"/>
        </w:rPr>
        <w:t>PANAS: Positive and Negative Affect Scale (PANAS). The PANAS consists of 20 items rated on a 5-point scale (26,27). High scores on pos</w:t>
      </w:r>
      <w:r>
        <w:rPr>
          <w:rFonts w:cs="Times New Roman"/>
          <w:sz w:val="16"/>
          <w:szCs w:val="16"/>
        </w:rPr>
        <w:t>itive affect reflect enthusiasm.</w:t>
      </w:r>
    </w:p>
    <w:p w:rsidR="001A3294" w:rsidRPr="009A12ED" w:rsidRDefault="001A3294" w:rsidP="001A3294">
      <w:pPr>
        <w:spacing w:after="0" w:line="480" w:lineRule="auto"/>
        <w:rPr>
          <w:rFonts w:cs="Times New Roman"/>
          <w:sz w:val="16"/>
          <w:szCs w:val="16"/>
        </w:rPr>
      </w:pPr>
      <w:r w:rsidRPr="009A12ED">
        <w:rPr>
          <w:rFonts w:cs="Times New Roman"/>
          <w:sz w:val="16"/>
          <w:szCs w:val="16"/>
        </w:rPr>
        <w:t>energy, and alertness, while high scores on negative affect reflect distress and aversive mood states.</w:t>
      </w:r>
    </w:p>
    <w:p w:rsidR="001A3294" w:rsidRDefault="001A3294" w:rsidP="001A3294">
      <w:pPr>
        <w:spacing w:after="0" w:line="480" w:lineRule="auto"/>
        <w:rPr>
          <w:rFonts w:cs="Times New Roman"/>
          <w:sz w:val="16"/>
          <w:szCs w:val="16"/>
        </w:rPr>
      </w:pPr>
    </w:p>
    <w:p w:rsidR="001A3294" w:rsidRPr="009A12ED" w:rsidRDefault="001A3294" w:rsidP="001A3294">
      <w:pPr>
        <w:spacing w:after="0" w:line="480" w:lineRule="auto"/>
        <w:rPr>
          <w:rFonts w:cs="Times New Roman"/>
          <w:sz w:val="16"/>
          <w:szCs w:val="16"/>
        </w:rPr>
      </w:pPr>
      <w:r w:rsidRPr="009A12ED">
        <w:rPr>
          <w:rFonts w:cs="Times New Roman"/>
          <w:sz w:val="16"/>
          <w:szCs w:val="16"/>
        </w:rPr>
        <w:t xml:space="preserve">PVAQ: Pain Vigilance and Awareness Questionnaire (PVAQ). Attention to pain was assessed with the PVAQ (28,29). Consisting of 16 items, participants indicated how frequently they engaged in various </w:t>
      </w:r>
      <w:proofErr w:type="spellStart"/>
      <w:r w:rsidRPr="009A12ED">
        <w:rPr>
          <w:rFonts w:cs="Times New Roman"/>
          <w:sz w:val="16"/>
          <w:szCs w:val="16"/>
        </w:rPr>
        <w:t>behaviors</w:t>
      </w:r>
      <w:proofErr w:type="spellEnd"/>
      <w:r w:rsidRPr="009A12ED">
        <w:rPr>
          <w:rFonts w:cs="Times New Roman"/>
          <w:sz w:val="16"/>
          <w:szCs w:val="16"/>
        </w:rPr>
        <w:t xml:space="preserve"> over the past few weeks using a 6-point scale.</w:t>
      </w:r>
    </w:p>
    <w:p w:rsidR="001A3294" w:rsidRDefault="001A3294" w:rsidP="001A3294">
      <w:pPr>
        <w:spacing w:after="0" w:line="480" w:lineRule="auto"/>
        <w:rPr>
          <w:rFonts w:cs="Times New Roman"/>
          <w:sz w:val="16"/>
          <w:szCs w:val="16"/>
        </w:rPr>
      </w:pPr>
    </w:p>
    <w:p w:rsidR="001A3294" w:rsidRPr="009A12ED" w:rsidRDefault="001A3294" w:rsidP="001A3294">
      <w:pPr>
        <w:spacing w:after="0" w:line="480" w:lineRule="auto"/>
        <w:rPr>
          <w:sz w:val="16"/>
          <w:szCs w:val="16"/>
        </w:rPr>
      </w:pPr>
      <w:r w:rsidRPr="009A12ED">
        <w:rPr>
          <w:rFonts w:cs="Times New Roman"/>
          <w:sz w:val="16"/>
          <w:szCs w:val="16"/>
        </w:rPr>
        <w:t>STAXI: State-Trait Anger Expression Inventory (STAXI). The STAXI is a 44-item questionnaire designed to evaluate anger (30). Participants rated the frequency/intensity of angry feelings on a 4-point scale. For the present study, the trait subscale was used, reflecting general anger.</w:t>
      </w:r>
    </w:p>
    <w:p w:rsidR="001A3294" w:rsidRDefault="001A3294" w:rsidP="001A3294">
      <w:pPr>
        <w:autoSpaceDE w:val="0"/>
        <w:autoSpaceDN w:val="0"/>
        <w:adjustRightInd w:val="0"/>
        <w:spacing w:after="0" w:line="480" w:lineRule="auto"/>
        <w:rPr>
          <w:sz w:val="16"/>
          <w:szCs w:val="16"/>
        </w:rPr>
      </w:pPr>
    </w:p>
    <w:p w:rsidR="001A3294" w:rsidRPr="009A12ED" w:rsidRDefault="001A3294" w:rsidP="001A3294">
      <w:pPr>
        <w:autoSpaceDE w:val="0"/>
        <w:autoSpaceDN w:val="0"/>
        <w:adjustRightInd w:val="0"/>
        <w:spacing w:after="0" w:line="480" w:lineRule="auto"/>
        <w:rPr>
          <w:sz w:val="16"/>
          <w:szCs w:val="16"/>
        </w:rPr>
      </w:pPr>
      <w:r w:rsidRPr="009A12ED">
        <w:rPr>
          <w:sz w:val="16"/>
          <w:szCs w:val="16"/>
        </w:rPr>
        <w:t xml:space="preserve">CHECK COHORT CRITERIA: </w:t>
      </w:r>
      <w:r w:rsidRPr="009A12ED">
        <w:rPr>
          <w:sz w:val="16"/>
          <w:szCs w:val="16"/>
          <w:lang w:val="en-US"/>
        </w:rPr>
        <w:t>Inclusion criteria of the CHECK study are: (1) being aged between 45 and 65 years; (2) pain and/ or stiffness in the knee and/or hip; (3)  having at least two of the following clinical criteria for knee OA of the American College of Rheumatology (ACR): knee pain, morning stiffness &lt;30 min, crepitus or bony tenderness ( participants who met this criterion were followed annually); and (4) having had no consultation with a physician for these</w:t>
      </w:r>
      <w:r>
        <w:rPr>
          <w:sz w:val="16"/>
          <w:szCs w:val="16"/>
          <w:lang w:val="en-US"/>
        </w:rPr>
        <w:t xml:space="preserve"> </w:t>
      </w:r>
      <w:r w:rsidRPr="009A12ED">
        <w:rPr>
          <w:sz w:val="16"/>
          <w:szCs w:val="16"/>
          <w:lang w:val="en-US"/>
        </w:rPr>
        <w:t>symptoms (or first consultation was within the 6 months immediately preceding inclusion)</w:t>
      </w:r>
      <w:r>
        <w:rPr>
          <w:sz w:val="16"/>
          <w:szCs w:val="16"/>
          <w:lang w:val="en-US"/>
        </w:rPr>
        <w:t>.</w:t>
      </w:r>
    </w:p>
    <w:p w:rsidR="001A3294" w:rsidRPr="009A12ED" w:rsidRDefault="001A3294" w:rsidP="001A3294">
      <w:pPr>
        <w:autoSpaceDE w:val="0"/>
        <w:autoSpaceDN w:val="0"/>
        <w:adjustRightInd w:val="0"/>
        <w:spacing w:after="0" w:line="480" w:lineRule="auto"/>
        <w:rPr>
          <w:sz w:val="16"/>
          <w:szCs w:val="16"/>
        </w:rPr>
      </w:pPr>
    </w:p>
    <w:p w:rsidR="001A3294" w:rsidRPr="009A12ED" w:rsidRDefault="001A3294" w:rsidP="001A3294">
      <w:pPr>
        <w:autoSpaceDE w:val="0"/>
        <w:autoSpaceDN w:val="0"/>
        <w:adjustRightInd w:val="0"/>
        <w:spacing w:after="0" w:line="480" w:lineRule="auto"/>
        <w:rPr>
          <w:sz w:val="16"/>
          <w:szCs w:val="16"/>
        </w:rPr>
      </w:pPr>
      <w:r w:rsidRPr="009A12ED">
        <w:rPr>
          <w:sz w:val="16"/>
          <w:szCs w:val="16"/>
        </w:rPr>
        <w:t>BDI: Beck Depression Inventory</w:t>
      </w:r>
      <w:r>
        <w:rPr>
          <w:sz w:val="16"/>
          <w:szCs w:val="16"/>
        </w:rPr>
        <w:t>.</w:t>
      </w:r>
    </w:p>
    <w:p w:rsidR="001A3294" w:rsidRPr="009A12ED" w:rsidRDefault="001A3294" w:rsidP="001A3294">
      <w:pPr>
        <w:autoSpaceDE w:val="0"/>
        <w:autoSpaceDN w:val="0"/>
        <w:adjustRightInd w:val="0"/>
        <w:spacing w:after="0" w:line="480" w:lineRule="auto"/>
        <w:rPr>
          <w:sz w:val="16"/>
          <w:szCs w:val="16"/>
        </w:rPr>
      </w:pPr>
    </w:p>
    <w:p w:rsidR="001A3294" w:rsidRPr="009A12ED" w:rsidRDefault="001A3294" w:rsidP="001A3294">
      <w:pPr>
        <w:autoSpaceDE w:val="0"/>
        <w:autoSpaceDN w:val="0"/>
        <w:adjustRightInd w:val="0"/>
        <w:spacing w:after="0" w:line="480" w:lineRule="auto"/>
        <w:rPr>
          <w:sz w:val="16"/>
          <w:szCs w:val="16"/>
        </w:rPr>
      </w:pPr>
      <w:r w:rsidRPr="009A12ED">
        <w:rPr>
          <w:sz w:val="16"/>
          <w:szCs w:val="16"/>
        </w:rPr>
        <w:t>WORMS: Whole-Organ Magnetic Resonance Imaging Score</w:t>
      </w:r>
      <w:r>
        <w:rPr>
          <w:sz w:val="16"/>
          <w:szCs w:val="16"/>
        </w:rPr>
        <w:t>.</w:t>
      </w:r>
    </w:p>
    <w:p w:rsidR="001A3294" w:rsidRPr="009A12ED" w:rsidRDefault="001A3294" w:rsidP="001A3294">
      <w:pPr>
        <w:autoSpaceDE w:val="0"/>
        <w:autoSpaceDN w:val="0"/>
        <w:adjustRightInd w:val="0"/>
        <w:spacing w:after="0" w:line="480" w:lineRule="auto"/>
        <w:rPr>
          <w:sz w:val="16"/>
          <w:szCs w:val="16"/>
        </w:rPr>
      </w:pPr>
    </w:p>
    <w:p w:rsidR="001A3294" w:rsidRPr="009A12ED" w:rsidRDefault="001A3294" w:rsidP="001A3294">
      <w:pPr>
        <w:autoSpaceDE w:val="0"/>
        <w:autoSpaceDN w:val="0"/>
        <w:adjustRightInd w:val="0"/>
        <w:spacing w:after="0" w:line="480" w:lineRule="auto"/>
        <w:rPr>
          <w:sz w:val="16"/>
          <w:szCs w:val="16"/>
        </w:rPr>
      </w:pPr>
      <w:r w:rsidRPr="009A12ED">
        <w:rPr>
          <w:sz w:val="16"/>
          <w:szCs w:val="16"/>
        </w:rPr>
        <w:t>NPRS: numeric pain rating scale</w:t>
      </w:r>
      <w:r>
        <w:rPr>
          <w:sz w:val="16"/>
          <w:szCs w:val="16"/>
        </w:rPr>
        <w:t>.</w:t>
      </w:r>
    </w:p>
    <w:p w:rsidR="001A3294" w:rsidRDefault="001A3294" w:rsidP="001A3294">
      <w:pPr>
        <w:rPr>
          <w:rFonts w:eastAsia="Times New Roman" w:cs="Times New Roman"/>
          <w:b/>
          <w:color w:val="000000"/>
          <w:lang w:val="en-US" w:eastAsia="it-IT"/>
        </w:rPr>
      </w:pPr>
      <w:r>
        <w:rPr>
          <w:rFonts w:eastAsia="Times New Roman" w:cs="Times New Roman"/>
          <w:b/>
          <w:color w:val="000000"/>
          <w:lang w:val="en-US" w:eastAsia="it-IT"/>
        </w:rPr>
        <w:br w:type="page"/>
      </w:r>
    </w:p>
    <w:p w:rsidR="001A3294" w:rsidRDefault="00064616" w:rsidP="001A3294">
      <w:pPr>
        <w:spacing w:after="0"/>
        <w:rPr>
          <w:rFonts w:eastAsia="Times New Roman" w:cs="Times New Roman"/>
          <w:color w:val="000000"/>
          <w:lang w:val="en-US" w:eastAsia="it-IT"/>
        </w:rPr>
      </w:pPr>
      <w:r>
        <w:rPr>
          <w:rFonts w:eastAsia="Times New Roman" w:cs="Times New Roman"/>
          <w:color w:val="000000"/>
          <w:lang w:val="en-US" w:eastAsia="it-IT"/>
        </w:rPr>
        <w:t xml:space="preserve">Table </w:t>
      </w:r>
      <w:proofErr w:type="spellStart"/>
      <w:r>
        <w:rPr>
          <w:rFonts w:eastAsia="Times New Roman" w:cs="Times New Roman"/>
          <w:color w:val="000000"/>
          <w:lang w:val="en-US" w:eastAsia="it-IT"/>
        </w:rPr>
        <w:t>S2</w:t>
      </w:r>
      <w:proofErr w:type="spellEnd"/>
      <w:r w:rsidR="001A3294">
        <w:rPr>
          <w:rFonts w:eastAsia="Times New Roman" w:cs="Times New Roman"/>
          <w:color w:val="000000"/>
          <w:lang w:val="en-US" w:eastAsia="it-IT"/>
        </w:rPr>
        <w:t>: Phenotype name reported in the original paper</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1846"/>
        <w:gridCol w:w="2056"/>
        <w:gridCol w:w="2055"/>
        <w:gridCol w:w="2055"/>
        <w:gridCol w:w="2055"/>
        <w:gridCol w:w="2055"/>
        <w:gridCol w:w="207"/>
        <w:gridCol w:w="1845"/>
      </w:tblGrid>
      <w:tr w:rsidR="002B6CFE" w:rsidRPr="00B93F2B" w:rsidTr="00E04F3C">
        <w:trPr>
          <w:trHeight w:val="416"/>
        </w:trPr>
        <w:tc>
          <w:tcPr>
            <w:tcW w:w="650" w:type="pct"/>
            <w:tcBorders>
              <w:top w:val="single" w:sz="4" w:space="0" w:color="auto"/>
              <w:left w:val="nil"/>
              <w:bottom w:val="nil"/>
              <w:right w:val="nil"/>
            </w:tcBorders>
            <w:shd w:val="solid" w:color="FFFFFF" w:fill="auto"/>
            <w:vAlign w:val="center"/>
          </w:tcPr>
          <w:p w:rsidR="002B6CFE" w:rsidRPr="00B93F2B" w:rsidRDefault="002B6CFE" w:rsidP="003C6A78">
            <w:pPr>
              <w:autoSpaceDE w:val="0"/>
              <w:autoSpaceDN w:val="0"/>
              <w:adjustRightInd w:val="0"/>
              <w:spacing w:after="0" w:line="240" w:lineRule="auto"/>
              <w:jc w:val="center"/>
              <w:rPr>
                <w:rFonts w:cs="Calibri"/>
                <w:color w:val="000000"/>
                <w:sz w:val="14"/>
                <w:szCs w:val="14"/>
              </w:rPr>
            </w:pPr>
          </w:p>
        </w:tc>
        <w:tc>
          <w:tcPr>
            <w:tcW w:w="3698" w:type="pct"/>
            <w:gridSpan w:val="6"/>
            <w:tcBorders>
              <w:top w:val="single" w:sz="4" w:space="0" w:color="auto"/>
              <w:left w:val="nil"/>
              <w:bottom w:val="single" w:sz="4" w:space="0" w:color="auto"/>
              <w:right w:val="nil"/>
            </w:tcBorders>
            <w:shd w:val="solid" w:color="FFFFFF" w:fill="auto"/>
            <w:vAlign w:val="center"/>
          </w:tcPr>
          <w:p w:rsidR="002B6CFE" w:rsidRPr="00B93F2B" w:rsidRDefault="002B6CFE" w:rsidP="003C6A78">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Phenotypes</w:t>
            </w:r>
          </w:p>
        </w:tc>
        <w:tc>
          <w:tcPr>
            <w:tcW w:w="652" w:type="pct"/>
            <w:tcBorders>
              <w:top w:val="single" w:sz="4" w:space="0" w:color="auto"/>
              <w:left w:val="nil"/>
              <w:bottom w:val="single" w:sz="4" w:space="0" w:color="auto"/>
              <w:right w:val="nil"/>
            </w:tcBorders>
            <w:shd w:val="solid" w:color="FFFFFF" w:fill="auto"/>
          </w:tcPr>
          <w:p w:rsidR="002B6CFE" w:rsidRPr="00B93F2B" w:rsidRDefault="002B6CFE" w:rsidP="003C6A78">
            <w:pPr>
              <w:autoSpaceDE w:val="0"/>
              <w:autoSpaceDN w:val="0"/>
              <w:adjustRightInd w:val="0"/>
              <w:spacing w:after="0" w:line="240" w:lineRule="auto"/>
              <w:jc w:val="center"/>
              <w:rPr>
                <w:rFonts w:cs="Calibri"/>
                <w:color w:val="000000"/>
                <w:sz w:val="14"/>
                <w:szCs w:val="14"/>
              </w:rPr>
            </w:pPr>
          </w:p>
        </w:tc>
      </w:tr>
      <w:tr w:rsidR="002B6CFE" w:rsidRPr="00B93F2B" w:rsidTr="00E04F3C">
        <w:trPr>
          <w:trHeight w:val="408"/>
        </w:trPr>
        <w:tc>
          <w:tcPr>
            <w:tcW w:w="650" w:type="pct"/>
            <w:tcBorders>
              <w:top w:val="nil"/>
              <w:left w:val="nil"/>
              <w:bottom w:val="single" w:sz="4" w:space="0" w:color="auto"/>
              <w:right w:val="nil"/>
            </w:tcBorders>
            <w:shd w:val="solid" w:color="FFFFFF" w:fill="auto"/>
            <w:vAlign w:val="center"/>
          </w:tcPr>
          <w:p w:rsidR="002B6CFE" w:rsidRPr="00B93F2B" w:rsidRDefault="002B6CFE" w:rsidP="002B6CFE">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Author/year</w:t>
            </w:r>
          </w:p>
        </w:tc>
        <w:tc>
          <w:tcPr>
            <w:tcW w:w="723" w:type="pct"/>
            <w:tcBorders>
              <w:top w:val="single" w:sz="4" w:space="0" w:color="auto"/>
              <w:left w:val="nil"/>
              <w:bottom w:val="single" w:sz="4" w:space="0" w:color="auto"/>
              <w:right w:val="nil"/>
            </w:tcBorders>
            <w:shd w:val="solid" w:color="FFFFFF" w:fill="auto"/>
            <w:vAlign w:val="center"/>
          </w:tcPr>
          <w:p w:rsidR="002B6CFE" w:rsidRPr="00B93F2B" w:rsidRDefault="002B6CFE" w:rsidP="002B6CFE">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Chronic pain</w:t>
            </w:r>
          </w:p>
        </w:tc>
        <w:tc>
          <w:tcPr>
            <w:tcW w:w="723" w:type="pct"/>
            <w:tcBorders>
              <w:top w:val="single" w:sz="4" w:space="0" w:color="auto"/>
              <w:left w:val="nil"/>
              <w:bottom w:val="single" w:sz="4" w:space="0" w:color="auto"/>
              <w:right w:val="nil"/>
            </w:tcBorders>
            <w:shd w:val="solid" w:color="FFFFFF" w:fill="auto"/>
            <w:vAlign w:val="center"/>
          </w:tcPr>
          <w:p w:rsidR="002B6CFE" w:rsidRPr="00B93F2B" w:rsidRDefault="002B6CFE" w:rsidP="002B6CFE">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Inflammatory</w:t>
            </w:r>
          </w:p>
        </w:tc>
        <w:tc>
          <w:tcPr>
            <w:tcW w:w="723" w:type="pct"/>
            <w:tcBorders>
              <w:top w:val="single" w:sz="4" w:space="0" w:color="auto"/>
              <w:left w:val="nil"/>
              <w:bottom w:val="single" w:sz="4" w:space="0" w:color="auto"/>
              <w:right w:val="nil"/>
            </w:tcBorders>
            <w:shd w:val="solid" w:color="FFFFFF" w:fill="auto"/>
            <w:vAlign w:val="center"/>
          </w:tcPr>
          <w:p w:rsidR="002B6CFE" w:rsidRPr="00B93F2B" w:rsidRDefault="002B6CFE" w:rsidP="002B6CFE">
            <w:pPr>
              <w:autoSpaceDE w:val="0"/>
              <w:autoSpaceDN w:val="0"/>
              <w:adjustRightInd w:val="0"/>
              <w:spacing w:after="0" w:line="240" w:lineRule="auto"/>
              <w:jc w:val="center"/>
              <w:rPr>
                <w:rFonts w:cs="Calibri"/>
                <w:color w:val="000000"/>
                <w:sz w:val="14"/>
                <w:szCs w:val="14"/>
              </w:rPr>
            </w:pPr>
            <w:r w:rsidRPr="00841B7A">
              <w:rPr>
                <w:rFonts w:eastAsia="Times New Roman" w:cs="Times New Roman"/>
                <w:color w:val="000000"/>
                <w:sz w:val="14"/>
                <w:szCs w:val="14"/>
                <w:lang w:val="it-IT" w:eastAsia="it-IT"/>
              </w:rPr>
              <w:t>Metabolic syndrome</w:t>
            </w:r>
          </w:p>
        </w:tc>
        <w:tc>
          <w:tcPr>
            <w:tcW w:w="723" w:type="pct"/>
            <w:tcBorders>
              <w:top w:val="single" w:sz="4" w:space="0" w:color="auto"/>
              <w:left w:val="nil"/>
              <w:bottom w:val="single" w:sz="4" w:space="0" w:color="auto"/>
              <w:right w:val="nil"/>
            </w:tcBorders>
            <w:shd w:val="solid" w:color="FFFFFF" w:fill="auto"/>
            <w:vAlign w:val="center"/>
          </w:tcPr>
          <w:p w:rsidR="002B6CFE" w:rsidRPr="00B93F2B" w:rsidRDefault="00E233B0" w:rsidP="002B6CFE">
            <w:pPr>
              <w:autoSpaceDE w:val="0"/>
              <w:autoSpaceDN w:val="0"/>
              <w:adjustRightInd w:val="0"/>
              <w:spacing w:after="0" w:line="240" w:lineRule="auto"/>
              <w:jc w:val="center"/>
              <w:rPr>
                <w:rFonts w:cs="Calibri"/>
                <w:color w:val="000000"/>
                <w:sz w:val="14"/>
                <w:szCs w:val="14"/>
              </w:rPr>
            </w:pPr>
            <w:r>
              <w:rPr>
                <w:rFonts w:cs="Calibri"/>
                <w:color w:val="000000"/>
                <w:sz w:val="14"/>
                <w:szCs w:val="14"/>
              </w:rPr>
              <w:t>Bone and cartilage metabolism</w:t>
            </w:r>
          </w:p>
        </w:tc>
        <w:tc>
          <w:tcPr>
            <w:tcW w:w="723" w:type="pct"/>
            <w:tcBorders>
              <w:top w:val="single" w:sz="4" w:space="0" w:color="auto"/>
              <w:left w:val="nil"/>
              <w:bottom w:val="single" w:sz="4" w:space="0" w:color="auto"/>
              <w:right w:val="nil"/>
            </w:tcBorders>
            <w:shd w:val="solid" w:color="FFFFFF" w:fill="auto"/>
            <w:vAlign w:val="center"/>
          </w:tcPr>
          <w:p w:rsidR="002B6CFE" w:rsidRPr="00B93F2B" w:rsidRDefault="002B6CFE" w:rsidP="002B6CFE">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Mechanical overload</w:t>
            </w:r>
          </w:p>
        </w:tc>
        <w:tc>
          <w:tcPr>
            <w:tcW w:w="723" w:type="pct"/>
            <w:gridSpan w:val="2"/>
            <w:tcBorders>
              <w:top w:val="single" w:sz="4" w:space="0" w:color="auto"/>
              <w:left w:val="nil"/>
              <w:bottom w:val="single" w:sz="4" w:space="0" w:color="auto"/>
              <w:right w:val="nil"/>
            </w:tcBorders>
            <w:shd w:val="solid" w:color="FFFFFF" w:fill="auto"/>
            <w:vAlign w:val="center"/>
          </w:tcPr>
          <w:p w:rsidR="002B6CFE" w:rsidRPr="00B93F2B" w:rsidRDefault="002B6CFE" w:rsidP="002B6CFE">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Minimal joint disease</w:t>
            </w: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Attur 2011</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"10.1002/art.30360 [doi]", "ISSN" : "1529-0131; 0004-3591", "abstract" : "OBJECTIVE: To evaluate whether gene expression profiles could serve as biomarkers of symptomatic knee osteoarthritis (OA) by examining gene expression profiles in peripheral blood leukocytes (PBLs) from patients with OA compared with those from non-OA controls, and to determine whether candidate genomic biomarkers (PBL expression of inflammatory genes) predict an increased risk of disease progression in patients with symptomatic radiographic knee OA. METHODS: Three independent cohorts of patients with knee OA and non-OA control subjects were studied. Two cohorts (a learning cohort and a validation cohort) were recruited at New York University Hospital for Joint Diseases (NYUHJD), and 1 cohort (a validation cohort) was recruited at Duke University Medical Center. PBL gene expression was assessed using Affymetrix microarray and was confirmed by quantitative polymerase chain reaction (qPCR). Radiographic progression at 2 years was assessed in 86 patients. RESULTS: We identified 173 genes that were significantly up-regulated or down-regulated (&gt;/=1.5-fold change) in OA PBLs, at a false discovery rate of 5%. Cluster analysis revealed 2 distinct subgroups among the patients with OA: those in whom the expression of interleukin-1beta (IL-1beta) was increased &gt;/=2-fold compared with controls, and those in whom the expression of IL-1beta was comparable with that in controls. Overexpression of IL-1beta in these OA subclasses was validated using qPCR in all 3 cohorts. Patients with the inflammatory \"IL-1beta signature\" had higher pain scores and decreased function and were at higher risk of radiographic progression of OA. CONCLUSION: PBLs from patients with symptomatic knee OA display a characteristic transcriptome profile. Moreover, increased expression of IL-1beta identifies a subset of patients with OA who have increased pain and are at higher risk of radiographic progression of OA.", "author" : [ { "dropping-particle" : "", "family" : "Attur", "given" : "M", "non-dropping-particle" : "", "parse-names" : false, "suffix" : "" }, { "dropping-particle" : "", "family" : "Belitskaya-Levy", "given" : "I", "non-dropping-particle" : "", "parse-names" : false, "suffix" : "" }, { "dropping-particle" : "", "family" : "Oh", "given" : "C", "non-dropping-particle" : "", "parse-names" : false, "suffix" : "" }, { "dropping-particle" : "", "family" : "Krasnokutsky", "given" : "S", "non-dropping-particle" : "", "parse-names" : false, "suffix" : "" }, { "dropping-particle" : "", "family" : "Greenberg", "given" : "J", "non-dropping-particle" : "", "parse-names" : false, "suffix" : "" }, { "dropping-particle" : "", "family" : "Samuels", "given" : "J", "non-dropping-particle" : "", "parse-names" : false, "suffix" : "" }, { "dropping-particle" : "", "family" : "Smiles", "given" : "S", "non-dropping-particle" : "", "parse-names" : false, "suffix" : "" }, { "dropping-particle" : "", "family" : "Lee", "given" : "S", "non-dropping-particle" : "", "parse-names" : false, "suffix" : "" }, { "dropping-particle" : "", "family" : "Patel", "given" : "J", "non-dropping-particle" : "", "parse-names" : false, "suffix" : "" }, { "dropping-particle" : "", "family" : "Al-Mussawir", "given" : "H", "non-dropping-particle" : "", "parse-names" : false, "suffix" : "" }, { "dropping-particle" : "", "family" : "McDaniel", "given" : "G", "non-dropping-particle" : "", "parse-names" : false, "suffix" : "" }, { "dropping-particle" : "", "family" : "Kraus", "given" : "V B", "non-dropping-particle" : "", "parse-names" : false, "suffix" : "" }, { "dropping-particle" : "", "family" : "Abramson", "given" : "S B", "non-dropping-particle" : "", "parse-names" : false, "suffix" : "" } ], "container-title" : "Arthritis and Rheumatism", "id" : "ITEM-1", "issue" : "7", "issued" : { "date-parts" : [ [ "2011", "7" ] ] }, "note" : "LR: 20141022; CI: Copyright (c) 2011; GR: R01 AR048769/AR/NIAMS NIH HHS/United States; GR: R01 AR048769-05/AR/NIAMS NIH HHS/United States; GR: R01 AR052873/AR/NIAMS NIH HHS/United States; GR: R01 AR052873-06/AR/NIAMS NIH HHS/United States; GR: R01 AR054817/AR/NIAMS NIH HHS/United States; GR: R01-AR-048769/AR/NIAMS NIH HHS/United States; GR: R01-AR-052873/AR/NIAMS NIH HHS/United States; GR: U01 AR050898/AR/NIAMS NIH HHS/United States; GR: U01 AR050898-05/AR/NIAMS NIH HHS/United States; GR: U01-AR-050898/AR/NIAMS NIH HHS/United States; JID: 0370605; 0 (Interleukin-1beta); NIHMS281376; OID: NLM: NIHMS281376; OID: NLM: PMC3128429; ppublish", "page" : "1908-1917", "publisher" : "by the American College of Rheumatology", "publisher-place" : "New York University School of Medicine, New York, New York, USA.", "title" : "Increased interleukin-1beta gene expression in peripheral blood leukocytes is associated with increased pain and predicts risk for progression of symptomatic knee osteoarthritis", "type" : "article-journal", "volume" : "63" }, "uris" : [ "http://www.mendeley.com/documents/?uuid=7967bd3b-04cc-4cf0-bc62-d7d8843d8028" ] } ], "mendeley" : { "formattedCitation" : "[18]", "plainTextFormattedCitation" : "[18]", "previouslyFormattedCitation" : "[18]"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[18]</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Group not named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Bae 2010</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"10.1177/1947603509354991 [doi]", "ISSN" : "1947-6035; 1947-6035", "PMID" : "20664706", "abstract" : "OBJECTIVE: Treatments for articular cartilage lesions could benefit from characterization of lesion patterns and their progression to end-stage osteoarthritis. The objective of this study was to identify, quantitatively, topographic patterns of cartilage lesions in the human knee. DESIGN: Photographs were taken of 127 unilateral distal femora (from 109 cadavers and 18 arthroplasty remnants) with full-thickness cartilage lesions. Using digital image analysis, the lesions were localized and normalized lesion size was determined for the patellofemoral groove (PFG) and the lateral and medial femoral condyles (LFC, MFC). Samples were classified into patterns using cluster analysis of the lesion size at each compartment. For each pattern, maps showing the extent and frequency of lesions were created. RESULTS: Four main patterns (a-d) were identified (each p&lt;0.001), with the lesion size varying from small (a) to large in distinct regions (b-d). Pattern b had a predominant lesion (23% area) in the MFC, and smaller (&lt;3%) lesions elsewhere. Pattern c had predominant lesions in the LFC (19%) and MFC (10%). Pattern d had a predominant lesion in the PFG (15%) and smaller lesions in the MFC (6%) and LFC (2%). The sub-patterns of a (a1, a2, a3) had relatively small lesions, with similarity between a2 and b, and a3 and d. CONCLUSION: The present methods facilitated quantitative identification of distinct topographic patterns of full-thickness cartilage lesions, based on lesion size and location. These results have implications for stratifying OA patients using precise quantitative methods and, with additional longitudinal data, targeting cartilage treatments.", "author" : [ { "dropping-particle" : "", "family" : "Bae", "given" : "Won C", "non-dropping-particle" : "", "parse-names" : false, "suffix" : "" }, { "dropping-particle" : "", "family" : "Payanal", "given" : "Melanie M", "non-dropping-particle" : "", "parse-names" : false, "suffix" : "" }, { "dropping-particle" : "", "family" : "Chen", "given" : "Albert C", "non-dropping-particle" : "", "parse-names" : false, "suffix" : "" }, { "dropping-particle" : "", "family" : "Hsieh-Bonassera", "given" : "Nancy D", "non-dropping-particle" : "", "parse-names" : false, "suffix" : "" }, { "dropping-particle" : "", "family" : "Ballard", "given" : "Brooke L", "non-dropping-particle" : "", "parse-names" : false, "suffix" : "" }, { "dropping-particle" : "", "family" : "Lotz", "given" : "Martin K", "non-dropping-particle" : "", "parse-names" : false, "suffix" : "" }, { "dropping-particle" : "", "family" : "Coutts", "given" : "Richard D", "non-dropping-particle" : "", "parse-names" : false, "suffix" : "" }, { "dropping-particle" : "", "family" : "Bugbee", "given" : "William D", "non-dropping-particle" : "", "parse-names" : false, "suffix" : "" }, { "dropping-particle" : "", "family" : "Sah", "given" : "Robert L", "non-dropping-particle" : "", "parse-names" : false, "suffix" : "" } ], "container-title" : "Cartilage", "id" : "ITEM-1", "issue" : "1", "issued" : { "date-parts" : [ [ "2010", "1" ] ] }, "note" : "From Duplicate 2 (Topographic Patterns of Cartilage Lesions in Knee Osteoarthritis - Bae, W C; Payanal, M M; Chen, A C; Hsieh-Bonassera, N D; Ballard, B L; Lotz, M K; Coutts, R D; Bugbee, W D; Sah, R L)\n\nGR: P01 AG007996/AG/NIA NIH HHS/United States; GR: P01 AG007996-160004/AG/NIA NIH HHS/United States; GR: P01 AG007996-17A2/AG/NIA NIH HHS/United States; GR: R01 AR044058/AR/NIAMS NIH HHS/United States; GR: R01 AR044058-14/AR/NIAMS NIH HHS/United States; GR: R01 AR044058-14S1/AR/NIAMS NIH HHS/United States; GR: R01 AR051565/AR/NIAMS NIH HHS/United States; GR: R01 AR051565-04/AR/NIAMS NIH HHS/United States; GR: R01 AR051565-04S1/AR/NIAMS NIH HHS/United States; GR: R01 AR055637/AR/NIAMS NIH HHS/United States; GR: R01 AR055637-02/AR/NIAMS NIH HHS/United States; GR: R01 AR055637-02S1/AR/NIAMS NIH HHS/United States; JID: 101518378; NIHMS170498; ppublish", "page" : "10-19", "publisher-place" : "Department of Radiology, University of California-San Diego, La Jolla, CA.", "title" : "Topographic Patterns of Cartilage Lesions in Knee Osteoarthritis", "type" : "article-journal", "volume" : "1" }, "uris" : [ "http://www.mendeley.com/documents/?uuid=17f44c7c-30c1-484a-bc04-e6a51d36e24f" ] } ], "mendeley" : { "formattedCitation" : "[54]", "manualFormatting" : "[19]", "plainTextFormattedCitation" : "[54]", "previouslyFormattedCitation" : "[54]"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Pr>
                <w:rFonts w:eastAsia="Times New Roman" w:cs="Times New Roman"/>
                <w:noProof/>
                <w:color w:val="000000"/>
                <w:sz w:val="14"/>
                <w:szCs w:val="14"/>
                <w:lang w:val="it-IT" w:eastAsia="it-IT"/>
              </w:rPr>
              <w:t>[19</w:t>
            </w:r>
            <w:r w:rsidRPr="00B468F6">
              <w:rPr>
                <w:rFonts w:eastAsia="Times New Roman" w:cs="Times New Roman"/>
                <w:noProof/>
                <w:color w:val="000000"/>
                <w:sz w:val="14"/>
                <w:szCs w:val="14"/>
                <w:lang w:val="it-IT" w:eastAsia="it-IT"/>
              </w:rPr>
              <w:t>]</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1: MFC*</w:t>
            </w:r>
          </w:p>
          <w:p w:rsidR="00FA44F6" w:rsidRPr="00B93F2B" w:rsidRDefault="00FA44F6" w:rsidP="00E04F3C">
            <w:pPr>
              <w:autoSpaceDE w:val="0"/>
              <w:autoSpaceDN w:val="0"/>
              <w:adjustRightInd w:val="0"/>
              <w:spacing w:after="0" w:line="240" w:lineRule="auto"/>
              <w:jc w:val="center"/>
              <w:rPr>
                <w:rFonts w:cs="Calibri"/>
                <w:color w:val="000000"/>
                <w:sz w:val="14"/>
                <w:szCs w:val="14"/>
                <w:vertAlign w:val="superscript"/>
              </w:rPr>
            </w:pPr>
            <w:r w:rsidRPr="00B93F2B">
              <w:rPr>
                <w:rFonts w:cs="Calibri"/>
                <w:color w:val="000000"/>
                <w:sz w:val="14"/>
                <w:szCs w:val="14"/>
              </w:rPr>
              <w:t>2:PFG</w:t>
            </w:r>
            <w:r w:rsidRPr="00B93F2B">
              <w:rPr>
                <w:rFonts w:cs="Calibri"/>
                <w:color w:val="000000"/>
                <w:sz w:val="14"/>
                <w:szCs w:val="14"/>
                <w:vertAlign w:val="superscript"/>
              </w:rPr>
              <w:t>#</w:t>
            </w: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E04F3C" w:rsidRDefault="00FA44F6" w:rsidP="00BE02CD">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Berry 2010a</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"10.3899/jrheum.091055 [doi]", "ISSN" : "0315-162X; 0315-162X", "abstract" : "OBJECTIVE: To determine whether serum markers of bone formation and resorption, used individually or in combination, can be used to identify subgroups who lose cartilage volume at different rates over 2 years within a knee osteoarthritis (OA) population. METHODS: Changes in cartilage volume over 2 years were measured in 117 subjects with knee OA using magnetic resonance imaging. We examined relationships between change in cartilage volume and baseline serum markers of bone formation [intact N-terminal propeptide of type I procollagen (PINP) and osteocalcin] and resorption [N-telopeptide of type I collagen (NTX-I), C-telopeptide of type I collagen (CTX-I), and C-telopeptide of type I collagen (ICTP). RESULTS: The baseline markers of bone formation, PINP and osteocalcin (p = 0.02, p = 0.01, respectively), and the baseline markers of bone resorption, CTX-I and NTX-I (p = 0.02 for both), were significantly associated with reduced cartilage loss. There were no significant associations between baseline ratios of bone formation to resorption markers and cartilage loss. However, when subjects were divided into subgroups with high or low bone formation markers (based on levels of marker &gt;or= mean or &lt; mean for the population, respectively), in the subgroup with high PINP there was a significant association between increasing bone resorption markers CTX-I and NTX-I and reduced cartilage loss (p = 0.02, p = 0.001, respectively). Similarly, in the subgroup with high osteocalcin, there was a significant association between increasing CTX-I and NTX-I and reduced cartilage loss (p = 0.02, p = 0.003, respectively). In contrast, in subgroups with low bone formation markers, no significant associations were obtained between markers of bone resorption and cartilage loss. CONCLUSION: Overall, the results suggest that higher bone remodeling (i.e., higher serum levels of bone formation and resorption) is associated with reduced cartilage loss. Considering markers of bone formation and resorption together, it is possible to identify subgroups within the OA population who have reduced rates of cartilage loss.", "author" : [ { "dropping-particle" : "", "family" : "BERRY", "given" : "P. A.", "non-dropping-particle" : "", "parse-names" : false, "suffix" : "" }, { "dropping-particle" : "", "family" : "MACIEWICZ", "given" : "R. A.", "non-dropping-particle" : "", "parse-names" : false, "suffix" : "" }, { "dropping-particle" : "", "family" : "CICUTTINI", "given" : "F. M.", "non-dropping-particle" : "", "parse-names" : false, "suffix" : "" }, { "dropping-particle" : "", "family" : "JONES", "given" : "M. D.", "non-dropping-particle" : "", "parse-names" : false, "suffix" : "" }, { "dropping-particle" : "", "family" : "HELLAWELL", "given" : "C. J.", "non-dropping-particle" : "", "parse-names" : false, "suffix" : "" }, { "dropping-particle" : "", "family" : "WLUKA", "given" : "A. E.", "non-dropping-particle" : "", "parse-names" : false, "suffix" : "" } ], "container-title" : "The Journal of rheumatology", "id" : "ITEM-1", "issue" : "6", "issued" : { "date-parts" : [ [ "2010", "6" ] ] }, "note" : "From Duplicate 2 (Markers of bone formation and resorption identify subgroups of patients with clinical knee osteoarthritis who have reduced rates of cartilage loss - Berry, P A; Maciewicz, R A; Cicuttini, F M; Jones, M D; Hellawell, C J; Wluka, A E)\n\nLR: 20110506; JID: 7501984; 0 (Biological Markers); 0 (Collagen Type I); 0 (Peptide Fragments); 0 (Peptides); 0 (Procollagen); 0 (Proteins); 0 (collagen type I trimeric cross-linked peptide); 0 (procollagen Type I N-terminal peptide); 104982-03-8 (Osteocalcin); 2010/04/15 [aheadofprint]; ppublish", "page" : "1252-1259", "publisher-place" : "Department of Epidemiology and Preventive Medicine, Monash University, Central and Eastern Clinical School, Alfred Hospital, Melbourne, Victoria 3004, Australia.", "title" : "Markers of bone formation and resorption identify subgroups of patients with clinical knee osteoarthritis who have reduced rates of cartilage loss", "type" : "article-journal", "volume" : "37" }, "uris" : [ "http://www.mendeley.com/documents/?uuid=48f377d8-1b09-4e51-8a77-3621c42fcb99" ] } ], "mendeley" : { "formattedCitation" : "[20]", "plainTextFormattedCitation" : "[20]", "previouslyFormattedCitation" : "[20]"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[20]</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Group not named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en-US" w:eastAsia="it-IT"/>
              </w:rPr>
              <w:t>Berry 2010b</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"10.1136/ard.2009.124420 [doi]", "ISSN" : "1468-2060; 0003-4967", "abstract" : "BACKGROUND: Biomarkers of cartilage metabolism have prognostic potential. OBJECTIVE: To examine whether serum cartilage biomarkers, cartilage oligomeric matrix protein (COMP), N-propeptide of type IIA procollagen (PIIANP), type II collagen breakdown product (collagen type-II cleavage (C2C)) predict cartilage volume loss and knee joint replacement. METHODS: 117 subjects with knee osteoarthritis (OA) had MRI at baseline and 2 years. Cartilage biomarkers were measured at baseline. Change in knee cartilage volume over 2 years and knee joint replacement over 4 years was determined. The population was divided into subgroups with high or low cartilage biomarkers (based on biomarker levels greater than or equal to, or less than, the mean, respectively). The relationships between biomarkers and outcome measures were examined in the whole population, and separately in marker subgroups. RESULTS: The relationship between cartilage biomarkers and cartilage volume loss was not linear across the whole population. In the low (regression coefficient B=-9.7, 95% CI -0.01 to 0.003, p=0.01), but not high (B=-0.46, 95% CI -8.9 to 8.0, p=0.92) COMP subgroup, COMP was significantly associated with a reduced rate of medial cartilage volume loss (p for difference between groups=0.05). Similarly, in the low (B=-8.2, 95% CI -12.9 to -3.5, p=0.001) but not high (B=2.6, 95% CI -3.3 to 8.5, p=0.38) PIIANP subgroup, PIIANP was associated with a significantly reduced rate of medial volume cartilage loss (p for difference=0.003). C2C was not significantly associated with rate of cartilage volume loss. PIIANP was associated with a reduced risk of joint replacement (odds ratio (OR)=0.28, 95% CI 0.10 to 0.93, p=0.04). CONCLUSION: Cartilage biomarkers may be used to identify subgroups among those with clinical knee OA in whom disease progresses at different rates. This may facilitate our understanding of the pathogenesis of disease and allow us to differentiate phenotypes of disease within a heterogeneous knee OA population.", "author" : [ { "dropping-particle" : "", "family" : "Berry", "given" : "P A", "non-dropping-particle" : "", "parse-names" : false, "suffix" : "" }, { "dropping-particle" : "", "family" : "Maciewicz", "given" : "R A", "non-dropping-particle" : "", "parse-names" : false, "suffix" : "" }, { "dropping-particle" : "", "family" : "Wluka", "given" : "A E", "non-dropping-particle" : "", "parse-names" : false, "suffix" : "" }, { "dropping-particle" : "", "family" : "Downey-Jones", "given" : "M D", "non-dropping-particle" : "", "parse-names" : false, "suffix" : "" }, { "dropping-particle" : "", "family" : "Forbes", "given" : "A", "non-dropping-particle" : "", "parse-names" : false, "suffix" : "" }, { "dropping-particle" : "", "family" : "Hellawell", "given" : "C J", "non-dropping-particle" : "", "parse-names" : false, "suffix" : "" }, { "dropping-particle" : "", "family" : "Cicuttini", "given" : "F M", "non-dropping-particle" : "", "parse-names" : false, "suffix" : "" } ], "container-title" : "Annals of the Rheumatic Diseases", "id" : "ITEM-1", "issue" : "10", "issued" : { "date-parts" : [ [ "2010", "10" ] ] }, "note" : "JID: 0372355; 0 (Biological Markers); 2010/06/15 [aheadofprint]; ppublish", "page" : "1816-1822", "publisher-place" : "Department of Epidemiology and Preventive Medicine, Monash University Medical School, Alfred Hospital, Prahran, Victoria, Australia.", "title" : "Relationship of serum markers of cartilage metabolism to imaging and clinical outcome measures of knee joint structure", "type" : "article-journal", "volume" : "69" }, "uris" : [ "http://www.mendeley.com/documents/?uuid=a4845bf1-4119-479d-a832-9c0da56b1d1f" ] } ], "mendeley" : { "formattedCitation" : "[21]", "plainTextFormattedCitation" : "[21]", "previouslyFormattedCitation" : "[21]"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[21]</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1: Low COMP</w:t>
            </w:r>
          </w:p>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2: Low PIIANP</w:t>
            </w: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en-US" w:eastAsia="it-IT"/>
              </w:rPr>
            </w:pPr>
            <w:proofErr w:type="spellStart"/>
            <w:r w:rsidRPr="00101897">
              <w:rPr>
                <w:rFonts w:eastAsia="Times New Roman" w:cs="Times New Roman"/>
                <w:color w:val="000000"/>
                <w:sz w:val="14"/>
                <w:szCs w:val="14"/>
                <w:lang w:val="en-US" w:eastAsia="it-IT"/>
              </w:rPr>
              <w:t>Blumnenfeld</w:t>
            </w:r>
            <w:proofErr w:type="spellEnd"/>
            <w:r w:rsidRPr="00101897">
              <w:rPr>
                <w:rFonts w:eastAsia="Times New Roman" w:cs="Times New Roman"/>
                <w:color w:val="000000"/>
                <w:sz w:val="14"/>
                <w:szCs w:val="14"/>
                <w:lang w:val="en-US" w:eastAsia="it-IT"/>
              </w:rPr>
              <w:t xml:space="preserve">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"10.1016/j.joca.2013.04.009", "ISSN" : "10634584", "PMID" : "23598177", "abstract" : "Objective: There is a need to find biochemical markers that would identify people with increased risk of developing radiographic knee osteoarthritis (RKOA). The aim of this study was to evaluate the ability of cartilage and bone biomarkers (cartilage oligomeric matrix protein (COMP), aggrecan, cellular inhibitor of apoptosis protein (cIAP), N-telopeptide-to-helix (NTx)) to predict RKOA incidence in a 10-year follow-up of UK females from the Chingford community study. Method: Joint space narrowing (JSN), osteophytes (OSP) and Kellgren-Lawrence (K/L) grades were scored from radiographs of both knees at study baseline and 10 years later in 1,003 women aged 45-64. Circulating levels of biomarkers and demographic variables were measured at baseline. Statistical association analysis was conducted between the potential predictor factors measured at baseline and documentation of RKOA at 10-year follow-up. Results: Age and body mass index (BMI), were significant predictors of incidence of RKOA as assessed by K/L and OSP. Considering biomarkers, independent significant association was found between COMP circulating levels and K/L scores (Odd Ratio (OR)=2.87, 95% Confidence Interval (CI)=1.19-6.89, P=0.018). Significant negative association was detected between aggrecan plasma concentrations and JSN, with OR=0.37 (95% CI 0.15-0.89), P=0.026. Conclusions: Aggrecan and COMP circulating levels contribute to identification of phenotype-specific RKOA incidence. These data suggest potentially protective role of aggrecan in cartilage loss, as measured by JSN. High COMP levels are risk factors for development of RKOA, as assessed by K/L scores. \u00a9 2013 Osteoarthritis Research Society International.", "author" : [ { "dropping-particle" : "", "family" : "Blumenfeld", "given" : "O.", "non-dropping-particle" : "", "parse-names" : false, "suffix" : "" }, { "dropping-particle" : "", "family" : "Williams", "given" : "F. M K", "non-dropping-particle" : "", "parse-names" : false, "suffix" : "" }, { "dropping-particle" : "", "family" : "Hart", "given" : "D. J.", "non-dropping-particle" : "", "parse-names" : false, "suffix" : "" }, { "dropping-particle" : "", "family" : "Spector", "given" : "T. D.", "non-dropping-particle" : "", "parse-names" : false, "suffix" : "" }, { "dropping-particle" : "", "family" : "Arden", "given" : "N.", "non-dropping-particle" : "", "parse-names" : false, "suffix" : "" }, { "dropping-particle" : "", "family" : "Livshits", "given" : "G.", "non-dropping-particle" : "", "parse-names" : false, "suffix" : "" } ], "container-title" : "Osteoarthritis and Cartilage", "id" : "ITEM-1", "issue" : "7", "issued" : { "date-parts" : [ [ "2013" ] ] }, "page" : "923-929", "publisher" : "Elsevier Ltd", "title" : "Association between cartilage and bone biomarkers and incidence of radiographic knee osteoarthritis (RKOA) in UK females: A prospective study", "type" : "article-journal", "volume" : "21" }, "uris" : [ "http://www.mendeley.com/documents/?uuid=f2c5ab10-63e7-4cdf-ba67-3fefc025dea8" ] } ], "mendeley" : { "formattedCitation" : "[22]", "plainTextFormattedCitation" : "[22]", "previouslyFormattedCitation" : "[22]"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[22]</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E04F3C" w:rsidP="00BE02CD">
            <w:pPr>
              <w:spacing w:after="0" w:line="480" w:lineRule="auto"/>
              <w:jc w:val="center"/>
              <w:rPr>
                <w:rFonts w:eastAsia="Times New Roman" w:cs="Times New Roman"/>
                <w:color w:val="000000"/>
                <w:sz w:val="14"/>
                <w:szCs w:val="14"/>
                <w:lang w:val="it-IT" w:eastAsia="it-IT"/>
              </w:rPr>
            </w:pPr>
            <w:r>
              <w:rPr>
                <w:rFonts w:eastAsia="Times New Roman" w:cs="Times New Roman"/>
                <w:color w:val="000000"/>
                <w:sz w:val="14"/>
                <w:szCs w:val="14"/>
                <w:lang w:val="en-US" w:eastAsia="it-IT"/>
              </w:rPr>
              <w:t>Cruz-A</w:t>
            </w:r>
            <w:r w:rsidR="00FA44F6" w:rsidRPr="00101897">
              <w:rPr>
                <w:rFonts w:eastAsia="Times New Roman" w:cs="Times New Roman"/>
                <w:color w:val="000000"/>
                <w:sz w:val="14"/>
                <w:szCs w:val="14"/>
                <w:lang w:val="en-US" w:eastAsia="it-IT"/>
              </w:rPr>
              <w:t>lmeida 2013</w:t>
            </w:r>
            <w:r w:rsidR="00142F7B" w:rsidRPr="00101897">
              <w:rPr>
                <w:rFonts w:eastAsia="Times New Roman" w:cs="Times New Roman"/>
                <w:color w:val="000000"/>
                <w:sz w:val="14"/>
                <w:szCs w:val="14"/>
                <w:lang w:val="it-IT" w:eastAsia="it-IT"/>
              </w:rPr>
              <w:fldChar w:fldCharType="begin" w:fldLock="1"/>
            </w:r>
            <w:r w:rsidR="00FA44F6">
              <w:rPr>
                <w:rFonts w:eastAsia="Times New Roman" w:cs="Times New Roman"/>
                <w:color w:val="000000"/>
                <w:sz w:val="14"/>
                <w:szCs w:val="14"/>
                <w:lang w:val="en-US" w:eastAsia="it-IT"/>
              </w:rPr>
              <w:instrText>ADDIN CSL_CITATION { "citationItems" : [ { "id" : "ITEM-1", "itemData" : { "DOI" : "10.1002/acr.22070 [doi]", "ISSN" : "2151-4658; 2151-464X", "abstract" : "OBJECTIVE: To identify psychological profiles in persons with knee osteoarthritis (OA) and to determine the relationship between these profiles and specific pain and sensory characteristics, including temporal summation and conditioned pain modulation. METHODS: Individuals with knee OA (n = 194) completed psychological, health, and sensory assessments. Hierarchical cluster analysis was used to derive psychological profiles that were compared across several clinical pain/disability and experimental pain responses. RESULTS: Cluster 1 had high optimism with low negative affect, pain vigilance, anger, and depression, along with the lowest self-reported pain/disability and the lowest sensitivity to mechanical, pressure, and thermal pain (P &lt; 0.01 for all). Cluster 2 had low positive affect with high somatic reactivity, while cluster 3 showed high pain vigilance with low optimism. Clusters 2 and 3 had intermediate levels of self-reported pain/disability and cluster 3 experienced central sensitization to mechanical stimuli. Participants in cluster 3 also displayed significant pain facilitation (P &lt; 0.05). Cluster 4 exhibited the highest pain vigilance, reactivity, negative affect, anger, and depression. These individuals experienced the highest self-reported pain/disability, including widespread pain (P &lt; 0.001 for all). Cluster 4 was most sensitive to mechanical, pressure, and thermal stimuli, and showed significant central sensitization to mechanical and thermal stimuli (P &lt; 0.001 for all). CONCLUSION: Our findings demonstrate the existence of homogeneous psychological profiles displaying unique sets of clinical and somatosensory characteristics. Multidisciplinary treatment approaches consistent with the biopsychosocial model of pain should provide significant advantages if targeted to profiles such as those in our OA sample.", "author" : [ { "dropping-particle" : "", "family" : "Cruz-Almeida", "given" : "Y", "non-dropping-particle" : "", "parse-names" : false, "suffix" : "" }, { "dropping-particle" : "", "family" : "King", "given" : "C D", "non-dropping-particle" : "", "parse-names" : false, "suffix" : "" }, { "dropping-particle" : "", "family" : "Goodin", "given" : "B R", "non-dropping-particle" : "", "parse-names" : false, "suffix" : "" }, { "dropping-particle" : "", "family" : "Sibille", "given" : "K T", "non-dropping-particle" : "", "parse-names" : false, "suffix" : "" }, { "dropping-particle" : "", "family" : "Glover", "given" : "T L", "non-dropping-particle" : "", "parse-names" : false, "suffix" : "" }, { "dropping-particle" : "", "family" : "Riley", "given" : "J L", "non-dropping-particle" : "", "parse-names" : false, "suffix" : "" }, { "dropping-particle" : "", "family" : "Sotolongo", "given" : "A", "non-dropping-particle" : "", "parse-names" : false, "suffix" : "" }, { "dropping-particle" : "", "family" : "Herbert", "given" : "M S", "non-dropping-particle" : "", "parse-names" : false, "suffix" : "" }, { "dropping-particle" : "", "family" : "Schmidt", "given" : "J", "non-dropping-particle" : "", "parse-names" : false, "suffix" : "" }, { "dropping-particle" : "", "family" : "Fessler", "given" : "B J", "non-dropping-particle" : "", "parse-names" : false, "suffix" : "" }, { "dropping-particle" : "", "family" : "Redden", "given" : "D T", "non-dropping-particle" : "", "parse-names" : false, "suffix" : "" }, { "dropping-particle" : "", "family" : "Staud", "given" : "R", "non-dropping-particle" : "", "parse-names" : false, "suffix" : "" }, { "dropping-particle" : "", "family" : "Bradley", "given" : "L A", "non-dropping-particle" : "", "parse-names" : false, "suffix" : "" }, { "dropping-particle" : "", "family" : "Fillingim", "given" : "R B", "non-dropping-particle" : "", "parse-names" : false, "suffix" : "" } ], "container-title" : "Arthritis care &amp; research", "id" : "ITEM-1", "issue" : "11", "issued" : { "date-parts" : [ [ "2013", "11" ] ] }, "note" : "LR: 20150327; GR: AG033906/AG/NIA NIH HHS/United States; GR: L30 AG040467/AG/NIA NIH HHS/United States; GR: L30 AG043172/AG/NIA NIH HHS/United States; GR: R01 AG033906/AG/NIA NIH HHS/United States; GR: R01 AG039659/AG/NIA NIH HHS/United States; GR: T90 DE021990/DE/NIDCR NIH HHS/United States; GR: T90-DE021990/DE/NIDCR NIH HHS/United States; GR: UL1 TR000064/TR/NCATS NIH HHS/United States; GR: UL1 TR000165/TR/NCATS NIH HHS/United States; GR: UL1-TR000064/TR/NCATS NIH HHS/United States; GR: UL1-TR000165/TR/NCATS NIH HHS/United States; JID: 101518086; NIHMS552262; OID: NLM: NIHMS552262; OID: NLM: PMC3922880; 2013/01/29 [received]; 2013/05/17 [revised]; 2013/06/21 [accepted]; ppublish", "page" : "1786-1794", "publisher-place" : "United States", "title" : "Psychological profiles and pain characteristics of older adults with knee osteoarthritis", "type" : "article-journal", "volume" : "65" }, "uris" : [ "http://www.mendeley.com/documents/?uuid=403b1e0b-913f-4b87-9256-0b75e32c4dfe" ] } ], "mendeley" : { "formattedCitation" : "[23]", "plainTextFormattedCitation" : "[23]", "previouslyFormattedCitation" : "[23]"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00FA44F6" w:rsidRPr="00122694">
              <w:rPr>
                <w:rFonts w:eastAsia="Times New Roman" w:cs="Times New Roman"/>
                <w:noProof/>
                <w:color w:val="000000"/>
                <w:sz w:val="14"/>
                <w:szCs w:val="14"/>
                <w:lang w:val="en-US" w:eastAsia="it-IT"/>
              </w:rPr>
              <w:t>[23]</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Group not named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Doss 2007</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"778057274 [pii]", "ISBN" : "0300-9742 (Print) 0300-9742 (Linking)", "ISSN" : "0300-9742; 0300-9742", "PMID" : "17476620", "abstract" : "OBJECTIVE: To analyse the levels of interleukin-6 (IL-6) in the synovial fluids and sera of patients with osteoarthritis (OA) and to identify the IL-6-secreting cells. METHODS: Serum, synovial fluid, synovial tissue, and articular cartilage samples were collected from 49 OA patients with end-stage knee or hip OA who underwent joint replacement surgery. Serum and synovial fluid levels of IL-6 were measured by enzyme-linked immunosorbent assay (ELISA) and IL-6-secreting cells were identified by immunohistochemistry. RESULTS: Eight out of 49 patients (16%) exhibited elevated IL-6 levels in the synovial fluids, averaging at 2022+/-526 pg/mL, while the levels in the rest of the patients averaged at 132+/-19 pg/mL. The sera levels of all patients were comparable in the 10 pg/mL range. Immunohistochemical analyses revealed plasma cells in the synovial lining of the high producers as the source of IL-6. CONCLUSIONS: Synovial fluid IL-6 levels may help to classify OA patients and may point to a subgroup with a particular impact from their immune system.", "author" : [ { "dropping-particle" : "", "family" : "Doss", "given" : "F", "non-dropping-particle" : "", "parse-names" : false, "suffix" : "" }, { "dropping-particle" : "", "family" : "Menard", "given" : "J", "non-dropping-particle" : "", "parse-names" : false, "suffix" : "" }, { "dropping-particle" : "", "family" : "Hauschild", "given" : "M", "non-dropping-particle" : "", "parse-names" : false, "suffix" : "" }, { "dropping-particle" : "", "family" : "Kreutzer", "given" : "H-J J", "non-dropping-particle" : "", "parse-names" : false, "suffix" : "" }, { "dropping-particle" : "", "family" : "Mittlmeier", "given" : "T", "non-dropping-particle" : "", "parse-names" : false, "suffix" : "" }, { "dropping-particle" : "", "family" : "M\u00fcller-Steinhardt", "given" : "M", "non-dropping-particle" : "", "parse-names" : false, "suffix" : "" }, { "dropping-particle" : "", "family" : "M\u00fcller", "given" : "B", "non-dropping-particle" : "", "parse-names" : false, "suffix" : "" }, { "dropping-particle" : "", "family" : "Muller-Steinhardt", "given" : "M", "non-dropping-particle" : "", "parse-names" : false, "suffix" : "" }, { "dropping-particle" : "", "family" : "Muller", "given" : "B", "non-dropping-particle" : "", "parse-names" : false, "suffix" : "" } ], "container-title" : "Scandinavian journal of rheumatology", "id" : "ITEM-1", "issue" : "2", "issued" : { "date-parts" : [ [ "2007" ] ] }, "note" : "From Duplicate 1 (Elevated IL-6 levels in the synovial fluid of osteoarthritis patients stem from plasma cells - Doss, F; Menard, J; Hauschild, M; Kreutzer, H J; Mittlmeier, T; Muller-Steinhardt, M; Muller, B)\n\nJID: 0321213; 0 (Biological Markers); 0 (Interleukin-6); ppublish", "page" : "136-139", "publisher-place" : "Institute of Immunology, Medical Faculty, University of Rostock, Berlin.", "title" : "Elevated IL-6 levels in the synovial fluid of osteoarthritis patients stem from plasma cells", "type" : "article-journal", "volume" : "36" }, "uris" : [ "http://www.mendeley.com/documents/?uuid=a0cb6800-e45d-42dd-914c-44a702e07f49" ] } ], "mendeley" : { "formattedCitation" : "[24]", "plainTextFormattedCitation" : "[24]", "previouslyFormattedCitation" : "[24]"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[24]</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Group not named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Egsgaard 2015</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"10.1016/j.pain.0000000000000011 [doi]", "ISSN" : "1872-6623; 0304-3959", "abstract" : "Biochemical and pain biomarkers can be applied to patients with painful osteoarthritis profiles and may provide more details compared with conventional clinical tools. The aim of this study was to identify an optimal combination of biochemical and pain biomarkers for classification of patients with different degrees of knee pain and joint damage. Such profiling may provide new diagnostic and therapeutic options. A total of 216 patients with different degrees of knee pain (maximal pain during the last 24 hours rated on a visual analog scale [VAS]) (VAS 0-100) and 64 controls (VAS 0-9) were recruited. Patients were separated into 3 groups: VAS 10 to 39 (N = 81), VAS 40 to 69 (N = 70), and VAS 70 to 100 (N = 65). Pressure pain thresholds, temporal summation to pressure stimuli, and conditioning pain modulation were measured from the peripatellar and extrasegmental sites. Biochemical markers indicative for autoinflammation and immunity (VICM, CRP, and CRPM), synovial inflammation (CIIIM), cartilage loss (CIIM), and bone degradation (CIM) were analyzed. WOMAC, Lequesne, and pain catastrophizing scores were collected. Principal component analysis was applied to select the optimal variable subset, and cluster analysis was applied to this subset to create distinctly different knee pain profiles. Four distinct knee pain profiles were identified: profile A (N = 27), profile B (N = 59), profile C (N = 85), and profile D (N = 41). Each knee pain profile had a unique combination of biochemical markers, pain biomarkers, physical impairments, and psychological factors that may provide the basis for mechanism-based diagnosis, individualized treatment, and selection of patients for clinical trials evaluating analgesic compounds. These results introduce a new profiling for knee OA and should be regarded as preliminary.", "author" : [ { "dropping-particle" : "", "family" : "Egsgaard", "given" : "L L", "non-dropping-particle" : "", "parse-names" : false, "suffix" : "" }, { "dropping-particle" : "", "family" : "Eskehave", "given" : "T N", "non-dropping-particle" : "", "parse-names" : false, "suffix" : "" }, { "dropping-particle" : "", "family" : "Bay-Jensen", "given" : "A C", "non-dropping-particle" : "", "parse-names" : false, "suffix" : "" }, { "dropping-particle" : "", "family" : "Hoeck", "given" : "H C", "non-dropping-particle" : "", "parse-names" : false, "suffix" : "" }, { "dropping-particle" : "", "family" : "Arendt-Nielsen", "given" : "L", "non-dropping-particle" : "", "parse-names" : false, "suffix" : "" } ], "container-title" : "Pain", "id" : "ITEM-1", "issue" : "1", "issued" : { "date-parts" : [ [ "2015", "1" ] ] }, "note" : "JID: 7508686; ppublish", "page" : "96-107", "publisher-place" : "aCenter for Sensory Motor Interaction, Department of Health Science and Technology, Faculty of Medicine, School of Medicine, Aalborg University, Aalborg East, Denmark bCenter for Clinical and Basic Research (CCBR) and C4Pain, Aalborg, Denmark cNordic Bios", "title" : "Identifying specific profiles in patients with different degrees of painful knee osteoarthritis based on serological biochemical and mechanistic pain biomarkers: a diagnostic approach based on cluster analysis", "type" : "article-journal", "volume" : "156" }, "uris" : [ "http://www.mendeley.com/documents/?uuid=afb6b5e4-0b04-46a9-a1a7-93de51b15303" ] } ], "mendeley" : { "formattedCitation" : "[25]", "plainTextFormattedCitation" : "[25]", "previouslyFormattedCitation" : "[25]"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[25]</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Pain profile 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proofErr w:type="spellStart"/>
            <w:r w:rsidRPr="00101897">
              <w:rPr>
                <w:rFonts w:eastAsia="Times New Roman" w:cs="Times New Roman"/>
                <w:color w:val="000000"/>
                <w:sz w:val="14"/>
                <w:szCs w:val="14"/>
                <w:lang w:val="en-US" w:eastAsia="it-IT"/>
              </w:rPr>
              <w:t>Fernández-</w:t>
            </w:r>
            <w:r w:rsidR="00E04F3C">
              <w:rPr>
                <w:rFonts w:eastAsia="Times New Roman" w:cs="Times New Roman"/>
                <w:color w:val="000000"/>
                <w:sz w:val="14"/>
                <w:szCs w:val="14"/>
                <w:lang w:val="en-US" w:eastAsia="it-IT"/>
              </w:rPr>
              <w:t>T</w:t>
            </w:r>
            <w:r w:rsidRPr="00101897">
              <w:rPr>
                <w:rFonts w:eastAsia="Times New Roman" w:cs="Times New Roman"/>
                <w:color w:val="000000"/>
                <w:sz w:val="14"/>
                <w:szCs w:val="14"/>
                <w:lang w:val="en-US" w:eastAsia="it-IT"/>
              </w:rPr>
              <w:t>ajes</w:t>
            </w:r>
            <w:proofErr w:type="spellEnd"/>
            <w:r w:rsidRPr="00101897">
              <w:rPr>
                <w:rFonts w:eastAsia="Times New Roman" w:cs="Times New Roman"/>
                <w:color w:val="000000"/>
                <w:sz w:val="14"/>
                <w:szCs w:val="14"/>
                <w:lang w:val="en-US" w:eastAsia="it-IT"/>
              </w:rPr>
              <w:t xml:space="preserve"> 2014</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"10.1136/annrheumdis-2012-202783 [doi]", "ISSN" : "1468-2060; 0003-4967", "abstract" : "OBJECTIVE: Alterations in DNA methylation patterns have been found to correlate with several diseases including osteoarthritis (OA). The aim of this study was to identify, for the first time, the genome-wide DNA methylation profiles of human articular chondrocytes from OA cartilage and healthy control cartilage samples. METHODS: DNA methylation profiling was performed using Illumina Infinium HumanMethylation27 in 25 patients with OA and 20 healthy controls. Subsequent validation was performed by genome-wide expression analysis using the Affymetrix Human Gene 1.1 ST array in an independent cohort of 24 patients with OA. Finally, the most consistent genes in both assays were amplified by quantitative reverse transcriptase PCR in a validation cohort of 48 patients using microfluidic real-time quantitative PCR. Appropriate bioinformatics analyses were carried out using R bioconductor software packages and qBase plus software from Biogazelle. RESULTS: We found 91 differentially methylated (DM) probes, which permitted us to separate patients with OA from healthy controls. Among the patients with OA, we detected 1357 DM probes that identified a tight cluster of seven patients who were different from the rest. This cluster was also identified by genome-wide expression in which 450 genes were differentially expressed. Further validation of the most consistent genes in an independent cohort of patients with OA permitted us to identify this cluster, which was characterised by increased inflammatory processes. CONCLUSIONS: We were able to identify a tight subgroup of patients with OA, characterised by an increased inflammatory response that could be regulated by epigenetics. The identification and isolation of this subgroup may be critical for the development of effective treatment and disease prevention.", "author" : [ { "dropping-particle" : "", "family" : "Fernandez-Tajes", "given" : "J", "non-dropping-particle" : "", "parse-names" : false, "suffix" : "" }, { "dropping-particle" : "", "family" : "Soto-Hermida", "given" : "A", "non-dropping-particle" : "", "parse-names" : false, "suffix" : "" }, { "dropping-particle" : "", "family" : "Vazquez-Mosquera", "given" : "M E", "non-dropping-particle" : "", "parse-names" : false, "suffix" : "" }, { "dropping-particle" : "", "family" : "Cortes-Pereira", "given" : "E", "non-dropping-particle" : "", "parse-names" : false, "suffix" : "" }, { "dropping-particle" : "", "family" : "Mosquera", "given" : "A", "non-dropping-particle" : "", "parse-names" : false, "suffix" : "" }, { "dropping-particle" : "", "family" : "Fernandez-Moreno", "given" : "M", "non-dropping-particle" : "", "parse-names" : false, "suffix" : "" }, { "dropping-particle" : "", "family" : "Oreiro", "given" : "N", "non-dropping-particle" : "", "parse-names" : false, "suffix" : "" }, { "dropping-particle" : "", "family" : "Fernandez-Lopez", "given" : "C", "non-dropping-particle" : "", "parse-names" : false, "suffix" : "" }, { "dropping-particle" : "", "family" : "Fernandez", "given" : "J L", "non-dropping-particle" : "", "parse-names" : false, "suffix" : "" }, { "dropping-particle" : "", "family" : "Rego-Perez", "given" : "I", "non-dropping-particle" : "", "parse-names" : false, "suffix" : "" }, { "dropping-particle" : "", "family" : "Blanco", "given" : "F J", "non-dropping-particle" : "", "parse-names" : false, "suffix" : "" } ], "container-title" : "Annals of the Rheumatic Diseases", "id" : "ITEM-1", "issue" : "4", "issued" : { "date-parts" : [ [ "2014", "4" ] ] }, "note" : "JID: 0372355; OTO: NOTNLM; 2013/03/16 [aheadofprint]; ppublish", "page" : "668-677", "publisher-place" : "Rheumatology Division, INIBIC-Complejo Hospitalario Universitario A Coruna (CHUAC), , Coruna, Spain.", "title" : "Genome-wide DNA methylation analysis of articular chondrocytes reveals a cluster of osteoarthritic patients", "type" : "article-journal", "volume" : "73" }, "uris" : [ "http://www.mendeley.com/documents/?uuid=ad39ef9a-03ca-4f27-a846-1fb07eeebd14" ] } ], "mendeley" : { "formattedCitation" : "[26]", "plainTextFormattedCitation" : "[26]", "previouslyFormattedCitation" : "[26]"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[26]</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Group not named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Holla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"10.1136/annrheumdis-2012-202984 [doi]", "ISSN" : "1468-2060; 0003-4967", "abstract" : "OBJECTIVES: Knee osteoarthritis (OA) is a leading cause of activity limitations. The knee OA population is likely to consist of subgroups. The aim of the present study was to identify homogeneous subgroups with distinct trajectories of activity limitations in patients with early symptomatic knee OA and to describe characteristics of these subgroups. METHODS: Follow-up data over a period of 5 years of 697 participants with early symptomatic knee OA from the Cohort Hip and Cohort Knee (CHECK) were used. Activity limitations were measured yearly with the Western Ontario and McMaster Universities Osteoarthritis Index. Latent class growth analyses identified homogeneous subgroups with distinct trajectories of activity limitations. Multivariable regression analyses examined differences in characteristics between the subgroups. RESULTS: Three subgroups were identified. Participants in Subgroup 1 ('good outcome'; n=330) developed or displayed slight activity limitations over time. Participants in Subgroup 2 ('moderate outcome'; n=257) developed or displayed moderate activity limitations over time. Participants in subgroup 3 ('poor outcome'; n=110) developed or displayed severe activity limitations over time. Compared with the 'good outcome' subgroup, the 'moderate outcome' and 'poor outcome' subgroups were characterised by: younger age, higher body mass index, greater pain, bony tenderness, reduced knee flexion, hip pain, osteophytosis, &gt;/=3 comorbidities, lower vitality or avoidance of activities. CONCLUSIONS: Based on the 5-year course of activity limitations, we identified homogeneous subgroups of knee OA patients with good, moderate or poor outcome. Characteristics of these subgroups were consistent with existing knowledge on prognostic factors regarding activity limitations, which supports the validity of this classification.", "author" : [ { "dropping-particle" : "", "family" : "Holla", "given" : "J F", "non-dropping-particle" : "", "parse-names" : false, "suffix" : "" }, { "dropping-particle" : "", "family" : "Leeden", "given" : "M", "non-dropping-particle" : "van der", "parse-names" : false, "suffix" : "" }, { "dropping-particle" : "", "family" : "Heymans", "given" : "M W", "non-dropping-particle" : "", "parse-names" : false, "suffix" : "" }, { "dropping-particle" : "", "family" : "Roorda", "given" : "L D", "non-dropping-particle" : "", "parse-names" : false, "suffix" : "" }, { "dropping-particle" : "", "family" : "Bierma-Zeinstra", "given" : "S M", "non-dropping-particle" : "", "parse-names" : false, "suffix" : "" }, { "dropping-particle" : "", "family" : "Boers", "given" : "M", "non-dropping-particle" : "", "parse-names" : false, "suffix" : "" }, { "dropping-particle" : "", "family" : "Lems", "given" : "W F", "non-dropping-particle" : "", "parse-names" : false, "suffix" : "" }, { "dropping-particle" : "", "family" : "Steultjens", "given" : "M P", "non-dropping-particle" : "", "parse-names" : false, "suffix" : "" }, { "dropping-particle" : "", "family" : "Dekker", "given" : "J", "non-dropping-particle" : "", "parse-names" : false, "suffix" : "" } ], "container-title" : "Annals of the Rheumatic Diseases", "id" : "ITEM-1", "issue" : "7", "issued" : { "date-parts" : [ [ "2014", "7" ] ] }, "note" : "CI: Published by the BMJ Publishing Group Limited. For permission to use (where not already granted under a licence) please go to http://group.bmj.com/group/rights-licensing/permissions.; JID: 0372355; OTO: NOTNLM; 2013/05/28 [aheadofprint]; ppublish", "page" : "1369-1375", "publisher-place" : "Amsterdam Rehabilitation Research Centre, Reade, Amsterdam, The Netherlands.; Amsterdam Rehabilitation Research Centre, Reade, Amsterdam, The Netherlands Department of Rehabilitation Medicine, VU University Medical Centre, Amsterdam, The Netherlands EMGO ", "title" : "Three trajectories of activity limitations in early symptomatic knee osteoarthritis: a 5-year follow-up study", "type" : "article-journal", "volume" : "73" }, "uris" : [ "http://www.mendeley.com/documents/?uuid=f81dbe97-740e-46b5-a830-ec04bea2fb85" ] } ], "mendeley" : { "formattedCitation" : "[27]", "plainTextFormattedCitation" : "[27]", "previouslyFormattedCitation" : "[27]"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[27]</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Good outcome group</w:t>
            </w: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Jenkins 2015</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"10.1097/NOR.0000000000000112 [doi]", "ISSN" : "1542-538X; 0744-6020", "abstract" : "BACKGROUND: One in two people may develop symptomatic knee osteoarthritis (OA) in their lifetime. Many OA sufferers have multiple symptoms, including pain, fatigue, and depressive symptoms. Determining whether symptom clusters exist among these older adults and what their effects are on outcomes such as quality of life (QOL) and functional status is essential to provide evidence-based geriatric healthcare. PURPOSE: The purposes of the secondary analyses were to explore symptoms that form clusters in older adults with OA of the knee and the effects of symptom clusters on their QOL and functional status. METHOD: A cross-sectional, methodological exploration of existing data from a convenience sample (N = 75) of adults aged 50 years and older with OA of the knee was used. Hierarchical and k-means cluster analyses were used to identify symptom clusters. MANOVA was performed to test for joint differences in QOL and functional status. RESULTS: Two large clusters of pain, fatigue, and depressive symptoms were identified from the cluster, and significant relationships were found between symptom clusters and both QOL (p = .008) and functional status (p &lt; .001). Conclusions about QOL or functional status differences were similar for alternative clustering strategies or numbers of symptom clusters in sensitivity analyses. CONCLUSION: The findings of this study provide a foundation for targeted interventions to improve QOL and functional status of older adults with OA of the knee.", "author" : [ { "dropping-particle" : "", "family" : "Jenkins", "given" : "J B", "non-dropping-particle" : "", "parse-names" : false, "suffix" : "" }, { "dropping-particle" : "", "family" : "McCoy", "given" : "T P", "non-dropping-particle" : "", "parse-names" : false, "suffix" : "" } ], "container-title" : "Orthopedic nursing", "id" : "ITEM-1", "issue" : "1", "issued" : { "date-parts" : [ [ "2015" ] ] }, "note" : "JID: 8409486; ppublish", "page" : "34-36", "publisher-place" : "Jeanne B. Jenkins, PhD, MBA, RN, Assistant Professor, School of Nursing, The University of North Carolina at Greensboro. Thomas P. McCoy, Visiting Assistant Professor, School of Nursing, Department of Educational Research Methodology, The University of No", "title" : "Symptom clusters, functional status, and quality of life in older adults with osteoarthritis", "type" : "article-journal", "volume" : "34" }, "uris" : [ "http://www.mendeley.com/documents/?uuid=b62dc588-fb19-490e-a298-e178adde91bc" ] } ], "mendeley" : { "formattedCitation" : "[28]", "plainTextFormattedCitation" : "[28]", "previouslyFormattedCitation" : "[28]"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[28]</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E04F3C" w:rsidRDefault="00FA44F6" w:rsidP="00BE02CD">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Kerkhof 2008</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"10.1016/j.joca.2008.02.007 [doi]", "ISBN" : "1522-9653 (Electronic)\\n1063-4584 (Linking)", "ISSN" : "1522-9653; 1063-4584", "PMID" : "18406176", "abstract" : "OBJECTIVE: To examine the association of genetic variation in key players in the Wnt signaling pathway with aspects of osteoarthritis (OA) in two population-based cohort studies: the Rotterdam Study and the Chingford Study. METHODS: Radiographic OA (ROA) was defined as a Kellgren/Lawrence score (K/L) score &gt; or = 2 for the knee and hip. Total hip replacement (THR) was scored. Hand OA was defined as presence of ROA (K/L &gt; or = 2) in two out of three hand joint groups [distal interphalangeal (DIPs), proximal interphalangeal (PIPs), first carpometacarpal (CMC1)/trapezio-scaphoid joint (TS)] of each hand. The concentration of urinary C-terminal cross-linked telopeptide of type II collagen (CTX-II) was standardized to the total urine creatinine. Genotypes for the amino acid variants, Arg200Trp and Arg324Gly of Frizzled-Related protein gene (FRZB), Ala1330Val of Low-density lipoprotein receptor-related protein 5 (LRP5) and Ile1062Val of Low-density lipoprotein receptor-related protein 6 (LRP6), were obtained using the Taqman allelic discrimination assay. A meta-analysis was performed for the FRZB Arg324Gly polymorphism and hip- and knee-OA using RevMan version 4.3. RESULTS: No consistent associations were observed between the FRZB, LRP5 and LRP6 amino acid variants and radiographic hip-, knee-, or hand-OA or THR, in either study population. While power was limited for most studies to date, a meta-analysis of all published studies regarding the FRZB Arg324Gly polymorphism was performed for hip- and knee-OA separately. This showed no significant associations between the Gly324 allele and risk for hip- or knee OA, although there was large heterogeneity between studies for hip OA in females. CONCLUSION: No association was seen between FRZB, LRP5 and LRP6 variants with radiographic osteoarthritic outcomes in two population-based cohorts. In future studies, increased power and standardization of OA-phenotypes are highly recommended for replication studies and to allow meta-analysis.", "author" : [ { "dropping-particle" : "", "family" : "Kerkhof", "given" : "J M", "non-dropping-particle" : "", "parse-names" : false, "suffix" : "" }, { "dropping-particle" : "", "family" : "Uitterlinden", "given" : "A G", "non-dropping-particle" : "", "parse-names" : false, "suffix" : "" }, { "dropping-particle" : "", "family" : "Valdes", "given" : "A M", "non-dropping-particle" : "", "parse-names" : false, "suffix" : "" }, { "dropping-particle" : "", "family" : "Hart", "given" : "D J", "non-dropping-particle" : "", "parse-names" : false, "suffix" : "" }, { "dropping-particle" : "", "family" : "Rivadeneira", "given" : "F", "non-dropping-particle" : "", "parse-names" : false, "suffix" : "" }, { "dropping-particle" : "", "family" : "Jhamai", "given" : "M", "non-dropping-particle" : "", "parse-names" : false, "suffix" : "" }, { "dropping-particle" : "", "family" : "Hofman", "given" : "A", "non-dropping-particle" : "", "parse-names" : false, "suffix" : "" }, { "dropping-particle" : "", "family" : "Pols", "given" : "H A P", "non-dropping-particle" : "", "parse-names" : false, "suffix" : "" }, { "dropping-particle" : "", "family" : "Bierma-Zeinstra", "given" : "S M A", "non-dropping-particle" : "", "parse-names" : false, "suffix" : "" }, { "dropping-particle" : "", "family" : "Spector", "given" : "T D", "non-dropping-particle" : "", "parse-names" : false, "suffix" : "" }, { "dropping-particle" : "", "family" : "Meurs", "given" : "J B", "non-dropping-particle" : "van", "parse-names" : false, "suffix" : "" } ], "container-title" : "Osteoarthritis and cartilage / OARS, Osteoarthritis Research Society", "id" : "ITEM-1", "issue" : "10", "issued" : { "date-parts" : [ [ "2008", "10" ] ] }, "note" : "From Duplicate 2 (Radiographic osteoarthritis at three joint sites and FRZB, LRP5, and LRP6 polymorphisms in two population-based cohorts - Kerkhof, J M; Uitterlinden, A G; Valdes, A M; Hart, D J; Rivadeneira, F; Jhamai, M; Hofman, A; Pols, H A; Bierma-Zeinstra, S M; Spector, T D; van Meurs, J B)\n\nLR: 20140617; GR: 17489/Arthritis Research UK/United Kingdom; JID: 9305697; 0 (FRZB protein); 0 (Glycoproteins); 0 (LDL-Receptor Related Proteins); 0 (LRP5 protein, human); 0 (LRP6 protein, human); 0 (Low Density Lipoprotein Receptor-Related Protein-5); 0 (Low Density Lipoprotein Receptor-Related Protein-6); 0 (Receptors, LDL); 2007/03/01 [received]; 2008/02/08 [accepted]; 2008/04/10 [aheadofprint]; ppublish", "page" : "1141-1149", "publisher-place" : "Department of Internal Medicine Erasmus Medical Center, Rotterdam, The Netherlands.", "title" : "Radiographic osteoarthritis at three joint sites and FRZB, LRP5, and LRP6 polymorphisms in two population-based cohorts", "type" : "article-journal", "volume" : "16" }, "uris" : [ "http://www.mendeley.com/documents/?uuid=d1ab7296-befc-4015-9f3e-c320d61f1b06" ] } ], "mendeley" : { "formattedCitation" : "[29]", "plainTextFormattedCitation" : "[29]", "previouslyFormattedCitation" : "[29]"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[29]</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en-US" w:eastAsia="it-IT"/>
              </w:rPr>
              <w:t>Kinds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"http://dx.doi.org/10.3899/jrheum.121004", "ISBN" : "0315-162X\r1499-2752", "PMID" : "2013358266", "abstract" : "Objective. Expression of osteoarthritis (OA) varies significantly between individuals, and over time, suggesting the existence of different phenotypes, possibly with specific etiology and targets for treatment. Our objective was to identify phenotypes of progression of radiographic knee OA using separate quantitative features. Methods. Separate radiographic features of OA were measured by Knee Images Digital Analysis (KIDA) in individuals with early knee OA (the CHECK cohort: Cohort Hip &amp; Cohort Knee), at baseline and at 2-year and 5-year followup. Hierarchical clustering was performed to identify phenotypes of radiographic knee OA progression. The phenotypes identified were compared for changes in joint space width (JSW), varus angle, osteophyte area, eminence height, bone density, for Kellgren-Lawrence (K-L) grade, and for clinical characteristics. Logistic regression analysis evaluated whether baseline radiographic features and demographic/clinical characteristics were associated with each of the specific phenotypes. Results. The 5 clusters identified were interpreted as \"Severe\" or \"No,\" \"Early\" or \"Late\" progression of the radiographic features, or specific involvement of \"Bone density.\" Medial JSW, varus angle, osteophyte area, eminence height, and bone density at baseline were associated with the Severe and Bone density phenotypes. Lesser eminence height and bone density were associated with Early and Late progression. Larger varus angle and smaller osteophyte area were associated with No progression. Conclusion. Five phenotypes of radiographic progression of early knee OA were identified using separate quantitative features, which were associated with baseline radiographic features. Such phenotypes might require specific treatment and represent relevant subgroups for clinical trials. Copyright \u00a9 2013. All rights reserved.", "author" : [ { "dropping-particle" : "", "family" : "Kinds", "given" : "M B", "non-dropping-particle" : "", "parse-names" : false, "suffix" : "" }, { "dropping-particle" : "", "family" : "Marijnissen", "given" : "A C A", "non-dropping-particle" : "", "parse-names" : false, "suffix" : "" }, { "dropping-particle" : "", "family" : "Viergever", "given" : "M A", "non-dropping-particle" : "", "parse-names" : false, "suffix" : "" }, { "dropping-particle" : "", "family" : "Emans", "given" : "P J", "non-dropping-particle" : "", "parse-names" : false, "suffix" : "" }, { "dropping-particle" : "", "family" : "Lafeber", "given" : "F P J G", "non-dropping-particle" : "", "parse-names" : false, "suffix" : "" }, { "dropping-particle" : "", "family" : "Welsing", "given" : "P M J", "non-dropping-particle" : "", "parse-names" : false, "suffix" : "" } ], "container-title" : "Journal of Rheumatology", "id" : "ITEM-1", "issue" : "6", "issued" : { "date-parts" : [ [ "2013" ] ] }, "language" : "English", "note" : "equations &amp;amp; formulas; research; tables/charts. Journal Subset: Biomedical; Blind Peer Reviewed; Canada; Editorial Board Reviewed; Expert Peer Reviewed; Peer Reviewed. Special Interest: Public Health. Grant Information: Supported by the Dutch Arthritis Association.. NLM UID: 7501984.\nPMID: 23637319", "page" : "891-902", "title" : "Identifying phenotypes of knee osteoarthritis by separate quantitative radiographic features may improve patient selection for more targeted treatment", "type" : "article-journal", "volume" : "40" }, "uris" : [ "http://www.mendeley.com/documents/?uuid=ede44bda-f8f5-40a9-9ea5-10ce1e798f4c" ] } ], "mendeley" : { "formattedCitation" : "[9]", "plainTextFormattedCitation" : "[9]", "previouslyFormattedCitation" : "[9]"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3B45A0">
              <w:rPr>
                <w:rFonts w:eastAsia="Times New Roman" w:cs="Times New Roman"/>
                <w:noProof/>
                <w:color w:val="000000"/>
                <w:sz w:val="14"/>
                <w:szCs w:val="14"/>
                <w:lang w:val="it-IT" w:eastAsia="it-IT"/>
              </w:rPr>
              <w:t>[9]</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No progression group</w:t>
            </w: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E04F3C" w:rsidRDefault="00FA44F6" w:rsidP="00BE02CD">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King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"10.1016/j.joca.2013.05.015 [doi]", "ISSN" : "1522-9653; 1063-4584", "abstract" : "OBJECTIVE: Pain in knee osteoarthritis (OA) has historically been attributed to peripheral pathophysiology; however, the poor correspondence between objective measures of disease severity and clinical symptoms suggests that non-local factors, such as altered central processing of painful stimuli, also contribute to clinical pain in knee OA. Consistent with this notion, recent evidence demonstrates that patients with knee OA exhibit increased sensitivity to painful stimuli at body sites unaffected by clinical pain. DESIGN: In order to further investigate the contribution of altered pain processing to knee OA pain, the current study tested the hypothesis that symptomatic knee OA is associated with enhanced sensitivity to experimental pain stimuli at the knee and at remote body sites unaffected by clinical pain. We further anticipated that pain sensitivity would differ as a function of the OA symptom severity. Older adults with and without symptomatic knee OA completed a series of experimental pain assessments. A median split of the Western Ontario and McMaster Universities Index of Osteoarthritis (WOMAC) was used to stratify participants into low vs high OA symptom severity. RESULTS: Compared to controls and the low symptom group, individuals in the high symptom group were more sensitive to suprathreshold heat stimuli, blunt pressure, punctuate mechanical, and cold stimuli. Individuals in the low symptomatic OA group subgroup exhibited experimental pain responses similar to the pain-free group on most measures. No group differences in endogenous pain inhibition emerged. CONCLUSIONS: These findings suggest that altered central processing of pain is particularly characteristic of individuals with moderate to severe symptomatic knee OA.", "author" : [ { "dropping-particle" : "", "family" : "King", "given" : "C D", "non-dropping-particle" : "", "parse-names" : false, "suffix" : "" }, { "dropping-particle" : "", "family" : "Sibille", "given" : "K T", "non-dropping-particle" : "", "parse-names" : false, "suffix" : "" }, { "dropping-particle" : "", "family" : "Goodin", "given" : "B R", "non-dropping-particle" : "", "parse-names" : false, "suffix" : "" }, { "dropping-particle" : "", "family" : "Cruz-Almeida", "given" : "Y", "non-dropping-particle" : "", "parse-names" : false, "suffix" : "" }, { "dropping-particle" : "", "family" : "Glover", "given" : "T L", "non-dropping-particle" : "", "parse-names" : false, "suffix" : "" }, { "dropping-particle" : "", "family" : "Bartley", "given" : "E", "non-dropping-particle" : "", "parse-names" : false, "suffix" : "" }, { "dropping-particle" : "", "family" : "Riley", "given" : "J L", "non-dropping-particle" : "", "parse-names" : false, "suffix" : "" }, { "dropping-particle" : "", "family" : "Herbert", "given" : "M S", "non-dropping-particle" : "", "parse-names" : false, "suffix" : "" }, { "dropping-particle" : "", "family" : "Sotolongo", "given" : "A", "non-dropping-particle" : "", "parse-names" : false, "suffix" : "" }, { "dropping-particle" : "", "family" : "Schmidt", "given" : "J", "non-dropping-particle" : "", "parse-names" : false, "suffix" : "" }, { "dropping-particle" : "", "family" : "Fessler", "given" : "B J", "non-dropping-particle" : "", "parse-names" : false, "suffix" : "" }, { "dropping-particle" : "", "family" : "Redden", "given" : "D T", "non-dropping-particle" : "", "parse-names" : false, "suffix" : "" }, { "dropping-particle" : "", "family" : "Staud", "given" : "R", "non-dropping-particle" : "", "parse-names" : false, "suffix" : "" }, { "dropping-particle" : "", "family" : "Bradley", "given" : "L A", "non-dropping-particle" : "", "parse-names" : false, "suffix" : "" }, { "dropping-particle" : "", "family" : "Fillingim", "given" : "R B", "non-dropping-particle" : "", "parse-names" : false, "suffix" : "" } ], "container-title" : "Osteoarthritis and cartilage / OARS, Osteoarthritis Research Society", "id" : "ITEM-1", "issue" : "9", "issued" : { "date-parts" : [ [ "2013", "9" ] ] }, "note" : "LR: 20141112; CI: Published by Elsevier Ltd.; GR: K99 DE022368/DE/NIDCR NIH HHS/United States; GR: L30 AG040467/AG/NIA NIH HHS/United States; GR: L30 AG043172/AG/NIA NIH HHS/United States; GR: R01 AG033906/AG/NIA NIH HHS/United States; GR: R01 AG033906/AG/NIA NIH HHS/United States; GR: R01 AG033906-07S1/AG/NIA NIH HHS/United States; GR: R01 AG039659/AG/NIA NIH HHS/United States; GR: UL1 TR000064/TR/NCATS NIH HHS/United States; GR: UL1 TR000165/TR/NCATS NIH HHS/United States; GR: UL1TR000165/TR/NCATS NIH HHS/United States; JID: 9305697; EIN: Osteoarthritis Cartilage. 2013 Nov;21(11):1811; NIHMS506602; OID: NLM: NIHMS506602; OID: NLM: PMC3831366; OTO: NOTNLM; 2013/01/17 [received]; 2013/05/14 [revised]; 2013/05/20 [accepted]; ppublish", "page" : "1243-1252", "publisher-place" : "University of Florida Pain Research and Intervention Center of Excellence (PRICE), FL 32610, USA. kingpininflorida@gmail.com", "title" : "Experimental pain sensitivity differs as a function of clinical pain severity in symptomatic knee osteoarthritis", "type" : "article-journal", "volume" : "21" }, "uris" : [ "http://www.mendeley.com/documents/?uuid=42d103a6-987c-443f-8546-0070e56eb878" ] } ], "mendeley" : { "formattedCitation" : "[30]", "plainTextFormattedCitation" : "[30]", "previouslyFormattedCitation" : "[30]"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[30]</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High symptoms group</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en-US" w:eastAsia="it-IT"/>
              </w:rPr>
            </w:pPr>
            <w:proofErr w:type="spellStart"/>
            <w:r w:rsidRPr="00101897">
              <w:rPr>
                <w:rFonts w:eastAsia="Times New Roman" w:cs="Times New Roman"/>
                <w:color w:val="000000"/>
                <w:sz w:val="14"/>
                <w:szCs w:val="14"/>
                <w:lang w:val="en-US" w:eastAsia="it-IT"/>
              </w:rPr>
              <w:t>Knoop</w:t>
            </w:r>
            <w:proofErr w:type="spellEnd"/>
            <w:r w:rsidRPr="00101897">
              <w:rPr>
                <w:rFonts w:eastAsia="Times New Roman" w:cs="Times New Roman"/>
                <w:color w:val="000000"/>
                <w:sz w:val="14"/>
                <w:szCs w:val="14"/>
                <w:lang w:val="en-US" w:eastAsia="it-IT"/>
              </w:rPr>
              <w:t xml:space="preserve"> 2011</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"http://dx.doi.org/10.1002/acr.20571", "ISBN" : "2151-4658\r1529-0131", "PMID" : "2011599767", "abstract" : "Objective To identify subgroups or phenotypes of knee osteoarthritis (OA) patients based on similarities of clinically relevant patient characteristics, and to compare clinical outcomes of these phenotypes. Methods Data from 842 knee OA patients of the Osteoarthritis Initiative were used. A cluster analysis method was performed, in which clusters were formed based on similarities in 4 clinically relevant, easily available variables: severity of radiographic OA, lower extremity muscle strength, body mass index, and depression. Univariable and multivariable regression analyses were used to compare phenotypes on clinical outcomes (pain and activity limitations), taking into account possible confounders. Results Five phenotypes of knee OA patients were identified: \"minimal joint disease phenotype,\" \"strong muscle phenotype,\" \"nonobese and weak muscle phenotype,\" \"obese and weak muscle phenotype,\" and \"depressive phenotype.\" The \"depressive phenotype\" and \"obese and weak muscle phenotype\" showed higher pain levels and more severe activity limitations than the other 3 phenotypes. Conclusion Five phenotypes based on clinically relevant patient characteristics can be identified in the heterogeneous population of knee OA patients. These phenotypes showed different clinical outcomes. Interventions may need to be tailored to these clinical phenotypes. Copyright \u00a9 2011 by the American College of Rheumatology.", "author" : [ { "dropping-particle" : "", "family" : "Knoop", "given" : "J", "non-dropping-particle" : "", "parse-names" : false, "suffix" : "" }, { "dropping-particle" : "", "family" : "Leeden", "given" : "M", "non-dropping-particle" : "Van Der", "parse-names" : false, "suffix" : "" }, { "dropping-particle" : "", "family" : "Thorstensson", "given" : "C A", "non-dropping-particle" : "", "parse-names" : false, "suffix" : "" }, { "dropping-particle" : "", "family" : "Roorda", "given" : "L D", "non-dropping-particle" : "", "parse-names" : false, "suffix" : "" }, { "dropping-particle" : "", "family" : "Lems", "given" : "W F", "non-dropping-particle" : "", "parse-names" : false, "suffix" : "" }, { "dropping-particle" : "", "family" : "Knol", "given" : "D L", "non-dropping-particle" : "", "parse-names" : false, "suffix" : "" }, { "dropping-particle" : "", "family" : "Steultjens", "given" : "M P M", "non-dropping-particle" : "", "parse-names" : false, "suffix" : "" }, { "dropping-particle" : "", "family" : "Dekker", "given" : "J", "non-dropping-particle" : "", "parse-names" : false, "suffix" : "" } ], "container-title" : "Arthritis Care and Research", "id" : "ITEM-1", "issue" : "11", "issued" : { "date-parts" : [ [ "2011" ] ] }, "language" : "English", "page" : "1535-1542", "title" : "Identification of phenotypes with different clinical outcomes in knee osteoarthritis: Data from the osteoarthritis initiative", "type" : "article-journal", "volume" : "63" }, "uris" : [ "http://www.mendeley.com/documents/?uuid=a2d18d8d-2f8c-442c-b279-9c96bd6accfb" ] } ], "mendeley" : { "formattedCitation" : "[7]", "plainTextFormattedCitation" : "[7]", "previouslyFormattedCitation" : "[7]"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3B45A0">
              <w:rPr>
                <w:rFonts w:eastAsia="Times New Roman" w:cs="Times New Roman"/>
                <w:noProof/>
                <w:color w:val="000000"/>
                <w:sz w:val="14"/>
                <w:szCs w:val="14"/>
                <w:lang w:val="en-US" w:eastAsia="it-IT"/>
              </w:rPr>
              <w:t>[7]</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Depressive phenotype</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Obese and weak phenotype</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Strong muscle phenotype</w:t>
            </w: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Minimal Joint disease phenotype</w:t>
            </w:r>
          </w:p>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en-US" w:eastAsia="it-IT"/>
              </w:rPr>
              <w:t>Murphy 2011</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"10.1186/ar3449 [doi]", "ISSN" : "1478-6362; 1478-6354", "abstract" : "INTRODUCTION: Although people with knee and hip osteoarthritis (OA) seek treatment because of pain, many of these individuals have commonly co-occurring symptoms (for example, fatigue, sleep problems, mood disorders). The purpose of this study was to characterize adults with OA by identifying subgroups with the above comorbid symptoms along with illness burden (a composite measure of somatic symptoms) to begin to examine whether subsets may have differing underlying pain mechanisms. METHODS: Community-living older adults with symptomatic knee and hip OA (n = 129) participated (68% with knee OA, 38% with hip OA). Hierarchical agglomerative cluster analysis was used. To determine the relative contribution of each variable in a cluster, multivariate analysis of variance was used. RESULTS: We found three clusters. Cluster 1 (n = 45) had high levels of pain, fatigue, sleep problems, and mood disturbances. Cluster 2 (n = 38) had intermediate degrees of depression and fatigue, but low pain and good sleep. Cluster 3 (n = 42) had the lowest levels of pain, fatigue, and depression, but worse sleep quality than Cluster 2. CONCLUSIONS: In adults with symptomatic OA, three distinct subgroups were identified. Although replication is needed, many individuals with OA had symptoms other than joint pain and some (such as those in Cluster 1) may have relatively stronger central nervous system (CNS) contributions to their symptoms. For such individuals, therapies may need to include centrally-acting components in addition to traditional peripheral approaches.", "author" : [ { "dropping-particle" : "", "family" : "Murphy", "given" : "S L", "non-dropping-particle" : "", "parse-names" : false, "suffix" : "" }, { "dropping-particle" : "", "family" : "Lyden", "given" : "A K", "non-dropping-particle" : "", "parse-names" : false, "suffix" : "" }, { "dropping-particle" : "", "family" : "Phillips", "given" : "K", "non-dropping-particle" : "", "parse-names" : false, "suffix" : "" }, { "dropping-particle" : "", "family" : "Clauw", "given" : "D J", "non-dropping-particle" : "", "parse-names" : false, "suffix" : "" }, { "dropping-particle" : "", "family" : "Williams", "given" : "D A", "non-dropping-particle" : "", "parse-names" : false, "suffix" : "" } ], "container-title" : "Arthritis research &amp; therapy", "id" : "ITEM-1", "issue" : "4", "issued" : { "date-parts" : [ [ "2011", "8", "24" ] ] }, "note" : "LR: 20141022; GR: K23 AR060241/AR/NIAMS NIH HHS/United States; GR: K23 AR060241-01/AR/NIAMS NIH HHS/United States; GR: K23 AR060241-02/AR/NIAMS NIH HHS/United States; JID: 101154438; CIN: Arthritis Res Ther. 2011;13(6):133. PMID: 22136200; OID: NLM: PMC3239378; 2011/04/26 [received]; 2011/07/08 [revised]; 2011/08/24 [accepted]; 2011/08/24 [aheadofprint]; epublish", "page" : "R135", "publisher-place" : "Department of Physical Medicine and Rehabilitation, University of Michigan, 300 North Ingalls, 9th floor, Ann Arbor, MI 48109-2007, USA. sumurphy@umich.edu", "title" : "Subgroups of older adults with osteoarthritis based upon differing comorbid symptom presentations and potential underlying pain mechanisms", "type" : "article-journal", "volume" : "13" }, "uris" : [ "http://www.mendeley.com/documents/?uuid=4f0d0f62-bd2b-427d-baa2-934046e61c9e" ] } ], "mendeley" : { "formattedCitation" : "[31]", "plainTextFormattedCitation" : "[31]", "previouslyFormattedCitation" : "[31]"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[31]</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Group not named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Otterness</w:t>
            </w:r>
          </w:p>
          <w:p w:rsidR="00FA44F6" w:rsidRPr="00E04F3C" w:rsidRDefault="00FA44F6" w:rsidP="00BE02CD">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it-IT" w:eastAsia="it-IT"/>
              </w:rPr>
              <w:t>2000</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"10.1053/joca.1999.0288 [doi]", "ISSN" : "1063-4584; 1063-4584", "abstract" : "OBJECTIVE: To investigate the relationships between serum and urinary molecular markers (MM) used to monitor osteoarthritis. DESIGN: Forty osteoarthritis patients had blood and urine collected at baseline and 1, 3, 6 and 12 months later. Specimens from 20 controls were obtained twice at a one month interval. The concentration of 14 different markers was determined at each time point and the data were analyzed by statistical methodology. RESULTS: The markers could be divided by the method of principal components analysis into five clusters of related markers: inflammation markers (C-reactive protein, tumor necrosis receptor type I and tumor necrosis receptor type II, interleukin 6, eosinophilic cationic protein), bone markers (bone sialoprotein, hydroxylysyl pyridinoline, lysyl pyridinoline), putative markers of cartilage anabolism (carboxypropeptide of type II procollagen, hyaluronan, epitope 846) and catabolism (keratan sulfate, cartilage oligomeric matrix protein), and transforming growth factor beta. Three markers (tumor necrosis factor receptor II, cartilage oligomeric matrix protein and epitope 846) from independent clusters discriminated osteoarthritis patients from controls. Inflammation was not a confounding factor in measurement, but a recognizable distinguishing factor in osteoarthritis. CONCLUSIONS: The markers separated into rational groups on the basis of their covariance, a finding with independent biochemical support. The covariance of markers from the same cluster suggests the use of a representative marker from the cluster to reflect changes in osteoarthritis. If multiple markers are being measured within a single cluster, then the use of a weighted cluster 'factor' may be preferable to the separate use of individual markers.", "author" : [ { "dropping-particle" : "", "family" : "Otterness", "given" : "I G", "non-dropping-particle" : "", "parse-names" : false, "suffix" : "" }, { "dropping-particle" : "", "family" : "Swindell", "given" : "A C", "non-dropping-particle" : "", "parse-names" : false, "suffix" : "" }, { "dropping-particle" : "", "family" : "Zimmerer", "given" : "R O", "non-dropping-particle" : "", "parse-names" : false, "suffix" : "" }, { "dropping-particle" : "", "family" : "Poole", "given" : "A R", "non-dropping-particle" : "", "parse-names" : false, "suffix" : "" }, { "dropping-particle" : "", "family" : "Ionescu", "given" : "M", "non-dropping-particle" : "", "parse-names" : false, "suffix" : "" }, { "dropping-particle" : "", "family" : "Weiner", "given" : "E", "non-dropping-particle" : "", "parse-names" : false, "suffix" : "" } ], "container-title" : "Osteoarthritis and cartilage / OARS, Osteoarthritis Research Society", "id" : "ITEM-1", "issue" : "3", "issued" : { "date-parts" : [ [ "2000", "5" ] ] }, "note" : "LR: 20041117; JID: 9305697; 0 (Amino Acids); 0 (Biological Markers); 0 (Blood Proteins); 0 (Epitopes); 0 (Extracellular Matrix Proteins); 0 (Interleukin-6); 0 (Procollagen); 0 (Receptors, Tumor Necrosis Factor); 0 (Sialoglycoproteins); 0 (Transforming Growth Factor beta); 9004-61-9 (Hyaluronic Acid); 9007-41-4 (C-Reactive Protein); 9056-36-4 (Keratan Sulfate); EC 3.4.- (Carboxypeptidases); ppublish", "page" : "180-185", "publisher-place" : "Inflammation Biology, Pfizer Central Research, Groton, CT 06340, USA. otterx@earthlink.net", "title" : "An analysis of 14 molecular markers for monitoring osteoarthritis: segregation of the markers into clusters and distinguishing osteoarthritis at baseline", "type" : "article-journal", "volume" : "8" }, "uris" : [ "http://www.mendeley.com/documents/?uuid=13be34e1-cfdd-4a18-8371-7bd6635b97d4" ] } ], "mendeley" : { "formattedCitation" : "[32]", "plainTextFormattedCitation" : "[32]", "previouslyFormattedCitation" : "[32]"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[32]</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Inflammation markers</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1: markers of cartilage anabolism</w:t>
            </w:r>
          </w:p>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2: markers of cartilage catabolism</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en-US" w:eastAsia="it-IT"/>
              </w:rPr>
            </w:pPr>
            <w:r w:rsidRPr="00101897">
              <w:rPr>
                <w:rFonts w:eastAsia="Times New Roman" w:cs="Times New Roman"/>
                <w:color w:val="000000"/>
                <w:sz w:val="14"/>
                <w:szCs w:val="14"/>
                <w:lang w:val="en-US" w:eastAsia="it-IT"/>
              </w:rPr>
              <w:t>Pereira 2013</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"10.1186/1471-2474-14-214 [doi]", "ISSN" : "1471-2474; 1471-2474", "abstract" : "BACKGROUND: The progressive nature of knee osteoarthritis (OA) leads to not only to physical but also to psychosocial decline; this aspect can influence knee pain experience, manifestations and inevitably diagnostic accuracy. METHODS: Data on 663 subjects was obtained by interview using a structured questionnaire on social, demographic, behavioural and clinical data. Painful knee was assessed regarding having pain: ever, in the last year, in the last 6 months and in the last month. Using factor analysis, participants were graded using a knee pain score, with higher scores representing more symptomatology. Depressive symptoms were evaluated with the Beck Depressive Inventory (BDI), and radiographic knee OA was classified using the Kellgren Lawrence (KL) scale; those with KL &gt;/= 2 were considered as having radiographic OA. RESULTS: Knee pain was reported by 53.2% of those with radiographic KL &gt;/= 2 and by 33.2% of those with radiographic KL  14) was 19.9% among participants with radiographic KL &gt;/= 2 and 12.6% among those with radiographic KL  14) was 19.9% among participants with radiographic KL &gt;/= 2 and 12.6% among those with radiographic KL  14) likelihood ratios were 0.51, 1.92, 1.82, respectively. The results were similar for both genders. CONCLUSIONS: Knee pain scores increased ability to identify participants with radiographic KL &gt;/= 2 in both sexes. However, the presence of depressive symptoms impairs the ability of knee pain complaints to identify patients with radiographic OA.", "author" : [ { "dropping-particle" : "", "family" : "Pereira", "given" : "D", "non-dropping-particle" : "", "parse-names" : false, "suffix" : "" }, { "dropping-particle" : "", "family" : "Severo", "given" : "M", "non-dropping-particle" : "", "parse-names" : false, "suffix" : "" }, { "dropping-particle" : "", "family" : "Barros", "given" : "H", "non-dropping-particle" : "", "parse-names" : false, "suffix" : "" }, { "dropping-particle" : "", "family" : "Branco", "given" : "J", "non-dropping-particle" : "", "parse-names" : false, "suffix" : "" }, { "dropping-particle" : "", "family" : "Santos", "given" : "R A", "non-dropping-particle" : "", "parse-names" : false, "suffix" : "" }, { "dropping-particle" : "", "family" : "Ramos", "given" : "E", "non-dropping-particle" : "", "parse-names" : false, "suffix" : "" } ], "container-title" : "BMC musculoskeletal disorders", "id" : "ITEM-1", "issued" : { "date-parts" : [ [ "2013", "7", "22" ] ] }, "note" : "JID: 100968565; OID: NLM: PMC3724602; 2013/01/22 [received]; 2013/07/12 [accepted]; 2013/07/22 [aheadofprint]; epublish", "page" : "214", "publisher-place" : "England", "title" : "The effect of depressive symptoms on the association between radiographic osteoarthritis and knee pain: a cross-sectional study", "type" : "article-journal", "volume" : "14" }, "uris" : [ "http://www.mendeley.com/documents/?uuid=906ddd11-242e-4789-a9b1-3211be919530" ] } ], "mendeley" : { "formattedCitation" : "[33]", "plainTextFormattedCitation" : "[33]", "previouslyFormattedCitation" : "[33]"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[33]</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Group not named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en-US" w:eastAsia="it-IT"/>
              </w:rPr>
              <w:t>Roemer 2012</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"10.1002/art.33344 [doi]", "ISSN" : "1529-0131; 0004-3591", "abstract" : "OBJECTIVE: To describe the association of osteophytes with concomitant cartilage damage, assessed using semiquantitative magnetic resonance imaging (MRI), and to describe the prevalence of atrophic and hypertrophic phenotypes of tibiofemoral knee osteoarthritis (OA) in a population-based cohort. METHODS: Participants of the Framingham Knee Osteoarthritis Study were examined with a 1.5T MRI system using triplanar intermediate-weighted fat-suppressed sequences. Cartilage and osteophytes were assessed using the Whole-Organ Magnetic Resonance Imaging Score (WORMS). Overall prevalence of knees with severe cartilage damage and concomitant osteophyte status were described. Odds ratios for the likelihood of having severe cartilage damage according to osteophyte size were estimated using a logistic regression model. An additional analysis assessed knees according to phenotype in relation to radiographic OA status, with the atrophic phenotype being defined as knees with absent or only tiny osteophytes (WORMS grade /=5 on a 0-7 scale) but lacking substantial cartilage damage. RESULTS: In this study, 1,597 knees of 1,248 subjects were included. Of the 67 knees with large osteophytes, 54 (80.6%) exhibited severe cartilage damage. The risk of severe cartilage damage increased markedly with increasing osteophyte size. Twenty-one knees (1.3%) showed an atrophic phenotype. Only 3 knees (0.2%) exhibited a hypertrophic phenotype. CONCLUSION: The majority of knees with severe tibiofemoral cartilage damage exhibited moderate to large osteophytes. The larger the osteophyte, the more likely was the presence of severe cartilage damage. A minority of knees exhibited the atrophic phenotype, which also included knees without radiographic OA. The hypertrophic phenotype was extremely rare.", "author" : [ { "dropping-particle" : "", "family" : "Roemer", "given" : "F W", "non-dropping-particle" : "", "parse-names" : false, "suffix" : "" }, { "dropping-particle" : "", "family" : "Guermazi", "given" : "A", "non-dropping-particle" : "", "parse-names" : false, "suffix" : "" }, { "dropping-particle" : "", "family" : "Niu", "given" : "J", "non-dropping-particle" : "", "parse-names" : false, "suffix" : "" }, { "dropping-particle" : "", "family" : "Zhang", "given" : "Y", "non-dropping-particle" : "", "parse-names" : false, "suffix" : "" }, { "dropping-particle" : "", "family" : "Mohr", "given" : "A", "non-dropping-particle" : "", "parse-names" : false, "suffix" : "" }, { "dropping-particle" : "", "family" : "Felson", "given" : "D T", "non-dropping-particle" : "", "parse-names" : false, "suffix" : "" } ], "container-title" : "Arthritis and Rheumatism", "id" : "ITEM-1", "issue" : "2", "issued" : { "date-parts" : [ [ "2012", "2" ] ] }, "note" : "LR: 20141021; CI: Copyright (c) 2012; GR: AG-18393/AG/NIA NIH HHS/United States; GR: AR-47785/AR/NIAMS NIH HHS/United States; GR: N01-HC-25195/HC/NHLBI NIH HHS/United States; GR: R01 AG018393/AG/NIA NIH HHS/United States; GR: R01 AG018393-01/AG/NIA NIH HHS/United States; JID: 0370605; NIHMS323304; OID: NLM: NIHMS323304; OID: NLM: PMC3268883; ppublish", "page" : "429-437", "publisher" : "by the American College of Rheumatology", "publisher-place" : "Department of Radiology, Boston University Medical Center, Boston, Massachusetts 02118, USA. froemer@bu.edu", "title" : "Prevalence of magnetic resonance imaging-defined atrophic and hypertrophic phenotypes of knee osteoarthritis in a population-based cohort", "type" : "article-journal", "volume" : "64" }, "uris" : [ "http://www.mendeley.com/documents/?uuid=ad100a77-4e92-4235-bdff-b452c2764296" ] } ], "mendeley" : { "formattedCitation" : "[34]", "plainTextFormattedCitation" : "[34]", "previouslyFormattedCitation" : "[34]"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[34]</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1: atrophic phenotype</w:t>
            </w:r>
          </w:p>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 xml:space="preserve">2: </w:t>
            </w:r>
            <w:proofErr w:type="spellStart"/>
            <w:r w:rsidRPr="00B93F2B">
              <w:rPr>
                <w:rFonts w:cs="Calibri"/>
                <w:color w:val="000000"/>
                <w:sz w:val="14"/>
                <w:szCs w:val="14"/>
              </w:rPr>
              <w:t>hypertophic</w:t>
            </w:r>
            <w:proofErr w:type="spellEnd"/>
            <w:r w:rsidRPr="00B93F2B">
              <w:rPr>
                <w:rFonts w:cs="Calibri"/>
                <w:color w:val="000000"/>
                <w:sz w:val="14"/>
                <w:szCs w:val="14"/>
              </w:rPr>
              <w:t xml:space="preserve"> phenotype</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it-IT" w:eastAsia="it-IT"/>
              </w:rPr>
            </w:pPr>
            <w:r w:rsidRPr="00101897">
              <w:rPr>
                <w:rFonts w:eastAsia="Times New Roman" w:cs="Times New Roman"/>
                <w:color w:val="000000"/>
                <w:sz w:val="14"/>
                <w:szCs w:val="14"/>
                <w:lang w:val="it-IT" w:eastAsia="it-IT"/>
              </w:rPr>
              <w:t>Sowers 2002</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it-IT" w:eastAsia="it-IT"/>
              </w:rPr>
              <w:instrText>ADDIN CSL_CITATION { "citationItems" : [ { "id" : "ITEM-1", "itemData" : { "DOI" : "S1063458402908009 [pii]", "ISSN" : "1063-4584; 1063-4584", "abstract" : "OBJECTIVE: We evaluated C-reactive protein (C-RP), a quantitative marker of the acute phase response, as a potential biomarker of prevalent and incident osteoarthritis of the knee (OAK). METHODS: Serum C-reactive protein concentrations were characterized with ultrasensitive rate nephelometry in a population-based sample of 1025 women (318 African-American and 707 Caucasian) who are enrollees in a study of musculoskeletal conditions at the mid-life. Assignment of OAK was based on Kellgren-Lawrence (K-L) scores of 2 or more on radiographs. Prevalent OAK was based on the baseline (1996) score while the classification of incident OAK was based on a score of 2 or greater at the follow-up examination 2.5 years later amongst those with a baseline K-L scores of 0 or 1. RESULTS: At baseline, the prevalence of radiographic OAK was 12% in participants who were aged 27-53 years and 18% in the subgroup of women aged 40-53 years. The mean C-RP value was 2.31 mg/L, with values ranging from below detection (0.3 mg/L) to 47.4 mg/L. Higher C-RP concentrations were associated with both prevalent and incident OAK (P  30 kg/m2), mean C-RP values were: obesity and OAK, 6.3 +/- 0.4 mg/L; obesity but not OAK, 4.3 mg/L +/- 0.2; no obesity but OAK, 1.7 mg/L +/- 0.8; and neither obesity nor OAK, 1.3 mg/L +/- 0.2 mg/L. These stratum means were significantly different from each other, indicating a higher C-RP with OAK after accounting for obesity. CONCLUSION: C-RP, as a measure of an acute phase response and inflammation, is highly associated with OAK; however, its high correlation with obesity limits its utility as an exclusive marker for OAK.", "author" : [ { "dropping-particle" : "", "family" : "Sowers", "given" : "M", "non-dropping-particle" : "", "parse-names" : false, "suffix" : "" }, { "dropping-particle" : "", "family" : "Jannausch", "given" : "M", "non-dropping-particle" : "", "parse-names" : false, "suffix" : "" }, { "dropping-particle" : "", "family" : "Stein", "given" : "E", "non-dropping-particle" : "", "parse-names" : false, "suffix" : "" }, { "dropping-particle" : "", "family" : "Jamadar", "given" : "D", "non-dropping-particle" : "", "parse-names" : false, "suffix" : "" }, { "dropping-particle" : "", "family" : "Hochberg", "given" : "M", "non-dropping-particle" : "", "parse-names" : false, "suffix" : "" }, { "dropping-particle" : "", "family" : "Lachance", "given" : "L", "non-dropping-particle" : "", "parse-names" : false, "suffix" : "" } ], "container-title" : "Osteoarthritis and cartilage / OARS, Osteoarthritis Research Society", "id" : "ITEM-1", "issue" : "8", "issued" : { "date-parts" : [ [ "2002", "8" ] ] }, "note" : "LR: 20071114; GR: AG-17104/AG/NIA NIH HHS/United States; GR: AR-20557/AR/NIAMS NIH HHS/United States; GR: NR-04561/NR/NINR NIH HHS/United States; JID: 9305697; 0 (Biological Markers); 9007-41-4 (C-Reactive Protein); ppublish", "page" : "595-601", "publisher-place" : "Department of Epidemiology, School of Public Health, University of Michigan, Ann Arbor, Ml 48109-2029, USA. mfsowers@umich.edu", "title" : "C-reactive protein as a biomarker of emergent osteoarthritis", "type" : "article-journal", "volume" : "10" }, "uris" : [ "http://www.mendeley.com/documents/?uuid=93e8a372-a444-4acc-96e6-6c5842f28774" ] } ], "mendeley" : { "formattedCitation" : "[35]", "plainTextFormattedCitation" : "[35]", "previouslyFormattedCitation" : "[35]"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it-IT" w:eastAsia="it-IT"/>
              </w:rPr>
              <w:t>[35]</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Group not named</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E04F3C" w:rsidP="00BE02CD">
            <w:pPr>
              <w:spacing w:after="0" w:line="480" w:lineRule="auto"/>
              <w:jc w:val="center"/>
              <w:rPr>
                <w:rFonts w:eastAsia="Times New Roman" w:cs="Times New Roman"/>
                <w:color w:val="000000"/>
                <w:sz w:val="14"/>
                <w:szCs w:val="14"/>
                <w:lang w:val="en-US" w:eastAsia="it-IT"/>
              </w:rPr>
            </w:pPr>
            <w:r>
              <w:rPr>
                <w:rFonts w:eastAsia="Times New Roman" w:cs="Times New Roman"/>
                <w:color w:val="000000"/>
                <w:sz w:val="14"/>
                <w:szCs w:val="14"/>
                <w:lang w:val="it-IT" w:eastAsia="it-IT"/>
              </w:rPr>
              <w:t>Van der E</w:t>
            </w:r>
            <w:r w:rsidR="00FA44F6" w:rsidRPr="00101897">
              <w:rPr>
                <w:rFonts w:eastAsia="Times New Roman" w:cs="Times New Roman"/>
                <w:color w:val="000000"/>
                <w:sz w:val="14"/>
                <w:szCs w:val="14"/>
                <w:lang w:val="it-IT" w:eastAsia="it-IT"/>
              </w:rPr>
              <w:t>sch 2015</w:t>
            </w:r>
            <w:r w:rsidR="00FA44F6">
              <w:rPr>
                <w:rFonts w:eastAsia="Times New Roman" w:cs="Times New Roman"/>
                <w:color w:val="000000"/>
                <w:sz w:val="14"/>
                <w:szCs w:val="14"/>
                <w:lang w:val="it-IT" w:eastAsia="it-IT"/>
              </w:rPr>
              <w:t xml:space="preserve"> </w:t>
            </w:r>
            <w:r w:rsidR="00142F7B">
              <w:rPr>
                <w:rFonts w:eastAsia="Times New Roman" w:cs="Times New Roman"/>
                <w:color w:val="000000"/>
                <w:sz w:val="14"/>
                <w:szCs w:val="14"/>
                <w:lang w:val="it-IT" w:eastAsia="it-IT"/>
              </w:rPr>
              <w:fldChar w:fldCharType="begin" w:fldLock="1"/>
            </w:r>
            <w:r w:rsidR="00FA44F6">
              <w:rPr>
                <w:rFonts w:eastAsia="Times New Roman" w:cs="Times New Roman"/>
                <w:color w:val="000000"/>
                <w:sz w:val="14"/>
                <w:szCs w:val="14"/>
                <w:lang w:val="it-IT" w:eastAsia="it-IT"/>
              </w:rPr>
              <w:instrText>ADDIN CSL_CITATION { "citationItems" : [ { "id" : "ITEM-1", "itemData" : { "DOI" : "10.1016/j.joca.2015.01.006", "ISSN" : "10634584", "author" : [ { "dropping-particle" : "", "family" : "Esch", "given" : "M.", "non-dropping-particle" : "van der", "parse-names" : false, "suffix" : "" }, { "dropping-particle" : "", "family" : "Knoop", "given" : "J.", "non-dropping-particle" : "", "parse-names" : false, "suffix" : "" }, { "dropping-particle" : "", "family" : "Leeden", "given" : "M.", "non-dropping-particle" : "van der", "parse-names" : false, "suffix" : "" }, { "dropping-particle" : "", "family" : "Roorda", "given" : "L.D.", "non-dropping-particle" : "", "parse-names" : false, "suffix" : "" }, { "dropping-particle" : "", "family" : "Lems", "given" : "W.F.", "non-dropping-particle" : "", "parse-names" : false, "suffix" : "" }, { "dropping-particle" : "", "family" : "Knol", "given" : "D.L.", "non-dropping-particle" : "", "parse-names" : false, "suffix" : "" }, { "dropping-particle" : "", "family" : "Dekker", "given" : "J.", "non-dropping-particle" : "", "parse-names" : false, "suffix" : "" } ], "container-title" : "Osteoarthritis and Cartilage", "id" : "ITEM-1", "issue" : "4", "issued" : { "date-parts" : [ [ "2015" ] ] }, "page" : "544-549", "publisher" : "Elsevier Ltd", "title" : "Clinical phenotypes in patients with knee osteoarthritis: a study in the Amsterdam osteoarthritis cohort", "type" : "article-journal", "volume" : "23" }, "uris" : [ "http://www.mendeley.com/documents/?uuid=66664158-599f-4b99-88e4-d67bf7437f62" ] } ], "mendeley" : { "formattedCitation" : "[36]", "plainTextFormattedCitation" : "[36]", "previouslyFormattedCitation" : "[36]" }, "properties" : { "noteIndex" : 0 }, "schema" : "https://github.com/citation-style-language/schema/raw/master/csl-citation.json" }</w:instrText>
            </w:r>
            <w:r w:rsidR="00142F7B">
              <w:rPr>
                <w:rFonts w:eastAsia="Times New Roman" w:cs="Times New Roman"/>
                <w:color w:val="000000"/>
                <w:sz w:val="14"/>
                <w:szCs w:val="14"/>
                <w:lang w:val="it-IT" w:eastAsia="it-IT"/>
              </w:rPr>
              <w:fldChar w:fldCharType="separate"/>
            </w:r>
            <w:r w:rsidR="00FA44F6" w:rsidRPr="00122694">
              <w:rPr>
                <w:rFonts w:eastAsia="Times New Roman" w:cs="Times New Roman"/>
                <w:noProof/>
                <w:color w:val="000000"/>
                <w:sz w:val="14"/>
                <w:szCs w:val="14"/>
                <w:lang w:val="it-IT" w:eastAsia="it-IT"/>
              </w:rPr>
              <w:t>[36]</w:t>
            </w:r>
            <w:r w:rsidR="00142F7B">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vertAlign w:val="superscript"/>
              </w:rPr>
            </w:pPr>
            <w:r w:rsidRPr="00B93F2B">
              <w:rPr>
                <w:rFonts w:cs="Calibri"/>
                <w:color w:val="000000"/>
                <w:sz w:val="14"/>
                <w:szCs w:val="14"/>
              </w:rPr>
              <w:t>Depressive phenotype</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Obese phenotype</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Strong muscle strength phenotype</w:t>
            </w: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Minimal Joint disease phenotype</w:t>
            </w:r>
          </w:p>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B93F2B" w:rsidTr="00BE02CD">
        <w:trPr>
          <w:trHeight w:val="290"/>
        </w:trPr>
        <w:tc>
          <w:tcPr>
            <w:tcW w:w="651" w:type="pct"/>
            <w:tcBorders>
              <w:top w:val="nil"/>
              <w:left w:val="nil"/>
              <w:bottom w:val="nil"/>
              <w:right w:val="nil"/>
            </w:tcBorders>
            <w:shd w:val="solid" w:color="FFFFFF" w:fill="auto"/>
            <w:vAlign w:val="center"/>
          </w:tcPr>
          <w:p w:rsidR="00FA44F6" w:rsidRPr="00101897" w:rsidRDefault="00E04F3C" w:rsidP="00BE02CD">
            <w:pPr>
              <w:spacing w:after="0" w:line="480" w:lineRule="auto"/>
              <w:jc w:val="center"/>
              <w:rPr>
                <w:rFonts w:eastAsia="Times New Roman" w:cs="Times New Roman"/>
                <w:color w:val="000000"/>
                <w:sz w:val="14"/>
                <w:szCs w:val="14"/>
                <w:lang w:val="en-US" w:eastAsia="it-IT"/>
              </w:rPr>
            </w:pPr>
            <w:r>
              <w:rPr>
                <w:rFonts w:eastAsia="Times New Roman" w:cs="Times New Roman"/>
                <w:color w:val="000000"/>
                <w:sz w:val="14"/>
                <w:szCs w:val="14"/>
                <w:lang w:val="en-US" w:eastAsia="it-IT"/>
              </w:rPr>
              <w:t xml:space="preserve">Van </w:t>
            </w:r>
            <w:proofErr w:type="spellStart"/>
            <w:r>
              <w:rPr>
                <w:rFonts w:eastAsia="Times New Roman" w:cs="Times New Roman"/>
                <w:color w:val="000000"/>
                <w:sz w:val="14"/>
                <w:szCs w:val="14"/>
                <w:lang w:val="en-US" w:eastAsia="it-IT"/>
              </w:rPr>
              <w:t>S</w:t>
            </w:r>
            <w:r w:rsidR="00FA44F6" w:rsidRPr="00101897">
              <w:rPr>
                <w:rFonts w:eastAsia="Times New Roman" w:cs="Times New Roman"/>
                <w:color w:val="000000"/>
                <w:sz w:val="14"/>
                <w:szCs w:val="14"/>
                <w:lang w:val="en-US" w:eastAsia="it-IT"/>
              </w:rPr>
              <w:t>pil</w:t>
            </w:r>
            <w:proofErr w:type="spellEnd"/>
            <w:r w:rsidR="00FA44F6" w:rsidRPr="00101897">
              <w:rPr>
                <w:rFonts w:eastAsia="Times New Roman" w:cs="Times New Roman"/>
                <w:color w:val="000000"/>
                <w:sz w:val="14"/>
                <w:szCs w:val="14"/>
                <w:lang w:val="en-US" w:eastAsia="it-IT"/>
              </w:rPr>
              <w:t xml:space="preserve"> 2012</w:t>
            </w:r>
            <w:r w:rsidR="00142F7B" w:rsidRPr="00101897">
              <w:rPr>
                <w:rFonts w:eastAsia="Times New Roman" w:cs="Times New Roman"/>
                <w:color w:val="000000"/>
                <w:sz w:val="14"/>
                <w:szCs w:val="14"/>
                <w:lang w:val="it-IT" w:eastAsia="it-IT"/>
              </w:rPr>
              <w:fldChar w:fldCharType="begin" w:fldLock="1"/>
            </w:r>
            <w:r w:rsidR="00FA44F6">
              <w:rPr>
                <w:rFonts w:eastAsia="Times New Roman" w:cs="Times New Roman"/>
                <w:color w:val="000000"/>
                <w:sz w:val="14"/>
                <w:szCs w:val="14"/>
                <w:lang w:val="en-US" w:eastAsia="it-IT"/>
              </w:rPr>
              <w:instrText>ADDIN CSL_CITATION { "citationItems" : [ { "id" : "ITEM-1", "itemData" : { "DOI" : "10.1016/j.joca.2012.04.004 [doi]", "ISBN" : "1522-9653 (Electronic)\\r1063-4584 (Linking)", "ISSN" : "1522-9653; 1063-4584", "PMID" : "22503811", "abstract" : "OBJECTIVE: To assess a wide spectrum of biochemical markers (biomarkers) in a large cohort of individuals with (very) early symptomatic knee and/or hip osteoarthritis (OA). Secondly, to investigate associations between biomarkers and between biomarkers and demographics to demonstrate validity of the obtained dataset and further investigate the involvement and/or role of these biomarkers in OA. DESIGN: Fourteen biomarkers (uCTX-II, uCTX-I, uNTX-I, sCOMP, sPIIANP, sCS846, sC1,2C, sOC, sPINP, sHA, sPIIINP, pLeptin, pAdiponectin, pResistin) were assessed by ELISA or RIA in CHECK (Cohort Hip and Cohort Knee), a 10-year prospective cohort of 1,002 individuals with early symptomatic knee and/or hip OA. RESULTS: Quality controls revealed that gathered data were technically reliable. The majority of biomarkers showed relevant associations with demographic variables, which were expectedly different between genders and/or menopausal status for some. Principal component analysis enabled identification of five clusters, consecutively designated as 'bone-CTX-II', 'inflammation', 'synovium', 'C1,2C-adipokines', and 'cartilage synthesis' cluster. Notably, uCTX-II clustered with biomarkers of bone metabolism, while sCOMP clustered with biomarkers of synovial activity. CONCLUSIONS: The identified clusters extended knowledge on individual biomarkers from mostly smaller studies as did the observed associations between biomarker levels and demographics, from which validity of our data was deduced. uCTX-II may not only reflect articular cartilage but also bone metabolism and sCOMP may reflect synovial rather than cartilage metabolism. Major involvement of adipokines in joint metabolism was not identified.", "author" : [ { "dropping-particle" : "", "family" : "Spil", "given" : "W.E. E", "non-dropping-particle" : "van", "parse-names" : false, "suffix" : "" }, { "dropping-particle" : "", "family" : "Jansen", "given" : "N.W.D. W", "non-dropping-particle" : "", "parse-names" : false, "suffix" : "" }, { "dropping-particle" : "", "family" : "Bijlsma", "given" : "J.W.J. W", "non-dropping-particle" : "", "parse-names" : false, "suffix" : "" }, { "dropping-particle" : "", "family" : "Reijman", "given" : "M.", "non-dropping-particle" : "", "parse-names" : false, "suffix" : "" }, { "dropping-particle" : "", "family" : "DeGroot", "given" : "J.", "non-dropping-particle" : "", "parse-names" : false, "suffix" : "" }, { "dropping-particle" : "", "family" : "Welsing", "given" : "P.M.J. M", "non-dropping-particle" : "", "parse-names" : false, "suffix" : "" }, { "dropping-particle" : "", "family" : "Lafeber", "given" : "F.P.J.G. P", "non-dropping-particle" : "", "parse-names" : false, "suffix" : "" } ], "container-title" : "Osteoarthritis and cartilage / OARS, Osteoarthritis Research Society", "id" : "ITEM-1", "issue" : "7", "issued" : { "date-parts" : [ [ "2012", "7" ] ] }, "note" : "From Duplicate 1 (Clusters within a wide spectrum of biochemical markers for osteoarthritis: data from CHECK, a large cohort of individuals with very early symptomatic osteoarthritis - van Spil, W E; Jansen, N W; Bijlsma, J W; Reijman, M; DeGroot, J; Welsing, P M; Lafeber, F P)\n\nCI: Copyright (c) 2012; JID: 9305697; 0 (Adipokines); 0 (Biological Markers); 2011/12/12 [received]; 2012/03/08 [revised]; 2012/04/04 [accepted]; 2012/04/11 [aheadofprint]; ppublish", "page" : "745-754", "publisher" : "Osteoarthritis Research Society International. Published by Elsevier Ltd", "publisher-place" : "Department of Rheumatology &amp; Clinical Immunology, University Medical Center Utrecht, P.O. Box 85500, 3508 GA, Utrecht, The Netherlands. w.e.vanspil@umcutrecht.nl", "title" : "Clusters within a wide spectrum of biochemical markers for osteoarthritis: data from CHECK, a large cohort of individuals with very early symptomatic osteoarthritis", "type" : "article-journal", "volume" : "20" }, "uris" : [ "http://www.mendeley.com/documents/?uuid=a49d0205-9f26-4cb9-a574-6b5e60353496" ] } ], "mendeley" : { "formattedCitation" : "[37]", "plainTextFormattedCitation" : "[37]", "previouslyFormattedCitation" : "[37]"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00FA44F6" w:rsidRPr="00122694">
              <w:rPr>
                <w:rFonts w:eastAsia="Times New Roman" w:cs="Times New Roman"/>
                <w:noProof/>
                <w:color w:val="000000"/>
                <w:sz w:val="14"/>
                <w:szCs w:val="14"/>
                <w:lang w:val="en-US" w:eastAsia="it-IT"/>
              </w:rPr>
              <w:t>[37]</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Calibri"/>
                <w:color w:val="000000"/>
                <w:sz w:val="14"/>
                <w:szCs w:val="14"/>
              </w:rPr>
              <w:t>Synovium</w:t>
            </w:r>
          </w:p>
        </w:tc>
        <w:tc>
          <w:tcPr>
            <w:tcW w:w="725" w:type="pct"/>
            <w:tcBorders>
              <w:top w:val="nil"/>
              <w:left w:val="nil"/>
              <w:bottom w:val="nil"/>
              <w:right w:val="nil"/>
            </w:tcBorders>
            <w:shd w:val="solid" w:color="FFFFFF" w:fill="auto"/>
            <w:vAlign w:val="center"/>
          </w:tcPr>
          <w:p w:rsidR="00FA44F6" w:rsidRPr="00B93F2B" w:rsidRDefault="00FA44F6" w:rsidP="00E04F3C">
            <w:pPr>
              <w:tabs>
                <w:tab w:val="left" w:pos="814"/>
                <w:tab w:val="center" w:pos="912"/>
              </w:tabs>
              <w:autoSpaceDE w:val="0"/>
              <w:autoSpaceDN w:val="0"/>
              <w:adjustRightInd w:val="0"/>
              <w:spacing w:after="0" w:line="240" w:lineRule="auto"/>
              <w:jc w:val="center"/>
              <w:rPr>
                <w:rFonts w:cs="Calibri"/>
                <w:color w:val="000000"/>
                <w:sz w:val="14"/>
                <w:szCs w:val="14"/>
              </w:rPr>
            </w:pPr>
            <w:r w:rsidRPr="00B93F2B">
              <w:rPr>
                <w:rFonts w:cs="AdvOT863180fb"/>
                <w:sz w:val="14"/>
                <w:szCs w:val="14"/>
              </w:rPr>
              <w:t>Inflammation</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sidRPr="00B93F2B">
              <w:rPr>
                <w:rFonts w:cs="AdvOT863180fb"/>
                <w:sz w:val="14"/>
                <w:szCs w:val="14"/>
              </w:rPr>
              <w:t>Bone-CTX-II</w:t>
            </w:r>
            <w:r w:rsidRPr="00B93F2B">
              <w:rPr>
                <w:rFonts w:cs="Calibri"/>
                <w:color w:val="000000"/>
                <w:sz w:val="14"/>
                <w:szCs w:val="14"/>
              </w:rPr>
              <w:t>,</w:t>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r>
      <w:tr w:rsidR="00FA44F6" w:rsidRPr="007D6738"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en-US" w:eastAsia="it-IT"/>
              </w:rPr>
            </w:pPr>
            <w:proofErr w:type="spellStart"/>
            <w:r w:rsidRPr="00101897">
              <w:rPr>
                <w:rFonts w:eastAsia="Times New Roman" w:cs="Times New Roman"/>
                <w:color w:val="000000"/>
                <w:sz w:val="14"/>
                <w:szCs w:val="14"/>
                <w:lang w:val="en-US" w:eastAsia="it-IT"/>
              </w:rPr>
              <w:t>Waarsing</w:t>
            </w:r>
            <w:proofErr w:type="spellEnd"/>
            <w:r w:rsidRPr="00101897">
              <w:rPr>
                <w:rFonts w:eastAsia="Times New Roman" w:cs="Times New Roman"/>
                <w:color w:val="000000"/>
                <w:sz w:val="14"/>
                <w:szCs w:val="14"/>
                <w:lang w:val="en-US" w:eastAsia="it-IT"/>
              </w:rPr>
              <w:t xml:space="preserve"> 2015</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"kev100 [pii]", "ISSN" : "1462-0332; 1462-0324", "abstract" : "OBJECTIVE: OA is suspected to be a collection of distinct subtypes, each with different aetiology and clinical characteristics. We aimed to explore the existence of different subtypes of knee OA, using cluster analysis of the data of the OA Initiative. METHODS: We used latent class cluster analysis (LCA) to cluster baseline data of 518 subjects of the OA Initiative progression cohort. Data included radiographic scores of OA features per compartment, regional quantitative MRI measures of cartilage quantity and denuded bone, and self-reported clinical scores on knee symptoms. To ensure that the clusters were found independently of OA severity, the LCA model was corrected with a measure of OA severity. The resulting clusters were compared with respect to the presence of risk factors and progression. RESULTS: LCA resulted in four clusters containing 47%, 27%, 15% and 12% of the subjects. Clusters 1, 2 and 4 showed OA features at the medial compartment, while cluster 3 only showed lateral OA features. Clusters 3 and 4 showed severe increases in areas of denuded bone, whereas no denuded bone was present in cluster 1. Prevalence of OA progression over 24 months was highest in clusters 3 and 4 and lowest in cluster 1. The clusters also differed significantly in BMI, knee alignment and prevalence of reported trauma. CONCLUSION: LCA confirmed the existence of distinct subtypes of knee OA with clear differences in structural degradation and symptoms. The fact that subtypes also differed in risk factors suggests that different causes lead to different types of knee OA.", "author" : [ { "dropping-particle" : "", "family" : "Waarsing", "given" : "J H", "non-dropping-particle" : "", "parse-names" : false, "suffix" : "" }, { "dropping-particle" : "", "family" : "Bierma-Zeinstra", "given" : "S M", "non-dropping-particle" : "", "parse-names" : false, "suffix" : "" }, { "dropping-particle" : "", "family" : "Weinans", "given" : "H", "non-dropping-particle" : "", "parse-names" : false, "suffix" : "" } ], "container-title" : "Rheumatology (Oxford, England)", "id" : "ITEM-1", "issued" : { "date-parts" : [ [ "2015", "4", "16" ] ] }, "note" : "LR: 20150418; CI: (c) The Author 2015; JID: 100883501; OTO: NOTNLM; aheadofprint", "publisher" : ". Published by Oxford University Press on behalf of the British Society for Rheumatology", "publisher-place" : "Department of Orthopaedics, Department of General Practice, Erasmus Medical Center, Rotterdam, Department of Orthopaedics &amp; Rheumatology, UMC Utrecht and Department of Biomedical Engineering, Delft University of Technology, Delft, The Netherlands e.waarsi", "title" : "Distinct subtypes of knee osteoarthritis: data from the Osteoarthritis Initiative", "type" : "article-journal" }, "uris" : [ "http://www.mendeley.com/documents/?uuid=71951575-fe94-4434-83a9-5b33464a7012" ] } ], "mendeley" : { "formattedCitation" : "[8]", "plainTextFormattedCitation" : "[8]", "previouslyFormattedCitation" : "[8]"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3B45A0">
              <w:rPr>
                <w:rFonts w:eastAsia="Times New Roman" w:cs="Times New Roman"/>
                <w:noProof/>
                <w:color w:val="000000"/>
                <w:sz w:val="14"/>
                <w:szCs w:val="14"/>
                <w:lang w:val="en-US" w:eastAsia="it-IT"/>
              </w:rPr>
              <w:t>[8]</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lang w:val="it-IT"/>
              </w:rPr>
            </w:pPr>
            <w:r w:rsidRPr="00B93F2B">
              <w:rPr>
                <w:rFonts w:cs="Calibri"/>
                <w:color w:val="000000"/>
                <w:sz w:val="14"/>
                <w:szCs w:val="14"/>
                <w:lang w:val="it-IT"/>
              </w:rPr>
              <w:t>1: Aggressive OA (medial)</w:t>
            </w:r>
          </w:p>
          <w:p w:rsidR="00FA44F6" w:rsidRPr="00B93F2B" w:rsidRDefault="00FA44F6" w:rsidP="00E04F3C">
            <w:pPr>
              <w:autoSpaceDE w:val="0"/>
              <w:autoSpaceDN w:val="0"/>
              <w:adjustRightInd w:val="0"/>
              <w:spacing w:after="0" w:line="240" w:lineRule="auto"/>
              <w:jc w:val="center"/>
              <w:rPr>
                <w:rFonts w:cs="Calibri"/>
                <w:color w:val="000000"/>
                <w:sz w:val="14"/>
                <w:szCs w:val="14"/>
                <w:lang w:val="it-IT"/>
              </w:rPr>
            </w:pPr>
            <w:r w:rsidRPr="00B93F2B">
              <w:rPr>
                <w:rFonts w:cs="Calibri"/>
                <w:color w:val="000000"/>
                <w:sz w:val="14"/>
                <w:szCs w:val="14"/>
                <w:lang w:val="it-IT"/>
              </w:rPr>
              <w:t>2: Aggressive OA (lateral)</w:t>
            </w:r>
          </w:p>
        </w:tc>
        <w:tc>
          <w:tcPr>
            <w:tcW w:w="725" w:type="pct"/>
            <w:gridSpan w:val="2"/>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lang w:val="it-IT"/>
              </w:rPr>
            </w:pPr>
            <w:r w:rsidRPr="00B93F2B">
              <w:rPr>
                <w:rFonts w:cs="Calibri"/>
                <w:color w:val="000000"/>
                <w:sz w:val="14"/>
                <w:szCs w:val="14"/>
              </w:rPr>
              <w:t>Mild OA</w:t>
            </w:r>
          </w:p>
        </w:tc>
      </w:tr>
      <w:tr w:rsidR="00FA44F6" w:rsidRPr="007D6738" w:rsidTr="00BE02CD">
        <w:trPr>
          <w:trHeight w:val="290"/>
        </w:trPr>
        <w:tc>
          <w:tcPr>
            <w:tcW w:w="651" w:type="pct"/>
            <w:tcBorders>
              <w:top w:val="nil"/>
              <w:left w:val="nil"/>
              <w:bottom w:val="nil"/>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en-US" w:eastAsia="it-IT"/>
              </w:rPr>
            </w:pPr>
            <w:proofErr w:type="spellStart"/>
            <w:r>
              <w:rPr>
                <w:rFonts w:eastAsia="Times New Roman" w:cs="Times New Roman"/>
                <w:color w:val="000000"/>
                <w:sz w:val="14"/>
                <w:szCs w:val="14"/>
                <w:lang w:val="en-US" w:eastAsia="it-IT"/>
              </w:rPr>
              <w:t>Iijima</w:t>
            </w:r>
            <w:proofErr w:type="spellEnd"/>
            <w:r>
              <w:rPr>
                <w:rFonts w:eastAsia="Times New Roman" w:cs="Times New Roman"/>
                <w:color w:val="000000"/>
                <w:sz w:val="14"/>
                <w:szCs w:val="14"/>
                <w:lang w:val="en-US" w:eastAsia="it-IT"/>
              </w:rPr>
              <w:t xml:space="preserve"> 2015</w:t>
            </w:r>
            <w:r w:rsidR="00142F7B">
              <w:rPr>
                <w:rFonts w:eastAsia="Times New Roman" w:cs="Times New Roman"/>
                <w:color w:val="000000"/>
                <w:sz w:val="14"/>
                <w:szCs w:val="14"/>
                <w:lang w:val="en-US" w:eastAsia="it-IT"/>
              </w:rPr>
              <w:fldChar w:fldCharType="begin" w:fldLock="1"/>
            </w:r>
            <w:r>
              <w:rPr>
                <w:rFonts w:eastAsia="Times New Roman" w:cs="Times New Roman"/>
                <w:color w:val="000000"/>
                <w:sz w:val="14"/>
                <w:szCs w:val="14"/>
                <w:lang w:val="en-US" w:eastAsia="it-IT"/>
              </w:rPr>
              <w:instrText>ADDIN CSL_CITATION { "citationItems" : [ { "id" : "ITEM-1", "itemData" : { "DOI" : "10.1002/art.39224", "ISSN" : "2326-5205", "PMID" : "26017348", "abstract" : "OBJECTIVE: To investigate the association between knee pain during gait and 4 clinical phenotypes based on static varus alignment and varus thrust in patients with medial knee osteoarthritis (OA).\n\nMETHODS: Patients in an orthopedic clinic (n\u2009=\u2009266) diagnosed as having knee OA (Kellgren/Lawrence [K/L] grade \u22651) were divided into 4 phenotype groups according to the presence or absence of static varus alignment and varus thrust (dynamic varus): no varus (n\u2009=\u2009173), dynamic varus (n\u2009=\u200917), static varus (n\u2009=\u200950), and static varus\u2009+\u2009dynamic varus (n\u2009=\u200926). The knee range of motion, spatiotemporal gait parameters, visual analog scale scores for knee pain, and scores on the Japanese Knee Osteoarthritis Measure were used to assess clinical outcomes. Multiple logistic regression analyses identified the relationship between knee pain during gait and the 4 phenotypes, adjusted for possible risk factors, including age, sex, body mass index, K/L grade, and gait velocity.\n\nRESULTS: Multiple logistic regression analysis showed that varus thrust without varus alignment was associated with knee pain during gait (odds ratio [OR] 3.30, 95% confidence interval [95% CI] 1.08-12.4), and that varus thrust combined with varus alignment was strongly associated with knee pain during gait (OR 17.1, 95% CI 3.19-320.0). Sensitivity analyses applying alternative cutoff values for defining static varus alignment showed comparable results.\n\nCONCLUSION: Varus thrust with or without static varus alignment was associated with the occurrence of knee pain during gait. Tailored interventions based on individual malalignment phenotypes may improve clinical outcomes in patients with knee OA.", "author" : [ { "dropping-particle" : "", "family" : "Iijima", "given" : "Hirotaka", "non-dropping-particle" : "", "parse-names" : false, "suffix" : "" }, { "dropping-particle" : "", "family" : "Fukutani", "given" : "Naoto", "non-dropping-particle" : "", "parse-names" : false, "suffix" : "" }, { "dropping-particle" : "", "family" : "Aoyama", "given" : "Tomoki", "non-dropping-particle" : "", "parse-names" : false, "suffix" : "" }, { "dropping-particle" : "", "family" : "Fukumoto", "given" : "Takahiko", "non-dropping-particle" : "", "parse-names" : false, "suffix" : "" }, { "dropping-particle" : "", "family" : "Uritani", "given" : "Daisuke", "non-dropping-particle" : "", "parse-names" : false, "suffix" : "" }, { "dropping-particle" : "", "family" : "Kaneda", "given" : "Eishi", "non-dropping-particle" : "", "parse-names" : false, "suffix" : "" }, { "dropping-particle" : "", "family" : "Ota", "given" : "Kazuo", "non-dropping-particle" : "", "parse-names" : false, "suffix" : "" }, { "dropping-particle" : "", "family" : "Kuroki", "given" : "Hiroshi", "non-dropping-particle" : "", "parse-names" : false, "suffix" : "" }, { "dropping-particle" : "", "family" : "Matsuda", "given" : "Shuichi", "non-dropping-particle" : "", "parse-names" : false, "suffix" : "" } ], "container-title" : "Arthritis &amp; rheumatology (Hoboken, N.J.)", "id" : "ITEM-1", "issue" : "9", "issued" : { "date-parts" : [ [ "2015", "9" ] ] }, "page" : "2354-62", "title" : "Clinical Phenotype Classifications Based on Static Varus Alignment and Varus Thrust in Japanese Patients With Medial Knee Osteoarthritis.", "type" : "article-journal", "volume" : "67" }, "uris" : [ "http://www.mendeley.com/documents/?uuid=5783b031-cfdc-43fe-9157-ee977c953d6d" ] } ], "mendeley" : { "formattedCitation" : "[38]", "plainTextFormattedCitation" : "[38]", "previouslyFormattedCitation" : "[38]" }, "properties" : { "noteIndex" : 0 }, "schema" : "https://github.com/citation-style-language/schema/raw/master/csl-citation.json" }</w:instrText>
            </w:r>
            <w:r w:rsidR="00142F7B">
              <w:rPr>
                <w:rFonts w:eastAsia="Times New Roman" w:cs="Times New Roman"/>
                <w:color w:val="000000"/>
                <w:sz w:val="14"/>
                <w:szCs w:val="14"/>
                <w:lang w:val="en-US" w:eastAsia="it-IT"/>
              </w:rPr>
              <w:fldChar w:fldCharType="separate"/>
            </w:r>
            <w:r w:rsidRPr="00122694">
              <w:rPr>
                <w:rFonts w:eastAsia="Times New Roman" w:cs="Times New Roman"/>
                <w:noProof/>
                <w:color w:val="000000"/>
                <w:sz w:val="14"/>
                <w:szCs w:val="14"/>
                <w:lang w:val="en-US" w:eastAsia="it-IT"/>
              </w:rPr>
              <w:t>[38]</w:t>
            </w:r>
            <w:r w:rsidR="00142F7B">
              <w:rPr>
                <w:rFonts w:eastAsia="Times New Roman" w:cs="Times New Roman"/>
                <w:color w:val="000000"/>
                <w:sz w:val="14"/>
                <w:szCs w:val="14"/>
                <w:lang w:val="en-US" w:eastAsia="it-IT"/>
              </w:rPr>
              <w:fldChar w:fldCharType="end"/>
            </w: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nil"/>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lang w:val="it-IT"/>
              </w:rPr>
            </w:pPr>
            <w:r>
              <w:rPr>
                <w:rFonts w:cs="Calibri"/>
                <w:color w:val="000000"/>
                <w:sz w:val="14"/>
                <w:szCs w:val="14"/>
                <w:lang w:val="it-IT"/>
              </w:rPr>
              <w:t>Malalignment phenotype</w:t>
            </w:r>
          </w:p>
        </w:tc>
        <w:tc>
          <w:tcPr>
            <w:tcW w:w="725" w:type="pct"/>
            <w:gridSpan w:val="2"/>
            <w:tcBorders>
              <w:top w:val="nil"/>
              <w:left w:val="nil"/>
              <w:bottom w:val="nil"/>
              <w:right w:val="nil"/>
            </w:tcBorders>
            <w:shd w:val="solid" w:color="FFFFFF" w:fill="auto"/>
            <w:vAlign w:val="center"/>
          </w:tcPr>
          <w:p w:rsidR="00FA44F6" w:rsidRDefault="00FA44F6" w:rsidP="00E04F3C">
            <w:pPr>
              <w:autoSpaceDE w:val="0"/>
              <w:autoSpaceDN w:val="0"/>
              <w:adjustRightInd w:val="0"/>
              <w:spacing w:after="0" w:line="240" w:lineRule="auto"/>
              <w:jc w:val="center"/>
              <w:rPr>
                <w:rFonts w:cs="Calibri"/>
                <w:color w:val="000000"/>
                <w:sz w:val="14"/>
                <w:szCs w:val="14"/>
                <w:lang w:val="it-IT"/>
              </w:rPr>
            </w:pPr>
          </w:p>
        </w:tc>
      </w:tr>
      <w:tr w:rsidR="00FA44F6" w:rsidRPr="00B93F2B" w:rsidTr="00BE02CD">
        <w:trPr>
          <w:trHeight w:val="290"/>
        </w:trPr>
        <w:tc>
          <w:tcPr>
            <w:tcW w:w="651" w:type="pct"/>
            <w:tcBorders>
              <w:top w:val="nil"/>
              <w:left w:val="nil"/>
              <w:bottom w:val="single" w:sz="4" w:space="0" w:color="auto"/>
              <w:right w:val="nil"/>
            </w:tcBorders>
            <w:shd w:val="solid" w:color="FFFFFF" w:fill="auto"/>
            <w:vAlign w:val="center"/>
          </w:tcPr>
          <w:p w:rsidR="00FA44F6" w:rsidRPr="00101897" w:rsidRDefault="00FA44F6" w:rsidP="00BE02CD">
            <w:pPr>
              <w:spacing w:after="0" w:line="480" w:lineRule="auto"/>
              <w:jc w:val="center"/>
              <w:rPr>
                <w:rFonts w:eastAsia="Times New Roman" w:cs="Times New Roman"/>
                <w:color w:val="000000"/>
                <w:sz w:val="14"/>
                <w:szCs w:val="14"/>
                <w:lang w:val="en-US" w:eastAsia="it-IT"/>
              </w:rPr>
            </w:pPr>
            <w:proofErr w:type="spellStart"/>
            <w:r w:rsidRPr="00101897">
              <w:rPr>
                <w:rFonts w:eastAsia="Times New Roman" w:cs="Times New Roman"/>
                <w:color w:val="000000"/>
                <w:sz w:val="14"/>
                <w:szCs w:val="14"/>
                <w:lang w:val="en-US" w:eastAsia="it-IT"/>
              </w:rPr>
              <w:t>Kittelson</w:t>
            </w:r>
            <w:proofErr w:type="spellEnd"/>
            <w:r w:rsidRPr="00101897">
              <w:rPr>
                <w:rFonts w:eastAsia="Times New Roman" w:cs="Times New Roman"/>
                <w:color w:val="000000"/>
                <w:sz w:val="14"/>
                <w:szCs w:val="14"/>
                <w:lang w:val="en-US" w:eastAsia="it-IT"/>
              </w:rPr>
              <w:t xml:space="preserve"> 2015</w:t>
            </w:r>
            <w:r w:rsidR="00142F7B" w:rsidRPr="00101897">
              <w:rPr>
                <w:rFonts w:eastAsia="Times New Roman" w:cs="Times New Roman"/>
                <w:color w:val="000000"/>
                <w:sz w:val="14"/>
                <w:szCs w:val="14"/>
                <w:lang w:val="it-IT" w:eastAsia="it-IT"/>
              </w:rPr>
              <w:fldChar w:fldCharType="begin" w:fldLock="1"/>
            </w:r>
            <w:r>
              <w:rPr>
                <w:rFonts w:eastAsia="Times New Roman" w:cs="Times New Roman"/>
                <w:color w:val="000000"/>
                <w:sz w:val="14"/>
                <w:szCs w:val="14"/>
                <w:lang w:val="en-US" w:eastAsia="it-IT"/>
              </w:rPr>
              <w:instrText>ADDIN CSL_CITATION { "citationItems" : [ { "id" : "ITEM-1", "itemData" : { "DOI" : "10.1002/acr.22734", "ISSN" : "2151-4658", "PMID" : "26414884", "abstract" : "OBJECTIVE: Knee osteoarthritis (OA) is a broadly applied diagnosis that may encompass multiple subtypes of pain. The purpose of this study was to identify phenotypes of knee OA, using measures from the following pain-related domains: 1) knee OA pathology, 2) psychological distress, and 3) altered pain neurophysiology.\n\nMETHODS: Data were selected from a total of 3494 participants at Visit #6 of the Osteoarthritis Initiative (OAI) study. Latent Class Analysis was applied to the following variables: radiographic OA severity, quadriceps strength, Body Mass Index (BMI), Charlson Comorbidity Index (CCI), Center for Epidemiologic Studies Depression subscale (CES-D), Coping Strategies Questionnaire-Catastrophizing subscale (CSQ-Cat), number of bodily pain sites, and knee joint tenderness at 4 sites. Resulting classes were compared on the following demographic and clinical factors: age, sex, pain severity, disability, walking speed, and use of arthritis-related healthcare.\n\nRESULTS: A four-class model was identified. Class 1 (4% of the study population) had higher CCI scores. Class 2 (24%) had higher knee joint sensitivity. Class 3 (10%) had greater psychological distress. Class 4 (62%) had lesser radiographic OA, little psychological involvement, greater strength, and less pain sensitivity. Additionally, Class 1 was the oldest, on average. Class 4 was the youngest, had the lowest disability, and least pain. Class 3 had the worst disability and most pain.\n\nCONCLUSIONS: Four distinct pain phenotypes of knee OA were identified. Psychological factors, comorbidity status, and joint sensitivity appear to be important in defining phenotypes of knee OA-related pain. This article is protected by copyright. All rights reserved.", "author" : [ { "dropping-particle" : "", "family" : "Kittelson", "given" : "Andrew J", "non-dropping-particle" : "", "parse-names" : false, "suffix" : "" }, { "dropping-particle" : "", "family" : "Stevens-Lapsley", "given" : "Jennifer E", "non-dropping-particle" : "", "parse-names" : false, "suffix" : "" }, { "dropping-particle" : "", "family" : "Schmiege", "given" : "Sarah J", "non-dropping-particle" : "", "parse-names" : false, "suffix" : "" } ], "container-title" : "Arthritis care &amp; research", "id" : "ITEM-1", "issued" : { "date-parts" : [ [ "2015", "9", "28" ] ] }, "title" : "Determination of Pain Phenotypes in Knee Osteoarthritis: A Latent Class Analysis using Data from the Osteoarthritis Initiative Study.", "type" : "article-journal" }, "uris" : [ "http://www.mendeley.com/documents/?uuid=a516ad32-d90d-4dd1-8306-00d639b59c17" ] } ], "mendeley" : { "formattedCitation" : "[40]", "plainTextFormattedCitation" : "[40]", "previouslyFormattedCitation" : "[40]" }, "properties" : { "noteIndex" : 0 }, "schema" : "https://github.com/citation-style-language/schema/raw/master/csl-citation.json" }</w:instrText>
            </w:r>
            <w:r w:rsidR="00142F7B" w:rsidRPr="00101897">
              <w:rPr>
                <w:rFonts w:eastAsia="Times New Roman" w:cs="Times New Roman"/>
                <w:color w:val="000000"/>
                <w:sz w:val="14"/>
                <w:szCs w:val="14"/>
                <w:lang w:val="it-IT" w:eastAsia="it-IT"/>
              </w:rPr>
              <w:fldChar w:fldCharType="separate"/>
            </w:r>
            <w:r w:rsidRPr="00122694">
              <w:rPr>
                <w:rFonts w:eastAsia="Times New Roman" w:cs="Times New Roman"/>
                <w:noProof/>
                <w:color w:val="000000"/>
                <w:sz w:val="14"/>
                <w:szCs w:val="14"/>
                <w:lang w:val="en-US" w:eastAsia="it-IT"/>
              </w:rPr>
              <w:t>[40]</w:t>
            </w:r>
            <w:r w:rsidR="00142F7B" w:rsidRPr="00101897">
              <w:rPr>
                <w:rFonts w:eastAsia="Times New Roman" w:cs="Times New Roman"/>
                <w:color w:val="000000"/>
                <w:sz w:val="14"/>
                <w:szCs w:val="14"/>
                <w:lang w:val="it-IT" w:eastAsia="it-IT"/>
              </w:rPr>
              <w:fldChar w:fldCharType="end"/>
            </w:r>
          </w:p>
        </w:tc>
        <w:tc>
          <w:tcPr>
            <w:tcW w:w="725" w:type="pct"/>
            <w:tcBorders>
              <w:top w:val="nil"/>
              <w:left w:val="nil"/>
              <w:bottom w:val="single" w:sz="4" w:space="0" w:color="auto"/>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r>
              <w:rPr>
                <w:rFonts w:cs="Calibri"/>
                <w:color w:val="000000"/>
                <w:sz w:val="14"/>
                <w:szCs w:val="14"/>
              </w:rPr>
              <w:t>Psychological distress</w:t>
            </w:r>
          </w:p>
        </w:tc>
        <w:tc>
          <w:tcPr>
            <w:tcW w:w="725" w:type="pct"/>
            <w:tcBorders>
              <w:top w:val="nil"/>
              <w:left w:val="nil"/>
              <w:bottom w:val="single" w:sz="4" w:space="0" w:color="auto"/>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single" w:sz="4" w:space="0" w:color="auto"/>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single" w:sz="4" w:space="0" w:color="auto"/>
              <w:right w:val="nil"/>
            </w:tcBorders>
            <w:shd w:val="solid" w:color="FFFFFF" w:fill="auto"/>
            <w:vAlign w:val="center"/>
          </w:tcPr>
          <w:p w:rsidR="00FA44F6" w:rsidRPr="00B93F2B" w:rsidRDefault="00FA44F6" w:rsidP="00E04F3C">
            <w:pPr>
              <w:autoSpaceDE w:val="0"/>
              <w:autoSpaceDN w:val="0"/>
              <w:adjustRightInd w:val="0"/>
              <w:spacing w:after="0" w:line="240" w:lineRule="auto"/>
              <w:jc w:val="center"/>
              <w:rPr>
                <w:rFonts w:cs="Calibri"/>
                <w:color w:val="000000"/>
                <w:sz w:val="14"/>
                <w:szCs w:val="14"/>
              </w:rPr>
            </w:pPr>
          </w:p>
        </w:tc>
        <w:tc>
          <w:tcPr>
            <w:tcW w:w="725" w:type="pct"/>
            <w:tcBorders>
              <w:top w:val="nil"/>
              <w:left w:val="nil"/>
              <w:bottom w:val="single" w:sz="4" w:space="0" w:color="auto"/>
              <w:right w:val="nil"/>
            </w:tcBorders>
            <w:shd w:val="solid" w:color="FFFFFF" w:fill="auto"/>
            <w:vAlign w:val="center"/>
          </w:tcPr>
          <w:p w:rsidR="00FA44F6" w:rsidRPr="00CD584C" w:rsidRDefault="00FA44F6" w:rsidP="00E04F3C">
            <w:pPr>
              <w:autoSpaceDE w:val="0"/>
              <w:autoSpaceDN w:val="0"/>
              <w:adjustRightInd w:val="0"/>
              <w:spacing w:after="0" w:line="240" w:lineRule="auto"/>
              <w:jc w:val="center"/>
              <w:rPr>
                <w:rFonts w:cs="Calibri"/>
                <w:color w:val="000000"/>
                <w:sz w:val="14"/>
                <w:szCs w:val="14"/>
                <w:lang w:val="en-US"/>
              </w:rPr>
            </w:pPr>
          </w:p>
        </w:tc>
        <w:tc>
          <w:tcPr>
            <w:tcW w:w="725" w:type="pct"/>
            <w:gridSpan w:val="2"/>
            <w:tcBorders>
              <w:top w:val="nil"/>
              <w:left w:val="nil"/>
              <w:bottom w:val="single" w:sz="4" w:space="0" w:color="auto"/>
              <w:right w:val="nil"/>
            </w:tcBorders>
            <w:shd w:val="solid" w:color="FFFFFF" w:fill="auto"/>
            <w:vAlign w:val="center"/>
          </w:tcPr>
          <w:p w:rsidR="00FA44F6" w:rsidRPr="00CD584C" w:rsidRDefault="00FA44F6" w:rsidP="00E04F3C">
            <w:pPr>
              <w:autoSpaceDE w:val="0"/>
              <w:autoSpaceDN w:val="0"/>
              <w:adjustRightInd w:val="0"/>
              <w:spacing w:after="0" w:line="240" w:lineRule="auto"/>
              <w:jc w:val="center"/>
              <w:rPr>
                <w:rFonts w:cs="Calibri"/>
                <w:color w:val="000000"/>
                <w:sz w:val="14"/>
                <w:szCs w:val="14"/>
                <w:lang w:val="en-US"/>
              </w:rPr>
            </w:pPr>
          </w:p>
        </w:tc>
      </w:tr>
    </w:tbl>
    <w:p w:rsidR="001A3294" w:rsidRPr="00CD584C" w:rsidRDefault="001A3294" w:rsidP="001A3294">
      <w:pPr>
        <w:rPr>
          <w:sz w:val="16"/>
          <w:szCs w:val="16"/>
          <w:lang w:val="en-US"/>
        </w:rPr>
      </w:pPr>
      <w:r w:rsidRPr="00CD584C">
        <w:rPr>
          <w:sz w:val="16"/>
          <w:szCs w:val="16"/>
          <w:lang w:val="en-US"/>
        </w:rPr>
        <w:t xml:space="preserve">*: Medio- femoral cartilage </w:t>
      </w:r>
    </w:p>
    <w:p w:rsidR="001A3294" w:rsidRPr="00CD584C" w:rsidRDefault="001A3294" w:rsidP="001A3294">
      <w:pPr>
        <w:rPr>
          <w:sz w:val="16"/>
          <w:szCs w:val="16"/>
          <w:lang w:val="en-US"/>
        </w:rPr>
      </w:pPr>
      <w:r w:rsidRPr="00CD584C">
        <w:rPr>
          <w:sz w:val="16"/>
          <w:szCs w:val="16"/>
          <w:vertAlign w:val="superscript"/>
          <w:lang w:val="en-US"/>
        </w:rPr>
        <w:t>#</w:t>
      </w:r>
      <w:r w:rsidRPr="00CD584C">
        <w:rPr>
          <w:sz w:val="16"/>
          <w:szCs w:val="16"/>
          <w:lang w:val="en-US"/>
        </w:rPr>
        <w:t xml:space="preserve">: </w:t>
      </w:r>
      <w:proofErr w:type="spellStart"/>
      <w:r w:rsidRPr="00CD584C">
        <w:rPr>
          <w:sz w:val="16"/>
          <w:szCs w:val="16"/>
          <w:lang w:val="en-US"/>
        </w:rPr>
        <w:t>Patello</w:t>
      </w:r>
      <w:proofErr w:type="spellEnd"/>
      <w:r w:rsidRPr="00CD584C">
        <w:rPr>
          <w:sz w:val="16"/>
          <w:szCs w:val="16"/>
          <w:lang w:val="en-US"/>
        </w:rPr>
        <w:t>-femoral groove</w:t>
      </w:r>
    </w:p>
    <w:p w:rsidR="001A3294" w:rsidRDefault="001A3294" w:rsidP="001A3294">
      <w:pPr>
        <w:rPr>
          <w:lang w:val="en-US"/>
        </w:rPr>
        <w:sectPr w:rsidR="001A3294" w:rsidSect="00064616">
          <w:pgSz w:w="16838" w:h="11906" w:orient="landscape"/>
          <w:pgMar w:top="1440" w:right="1440" w:bottom="1440" w:left="1440" w:header="708" w:footer="708" w:gutter="0"/>
          <w:cols w:space="708"/>
          <w:docGrid w:linePitch="360"/>
        </w:sectPr>
      </w:pPr>
    </w:p>
    <w:p w:rsidR="001A3294" w:rsidRPr="00CD584C" w:rsidRDefault="001A3294" w:rsidP="001A3294">
      <w:pPr>
        <w:rPr>
          <w:lang w:val="en-US"/>
        </w:rPr>
      </w:pPr>
    </w:p>
    <w:p w:rsidR="001A3294" w:rsidRDefault="00064616" w:rsidP="001A3294">
      <w:r>
        <w:t>Table S3</w:t>
      </w:r>
      <w:r w:rsidR="001A3294">
        <w:t xml:space="preserve">: resume of prevalence of the different phenotypes. </w:t>
      </w:r>
    </w:p>
    <w:tbl>
      <w:tblPr>
        <w:tblStyle w:val="TableGrid"/>
        <w:tblW w:w="0" w:type="auto"/>
        <w:tblBorders>
          <w:left w:val="none" w:sz="0" w:space="0" w:color="auto"/>
          <w:right w:val="none" w:sz="0" w:space="0" w:color="auto"/>
          <w:insideV w:val="none" w:sz="0" w:space="0" w:color="auto"/>
        </w:tblBorders>
        <w:tblLook w:val="04A0"/>
      </w:tblPr>
      <w:tblGrid>
        <w:gridCol w:w="2760"/>
        <w:gridCol w:w="1702"/>
      </w:tblGrid>
      <w:tr w:rsidR="001A3294" w:rsidRPr="00363925" w:rsidTr="003C6A78">
        <w:trPr>
          <w:trHeight w:val="451"/>
        </w:trPr>
        <w:tc>
          <w:tcPr>
            <w:tcW w:w="0" w:type="auto"/>
            <w:tcBorders>
              <w:bottom w:val="single" w:sz="4" w:space="0" w:color="auto"/>
            </w:tcBorders>
            <w:vAlign w:val="center"/>
          </w:tcPr>
          <w:p w:rsidR="001A3294" w:rsidRPr="00363925" w:rsidRDefault="001A3294" w:rsidP="003C6A78">
            <w:pPr>
              <w:jc w:val="center"/>
              <w:rPr>
                <w:sz w:val="20"/>
                <w:szCs w:val="20"/>
              </w:rPr>
            </w:pPr>
            <w:r w:rsidRPr="00363925">
              <w:rPr>
                <w:sz w:val="20"/>
                <w:szCs w:val="20"/>
              </w:rPr>
              <w:t>Phenotypes</w:t>
            </w:r>
          </w:p>
        </w:tc>
        <w:tc>
          <w:tcPr>
            <w:tcW w:w="1702" w:type="dxa"/>
            <w:tcBorders>
              <w:bottom w:val="single" w:sz="4" w:space="0" w:color="auto"/>
            </w:tcBorders>
            <w:vAlign w:val="center"/>
          </w:tcPr>
          <w:p w:rsidR="001A3294" w:rsidRPr="00363925" w:rsidRDefault="001A3294" w:rsidP="003C6A78">
            <w:pPr>
              <w:jc w:val="center"/>
              <w:rPr>
                <w:sz w:val="20"/>
                <w:szCs w:val="20"/>
              </w:rPr>
            </w:pPr>
            <w:r w:rsidRPr="00363925">
              <w:rPr>
                <w:sz w:val="20"/>
                <w:szCs w:val="20"/>
              </w:rPr>
              <w:t>Prevalence</w:t>
            </w:r>
          </w:p>
        </w:tc>
      </w:tr>
      <w:tr w:rsidR="001A3294" w:rsidRPr="00363925" w:rsidTr="003C6A78">
        <w:trPr>
          <w:trHeight w:val="428"/>
        </w:trPr>
        <w:tc>
          <w:tcPr>
            <w:tcW w:w="0" w:type="auto"/>
            <w:tcBorders>
              <w:bottom w:val="nil"/>
            </w:tcBorders>
            <w:vAlign w:val="center"/>
          </w:tcPr>
          <w:p w:rsidR="001A3294" w:rsidRPr="00363925" w:rsidRDefault="001A3294" w:rsidP="003C6A78">
            <w:pPr>
              <w:jc w:val="center"/>
              <w:rPr>
                <w:sz w:val="20"/>
                <w:szCs w:val="20"/>
              </w:rPr>
            </w:pPr>
            <w:r w:rsidRPr="00363925">
              <w:rPr>
                <w:sz w:val="20"/>
                <w:szCs w:val="20"/>
              </w:rPr>
              <w:t>Minimal joint disease</w:t>
            </w:r>
          </w:p>
        </w:tc>
        <w:tc>
          <w:tcPr>
            <w:tcW w:w="1702" w:type="dxa"/>
            <w:tcBorders>
              <w:bottom w:val="nil"/>
            </w:tcBorders>
            <w:vAlign w:val="center"/>
          </w:tcPr>
          <w:p w:rsidR="001A3294" w:rsidRPr="00363925" w:rsidRDefault="001A3294" w:rsidP="003C6A78">
            <w:pPr>
              <w:jc w:val="center"/>
              <w:rPr>
                <w:sz w:val="20"/>
                <w:szCs w:val="20"/>
              </w:rPr>
            </w:pPr>
            <w:r>
              <w:rPr>
                <w:sz w:val="20"/>
                <w:szCs w:val="20"/>
              </w:rPr>
              <w:t>26%-47</w:t>
            </w:r>
            <w:r w:rsidRPr="00363925">
              <w:rPr>
                <w:sz w:val="20"/>
                <w:szCs w:val="20"/>
              </w:rPr>
              <w:t>%</w:t>
            </w:r>
            <w:r>
              <w:rPr>
                <w:sz w:val="20"/>
                <w:szCs w:val="20"/>
              </w:rPr>
              <w:t>*</w:t>
            </w:r>
          </w:p>
        </w:tc>
      </w:tr>
      <w:tr w:rsidR="001A3294" w:rsidRPr="00363925" w:rsidTr="003C6A78">
        <w:trPr>
          <w:trHeight w:val="417"/>
        </w:trPr>
        <w:tc>
          <w:tcPr>
            <w:tcW w:w="0" w:type="auto"/>
            <w:tcBorders>
              <w:top w:val="nil"/>
              <w:bottom w:val="nil"/>
            </w:tcBorders>
            <w:vAlign w:val="center"/>
          </w:tcPr>
          <w:p w:rsidR="001A3294" w:rsidRPr="00363925" w:rsidRDefault="001A3294" w:rsidP="003C6A78">
            <w:pPr>
              <w:jc w:val="center"/>
              <w:rPr>
                <w:sz w:val="20"/>
                <w:szCs w:val="20"/>
              </w:rPr>
            </w:pPr>
            <w:r w:rsidRPr="00363925">
              <w:rPr>
                <w:sz w:val="20"/>
                <w:szCs w:val="20"/>
              </w:rPr>
              <w:t>Chronic pain</w:t>
            </w:r>
          </w:p>
        </w:tc>
        <w:tc>
          <w:tcPr>
            <w:tcW w:w="1702" w:type="dxa"/>
            <w:tcBorders>
              <w:top w:val="nil"/>
              <w:bottom w:val="nil"/>
            </w:tcBorders>
            <w:vAlign w:val="center"/>
          </w:tcPr>
          <w:p w:rsidR="001A3294" w:rsidRPr="00363925" w:rsidRDefault="001A3294" w:rsidP="003C6A78">
            <w:pPr>
              <w:jc w:val="center"/>
              <w:rPr>
                <w:sz w:val="20"/>
                <w:szCs w:val="20"/>
              </w:rPr>
            </w:pPr>
            <w:r>
              <w:rPr>
                <w:sz w:val="20"/>
                <w:szCs w:val="20"/>
              </w:rPr>
              <w:t>10</w:t>
            </w:r>
            <w:r w:rsidRPr="00363925">
              <w:rPr>
                <w:sz w:val="20"/>
                <w:szCs w:val="20"/>
              </w:rPr>
              <w:t>%-19%</w:t>
            </w:r>
          </w:p>
        </w:tc>
      </w:tr>
      <w:tr w:rsidR="001A3294" w:rsidRPr="00363925" w:rsidTr="003C6A78">
        <w:trPr>
          <w:trHeight w:val="360"/>
        </w:trPr>
        <w:tc>
          <w:tcPr>
            <w:tcW w:w="0" w:type="auto"/>
            <w:tcBorders>
              <w:top w:val="nil"/>
              <w:bottom w:val="nil"/>
            </w:tcBorders>
            <w:vAlign w:val="center"/>
          </w:tcPr>
          <w:p w:rsidR="001A3294" w:rsidRPr="00363925" w:rsidRDefault="001A3294" w:rsidP="003C6A78">
            <w:pPr>
              <w:jc w:val="center"/>
              <w:rPr>
                <w:sz w:val="20"/>
                <w:szCs w:val="20"/>
              </w:rPr>
            </w:pPr>
            <w:r w:rsidRPr="00363925">
              <w:rPr>
                <w:sz w:val="20"/>
                <w:szCs w:val="20"/>
              </w:rPr>
              <w:t>Inflammatory KOA</w:t>
            </w:r>
          </w:p>
        </w:tc>
        <w:tc>
          <w:tcPr>
            <w:tcW w:w="1702" w:type="dxa"/>
            <w:tcBorders>
              <w:top w:val="nil"/>
              <w:bottom w:val="nil"/>
            </w:tcBorders>
            <w:vAlign w:val="center"/>
          </w:tcPr>
          <w:p w:rsidR="001A3294" w:rsidRPr="00363925" w:rsidRDefault="001A3294" w:rsidP="003C6A78">
            <w:pPr>
              <w:jc w:val="center"/>
              <w:rPr>
                <w:sz w:val="20"/>
                <w:szCs w:val="20"/>
              </w:rPr>
            </w:pPr>
            <w:r w:rsidRPr="00363925">
              <w:rPr>
                <w:sz w:val="20"/>
                <w:szCs w:val="20"/>
              </w:rPr>
              <w:t>22%-30%</w:t>
            </w:r>
          </w:p>
        </w:tc>
      </w:tr>
      <w:tr w:rsidR="001A3294" w:rsidRPr="00363925" w:rsidTr="003C6A78">
        <w:trPr>
          <w:trHeight w:val="393"/>
        </w:trPr>
        <w:tc>
          <w:tcPr>
            <w:tcW w:w="0" w:type="auto"/>
            <w:tcBorders>
              <w:top w:val="nil"/>
              <w:bottom w:val="nil"/>
            </w:tcBorders>
            <w:vAlign w:val="center"/>
          </w:tcPr>
          <w:p w:rsidR="001A3294" w:rsidRPr="00363925" w:rsidRDefault="001A3294" w:rsidP="003C6A78">
            <w:pPr>
              <w:jc w:val="center"/>
              <w:rPr>
                <w:sz w:val="20"/>
                <w:szCs w:val="20"/>
              </w:rPr>
            </w:pPr>
            <w:r>
              <w:rPr>
                <w:sz w:val="20"/>
                <w:szCs w:val="20"/>
              </w:rPr>
              <w:t>Metabolic Syndrome</w:t>
            </w:r>
          </w:p>
        </w:tc>
        <w:tc>
          <w:tcPr>
            <w:tcW w:w="1702" w:type="dxa"/>
            <w:tcBorders>
              <w:top w:val="nil"/>
              <w:bottom w:val="nil"/>
            </w:tcBorders>
            <w:vAlign w:val="center"/>
          </w:tcPr>
          <w:p w:rsidR="001A3294" w:rsidRPr="00363925" w:rsidRDefault="001A3294" w:rsidP="003C6A78">
            <w:pPr>
              <w:jc w:val="center"/>
              <w:rPr>
                <w:sz w:val="20"/>
                <w:szCs w:val="20"/>
              </w:rPr>
            </w:pPr>
            <w:r w:rsidRPr="00363925">
              <w:rPr>
                <w:sz w:val="20"/>
                <w:szCs w:val="20"/>
              </w:rPr>
              <w:t>-</w:t>
            </w:r>
          </w:p>
        </w:tc>
      </w:tr>
      <w:tr w:rsidR="001A3294" w:rsidRPr="00363925" w:rsidTr="003C6A78">
        <w:trPr>
          <w:trHeight w:val="393"/>
        </w:trPr>
        <w:tc>
          <w:tcPr>
            <w:tcW w:w="0" w:type="auto"/>
            <w:tcBorders>
              <w:top w:val="nil"/>
              <w:bottom w:val="nil"/>
            </w:tcBorders>
            <w:vAlign w:val="center"/>
          </w:tcPr>
          <w:p w:rsidR="001A3294" w:rsidRDefault="001A3294" w:rsidP="003C6A78">
            <w:pPr>
              <w:rPr>
                <w:sz w:val="20"/>
                <w:szCs w:val="20"/>
              </w:rPr>
            </w:pPr>
            <w:r>
              <w:rPr>
                <w:sz w:val="20"/>
                <w:szCs w:val="20"/>
              </w:rPr>
              <w:t>Bone and Cartilage metabolism</w:t>
            </w:r>
          </w:p>
        </w:tc>
        <w:tc>
          <w:tcPr>
            <w:tcW w:w="1702" w:type="dxa"/>
            <w:tcBorders>
              <w:top w:val="nil"/>
              <w:bottom w:val="nil"/>
            </w:tcBorders>
            <w:vAlign w:val="center"/>
          </w:tcPr>
          <w:p w:rsidR="001A3294" w:rsidRPr="00363925" w:rsidRDefault="001A3294" w:rsidP="003C6A78">
            <w:pPr>
              <w:jc w:val="center"/>
              <w:rPr>
                <w:sz w:val="20"/>
                <w:szCs w:val="20"/>
              </w:rPr>
            </w:pPr>
            <w:r>
              <w:rPr>
                <w:sz w:val="20"/>
                <w:szCs w:val="20"/>
              </w:rPr>
              <w:t>-</w:t>
            </w:r>
          </w:p>
        </w:tc>
      </w:tr>
      <w:tr w:rsidR="001A3294" w:rsidRPr="00363925" w:rsidTr="003C6A78">
        <w:trPr>
          <w:trHeight w:val="438"/>
        </w:trPr>
        <w:tc>
          <w:tcPr>
            <w:tcW w:w="0" w:type="auto"/>
            <w:tcBorders>
              <w:top w:val="nil"/>
            </w:tcBorders>
            <w:vAlign w:val="center"/>
          </w:tcPr>
          <w:p w:rsidR="001A3294" w:rsidRPr="00363925" w:rsidRDefault="001A3294" w:rsidP="003C6A78">
            <w:pPr>
              <w:jc w:val="center"/>
              <w:rPr>
                <w:sz w:val="20"/>
                <w:szCs w:val="20"/>
              </w:rPr>
            </w:pPr>
            <w:r w:rsidRPr="00363925">
              <w:rPr>
                <w:sz w:val="20"/>
                <w:szCs w:val="20"/>
              </w:rPr>
              <w:t>Mechanical overload</w:t>
            </w:r>
          </w:p>
        </w:tc>
        <w:tc>
          <w:tcPr>
            <w:tcW w:w="1702" w:type="dxa"/>
            <w:tcBorders>
              <w:top w:val="nil"/>
            </w:tcBorders>
            <w:vAlign w:val="center"/>
          </w:tcPr>
          <w:p w:rsidR="001A3294" w:rsidRPr="00363925" w:rsidRDefault="001A3294" w:rsidP="003C6A78">
            <w:pPr>
              <w:jc w:val="center"/>
              <w:rPr>
                <w:sz w:val="20"/>
                <w:szCs w:val="20"/>
              </w:rPr>
            </w:pPr>
            <w:r w:rsidRPr="00363925">
              <w:rPr>
                <w:sz w:val="20"/>
                <w:szCs w:val="20"/>
              </w:rPr>
              <w:t>12%-22%</w:t>
            </w:r>
          </w:p>
        </w:tc>
      </w:tr>
    </w:tbl>
    <w:p w:rsidR="001A3294" w:rsidRDefault="001A3294" w:rsidP="001A3294">
      <w:pPr>
        <w:spacing w:line="360" w:lineRule="auto"/>
      </w:pPr>
      <w:r w:rsidRPr="006B3D44">
        <w:rPr>
          <w:sz w:val="16"/>
          <w:szCs w:val="16"/>
        </w:rPr>
        <w:t>*only studies with a longitudinal design has been used to calculate the prevalence. Analysing studies with different design: 17%-47%</w:t>
      </w:r>
    </w:p>
    <w:p w:rsidR="001A3294" w:rsidRPr="00157A89" w:rsidRDefault="001A3294" w:rsidP="001A3294">
      <w:pPr>
        <w:spacing w:line="360" w:lineRule="auto"/>
        <w:contextualSpacing/>
        <w:jc w:val="both"/>
      </w:pPr>
    </w:p>
    <w:p w:rsidR="001A3294" w:rsidRDefault="001A3294"/>
    <w:sectPr w:rsidR="001A3294" w:rsidSect="00142F7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elior">
    <w:panose1 w:val="00000000000000000000"/>
    <w:charset w:val="00"/>
    <w:family w:val="auto"/>
    <w:notTrueType/>
    <w:pitch w:val="default"/>
    <w:sig w:usb0="00000003" w:usb1="00000000" w:usb2="00000000" w:usb3="00000000" w:csb0="00000001" w:csb1="00000000"/>
  </w:font>
  <w:font w:name="AdvTTb5929f4c">
    <w:panose1 w:val="00000000000000000000"/>
    <w:charset w:val="00"/>
    <w:family w:val="swiss"/>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llIsola, Andrea">
    <w15:presenceInfo w15:providerId="None" w15:userId="DellIsola, Andre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283"/>
  <w:drawingGridHorizontalSpacing w:val="110"/>
  <w:displayHorizontalDrawingGridEvery w:val="2"/>
  <w:characterSpacingControl w:val="doNotCompress"/>
  <w:compat/>
  <w:docVars>
    <w:docVar w:name="Total_Editing_Time" w:val="39"/>
  </w:docVars>
  <w:rsids>
    <w:rsidRoot w:val="001A3294"/>
    <w:rsid w:val="00064616"/>
    <w:rsid w:val="00142F7B"/>
    <w:rsid w:val="00172797"/>
    <w:rsid w:val="001A3294"/>
    <w:rsid w:val="002B6CFE"/>
    <w:rsid w:val="00314401"/>
    <w:rsid w:val="003B0AC1"/>
    <w:rsid w:val="004D349C"/>
    <w:rsid w:val="00574A81"/>
    <w:rsid w:val="00584391"/>
    <w:rsid w:val="00660AC6"/>
    <w:rsid w:val="006832D6"/>
    <w:rsid w:val="006C725C"/>
    <w:rsid w:val="00A37A5A"/>
    <w:rsid w:val="00BE02CD"/>
    <w:rsid w:val="00CD1100"/>
    <w:rsid w:val="00E030E5"/>
    <w:rsid w:val="00E04F3C"/>
    <w:rsid w:val="00E233B0"/>
    <w:rsid w:val="00FA44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F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3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1A3294"/>
  </w:style>
  <w:style w:type="character" w:styleId="CommentReference">
    <w:name w:val="annotation reference"/>
    <w:basedOn w:val="DefaultParagraphFont"/>
    <w:uiPriority w:val="99"/>
    <w:semiHidden/>
    <w:unhideWhenUsed/>
    <w:rsid w:val="00CD1100"/>
    <w:rPr>
      <w:sz w:val="16"/>
      <w:szCs w:val="16"/>
    </w:rPr>
  </w:style>
  <w:style w:type="paragraph" w:styleId="CommentText">
    <w:name w:val="annotation text"/>
    <w:basedOn w:val="Normal"/>
    <w:link w:val="CommentTextChar"/>
    <w:uiPriority w:val="99"/>
    <w:semiHidden/>
    <w:unhideWhenUsed/>
    <w:rsid w:val="00CD1100"/>
    <w:pPr>
      <w:spacing w:line="240" w:lineRule="auto"/>
    </w:pPr>
    <w:rPr>
      <w:sz w:val="20"/>
      <w:szCs w:val="20"/>
    </w:rPr>
  </w:style>
  <w:style w:type="character" w:customStyle="1" w:styleId="CommentTextChar">
    <w:name w:val="Comment Text Char"/>
    <w:basedOn w:val="DefaultParagraphFont"/>
    <w:link w:val="CommentText"/>
    <w:uiPriority w:val="99"/>
    <w:semiHidden/>
    <w:rsid w:val="00CD1100"/>
    <w:rPr>
      <w:sz w:val="20"/>
      <w:szCs w:val="20"/>
    </w:rPr>
  </w:style>
  <w:style w:type="paragraph" w:styleId="CommentSubject">
    <w:name w:val="annotation subject"/>
    <w:basedOn w:val="CommentText"/>
    <w:next w:val="CommentText"/>
    <w:link w:val="CommentSubjectChar"/>
    <w:uiPriority w:val="99"/>
    <w:semiHidden/>
    <w:unhideWhenUsed/>
    <w:rsid w:val="00CD1100"/>
    <w:rPr>
      <w:b/>
      <w:bCs/>
    </w:rPr>
  </w:style>
  <w:style w:type="character" w:customStyle="1" w:styleId="CommentSubjectChar">
    <w:name w:val="Comment Subject Char"/>
    <w:basedOn w:val="CommentTextChar"/>
    <w:link w:val="CommentSubject"/>
    <w:uiPriority w:val="99"/>
    <w:semiHidden/>
    <w:rsid w:val="00CD1100"/>
    <w:rPr>
      <w:b/>
      <w:bCs/>
      <w:sz w:val="20"/>
      <w:szCs w:val="20"/>
    </w:rPr>
  </w:style>
  <w:style w:type="paragraph" w:styleId="BalloonText">
    <w:name w:val="Balloon Text"/>
    <w:basedOn w:val="Normal"/>
    <w:link w:val="BalloonTextChar"/>
    <w:uiPriority w:val="99"/>
    <w:semiHidden/>
    <w:unhideWhenUsed/>
    <w:rsid w:val="00CD11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10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3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A3294"/>
  </w:style>
  <w:style w:type="character" w:styleId="CommentReference">
    <w:name w:val="annotation reference"/>
    <w:basedOn w:val="DefaultParagraphFont"/>
    <w:uiPriority w:val="99"/>
    <w:semiHidden/>
    <w:unhideWhenUsed/>
    <w:rsid w:val="00CD1100"/>
    <w:rPr>
      <w:sz w:val="16"/>
      <w:szCs w:val="16"/>
    </w:rPr>
  </w:style>
  <w:style w:type="paragraph" w:styleId="CommentText">
    <w:name w:val="annotation text"/>
    <w:basedOn w:val="Normal"/>
    <w:link w:val="CommentTextChar"/>
    <w:uiPriority w:val="99"/>
    <w:semiHidden/>
    <w:unhideWhenUsed/>
    <w:rsid w:val="00CD1100"/>
    <w:pPr>
      <w:spacing w:line="240" w:lineRule="auto"/>
    </w:pPr>
    <w:rPr>
      <w:sz w:val="20"/>
      <w:szCs w:val="20"/>
    </w:rPr>
  </w:style>
  <w:style w:type="character" w:customStyle="1" w:styleId="CommentTextChar">
    <w:name w:val="Comment Text Char"/>
    <w:basedOn w:val="DefaultParagraphFont"/>
    <w:link w:val="CommentText"/>
    <w:uiPriority w:val="99"/>
    <w:semiHidden/>
    <w:rsid w:val="00CD1100"/>
    <w:rPr>
      <w:sz w:val="20"/>
      <w:szCs w:val="20"/>
    </w:rPr>
  </w:style>
  <w:style w:type="paragraph" w:styleId="CommentSubject">
    <w:name w:val="annotation subject"/>
    <w:basedOn w:val="CommentText"/>
    <w:next w:val="CommentText"/>
    <w:link w:val="CommentSubjectChar"/>
    <w:uiPriority w:val="99"/>
    <w:semiHidden/>
    <w:unhideWhenUsed/>
    <w:rsid w:val="00CD1100"/>
    <w:rPr>
      <w:b/>
      <w:bCs/>
    </w:rPr>
  </w:style>
  <w:style w:type="character" w:customStyle="1" w:styleId="CommentSubjectChar">
    <w:name w:val="Comment Subject Char"/>
    <w:basedOn w:val="CommentTextChar"/>
    <w:link w:val="CommentSubject"/>
    <w:uiPriority w:val="99"/>
    <w:semiHidden/>
    <w:rsid w:val="00CD1100"/>
    <w:rPr>
      <w:b/>
      <w:bCs/>
      <w:sz w:val="20"/>
      <w:szCs w:val="20"/>
    </w:rPr>
  </w:style>
  <w:style w:type="paragraph" w:styleId="BalloonText">
    <w:name w:val="Balloon Text"/>
    <w:basedOn w:val="Normal"/>
    <w:link w:val="BalloonTextChar"/>
    <w:uiPriority w:val="99"/>
    <w:semiHidden/>
    <w:unhideWhenUsed/>
    <w:rsid w:val="00CD11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10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A8207-934D-4832-8D09-814D3574D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29784</Words>
  <Characters>185260</Characters>
  <Application>Microsoft Office Word</Application>
  <DocSecurity>0</DocSecurity>
  <Lines>10897</Lines>
  <Paragraphs>3909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Glasgow Caledonian University</Company>
  <LinksUpToDate>false</LinksUpToDate>
  <CharactersWithSpaces>211135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Dell'Isola</dc:creator>
  <cp:lastModifiedBy>LTACHADO</cp:lastModifiedBy>
  <cp:revision>10</cp:revision>
  <dcterms:created xsi:type="dcterms:W3CDTF">2016-05-18T07:56:00Z</dcterms:created>
  <dcterms:modified xsi:type="dcterms:W3CDTF">2016-10-08T18:53:00Z</dcterms:modified>
</cp:coreProperties>
</file>