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3DC" w:rsidRPr="00E23E1C" w:rsidRDefault="004F75A1" w:rsidP="008A23DC">
      <w:pPr>
        <w:rPr>
          <w:rFonts w:ascii="Arial" w:hAnsi="Arial" w:cs="Arial"/>
          <w:b/>
          <w:i/>
          <w:lang w:val="en-US"/>
        </w:rPr>
      </w:pPr>
      <w:bookmarkStart w:id="0" w:name="_GoBack"/>
      <w:bookmarkEnd w:id="0"/>
      <w:r>
        <w:rPr>
          <w:rFonts w:ascii="Arial" w:hAnsi="Arial" w:cs="Arial"/>
          <w:b/>
          <w:i/>
          <w:lang w:val="en-US"/>
        </w:rPr>
        <w:t>Additional file</w:t>
      </w:r>
      <w:r w:rsidR="00054DE1" w:rsidRPr="00E23E1C">
        <w:rPr>
          <w:rFonts w:ascii="Arial" w:hAnsi="Arial" w:cs="Arial"/>
          <w:b/>
          <w:i/>
          <w:lang w:val="en-US"/>
        </w:rPr>
        <w:t xml:space="preserve"> 1</w:t>
      </w:r>
      <w:r w:rsidR="008A23DC" w:rsidRPr="00E23E1C">
        <w:rPr>
          <w:rFonts w:ascii="Arial" w:hAnsi="Arial" w:cs="Arial"/>
          <w:b/>
          <w:i/>
          <w:lang w:val="en-US"/>
        </w:rPr>
        <w:t xml:space="preserve">: </w:t>
      </w:r>
      <w:r w:rsidR="00B30821" w:rsidRPr="00E23E1C">
        <w:rPr>
          <w:rFonts w:ascii="Arial" w:hAnsi="Arial" w:cs="Arial"/>
          <w:b/>
          <w:i/>
          <w:lang w:val="en-US"/>
        </w:rPr>
        <w:t>DDD-based d</w:t>
      </w:r>
      <w:r w:rsidR="008A23DC" w:rsidRPr="00E23E1C">
        <w:rPr>
          <w:rFonts w:ascii="Arial" w:hAnsi="Arial" w:cs="Arial"/>
          <w:b/>
          <w:i/>
          <w:lang w:val="en-US"/>
        </w:rPr>
        <w:t>rug supply of different agents that were available in the German market 2010-2013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33"/>
        <w:gridCol w:w="1461"/>
        <w:gridCol w:w="1062"/>
        <w:gridCol w:w="1512"/>
        <w:gridCol w:w="1353"/>
        <w:gridCol w:w="1354"/>
        <w:gridCol w:w="1613"/>
      </w:tblGrid>
      <w:tr w:rsidR="008A23DC" w:rsidRPr="00E23E1C" w:rsidTr="00D26E6E">
        <w:trPr>
          <w:trHeight w:val="397"/>
          <w:jc w:val="center"/>
        </w:trPr>
        <w:tc>
          <w:tcPr>
            <w:tcW w:w="952" w:type="dxa"/>
            <w:vMerge w:val="restart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b/>
                <w:sz w:val="18"/>
              </w:rPr>
            </w:pPr>
            <w:r w:rsidRPr="00E23E1C">
              <w:rPr>
                <w:rFonts w:ascii="Arial" w:hAnsi="Arial" w:cs="Arial"/>
                <w:b/>
                <w:sz w:val="18"/>
              </w:rPr>
              <w:t>Agent class</w:t>
            </w:r>
          </w:p>
        </w:tc>
        <w:tc>
          <w:tcPr>
            <w:tcW w:w="1477" w:type="dxa"/>
            <w:vMerge w:val="restart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b/>
                <w:sz w:val="18"/>
              </w:rPr>
            </w:pPr>
            <w:r w:rsidRPr="00E23E1C">
              <w:rPr>
                <w:rFonts w:ascii="Arial" w:hAnsi="Arial" w:cs="Arial"/>
                <w:b/>
                <w:sz w:val="18"/>
              </w:rPr>
              <w:t>Agent</w:t>
            </w:r>
          </w:p>
        </w:tc>
        <w:tc>
          <w:tcPr>
            <w:tcW w:w="1071" w:type="dxa"/>
            <w:vMerge w:val="restart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b/>
                <w:sz w:val="18"/>
              </w:rPr>
            </w:pPr>
            <w:r w:rsidRPr="00E23E1C">
              <w:rPr>
                <w:rFonts w:ascii="Arial" w:hAnsi="Arial" w:cs="Arial"/>
                <w:b/>
                <w:sz w:val="18"/>
              </w:rPr>
              <w:t>ATC code</w:t>
            </w:r>
          </w:p>
        </w:tc>
        <w:tc>
          <w:tcPr>
            <w:tcW w:w="4395" w:type="dxa"/>
            <w:gridSpan w:val="3"/>
            <w:shd w:val="clear" w:color="auto" w:fill="auto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b/>
                <w:sz w:val="18"/>
              </w:rPr>
            </w:pPr>
            <w:r w:rsidRPr="00E23E1C">
              <w:rPr>
                <w:rFonts w:ascii="Arial" w:hAnsi="Arial" w:cs="Arial"/>
                <w:b/>
                <w:sz w:val="18"/>
              </w:rPr>
              <w:t>Days</w:t>
            </w:r>
            <w:r w:rsidR="00B30821" w:rsidRPr="00E23E1C">
              <w:rPr>
                <w:rFonts w:ascii="Arial" w:hAnsi="Arial" w:cs="Arial"/>
                <w:b/>
                <w:sz w:val="18"/>
              </w:rPr>
              <w:t>’</w:t>
            </w:r>
            <w:r w:rsidRPr="00E23E1C">
              <w:rPr>
                <w:rFonts w:ascii="Arial" w:hAnsi="Arial" w:cs="Arial"/>
                <w:b/>
                <w:sz w:val="18"/>
              </w:rPr>
              <w:t xml:space="preserve"> supply (based on DDD)</w:t>
            </w:r>
          </w:p>
        </w:tc>
        <w:tc>
          <w:tcPr>
            <w:tcW w:w="1661" w:type="dxa"/>
            <w:vMerge w:val="restart"/>
            <w:vAlign w:val="center"/>
          </w:tcPr>
          <w:p w:rsidR="008A23DC" w:rsidRPr="00E23E1C" w:rsidRDefault="008A23DC" w:rsidP="00B30821">
            <w:pPr>
              <w:spacing w:after="200" w:line="276" w:lineRule="auto"/>
              <w:rPr>
                <w:rFonts w:ascii="Arial" w:hAnsi="Arial" w:cs="Arial"/>
                <w:b/>
                <w:sz w:val="18"/>
              </w:rPr>
            </w:pPr>
            <w:r w:rsidRPr="00E23E1C">
              <w:rPr>
                <w:rFonts w:ascii="Arial" w:hAnsi="Arial" w:cs="Arial"/>
                <w:b/>
                <w:sz w:val="18"/>
              </w:rPr>
              <w:t>Dos</w:t>
            </w:r>
            <w:r w:rsidR="00B30821" w:rsidRPr="00E23E1C">
              <w:rPr>
                <w:rFonts w:ascii="Arial" w:hAnsi="Arial" w:cs="Arial"/>
                <w:b/>
                <w:sz w:val="18"/>
              </w:rPr>
              <w:t>age</w:t>
            </w:r>
            <w:r w:rsidRPr="00E23E1C">
              <w:rPr>
                <w:rFonts w:ascii="Arial" w:hAnsi="Arial" w:cs="Arial"/>
                <w:b/>
                <w:sz w:val="18"/>
              </w:rPr>
              <w:t xml:space="preserve"> according to product label</w:t>
            </w:r>
          </w:p>
        </w:tc>
      </w:tr>
      <w:tr w:rsidR="008A23DC" w:rsidRPr="00E23E1C" w:rsidTr="00D26E6E">
        <w:trPr>
          <w:trHeight w:val="397"/>
          <w:jc w:val="center"/>
        </w:trPr>
        <w:tc>
          <w:tcPr>
            <w:tcW w:w="952" w:type="dxa"/>
            <w:vMerge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77" w:type="dxa"/>
            <w:vMerge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71" w:type="dxa"/>
            <w:vMerge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b/>
                <w:sz w:val="18"/>
              </w:rPr>
            </w:pPr>
            <w:r w:rsidRPr="00E23E1C">
              <w:rPr>
                <w:rFonts w:ascii="Arial" w:hAnsi="Arial" w:cs="Arial"/>
                <w:b/>
                <w:sz w:val="18"/>
              </w:rPr>
              <w:t>Pack size N1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b/>
                <w:sz w:val="18"/>
              </w:rPr>
            </w:pPr>
            <w:r w:rsidRPr="00E23E1C">
              <w:rPr>
                <w:rFonts w:ascii="Arial" w:hAnsi="Arial" w:cs="Arial"/>
                <w:b/>
                <w:sz w:val="18"/>
              </w:rPr>
              <w:t>Pack size N2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b/>
                <w:sz w:val="18"/>
              </w:rPr>
            </w:pPr>
            <w:r w:rsidRPr="00E23E1C">
              <w:rPr>
                <w:rFonts w:ascii="Arial" w:hAnsi="Arial" w:cs="Arial"/>
                <w:b/>
                <w:sz w:val="18"/>
              </w:rPr>
              <w:t>Pack size N3</w:t>
            </w:r>
          </w:p>
        </w:tc>
        <w:tc>
          <w:tcPr>
            <w:tcW w:w="1661" w:type="dxa"/>
            <w:vMerge/>
            <w:tcBorders>
              <w:bottom w:val="single" w:sz="4" w:space="0" w:color="auto"/>
            </w:tcBorders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b/>
                <w:sz w:val="18"/>
              </w:rPr>
            </w:pPr>
          </w:p>
        </w:tc>
      </w:tr>
      <w:tr w:rsidR="008A23DC" w:rsidRPr="00E23E1C" w:rsidTr="00D26E6E">
        <w:trPr>
          <w:trHeight w:val="397"/>
          <w:jc w:val="center"/>
        </w:trPr>
        <w:tc>
          <w:tcPr>
            <w:tcW w:w="952" w:type="dxa"/>
            <w:vMerge w:val="restart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Anti-TNF</w:t>
            </w:r>
          </w:p>
        </w:tc>
        <w:tc>
          <w:tcPr>
            <w:tcW w:w="1477" w:type="dxa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Adalimumab</w:t>
            </w:r>
          </w:p>
        </w:tc>
        <w:tc>
          <w:tcPr>
            <w:tcW w:w="1071" w:type="dxa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L04AB04</w:t>
            </w:r>
          </w:p>
        </w:tc>
        <w:tc>
          <w:tcPr>
            <w:tcW w:w="156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27</w:t>
            </w:r>
          </w:p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i/>
                <w:sz w:val="18"/>
              </w:rPr>
            </w:pPr>
            <w:r w:rsidRPr="00E23E1C">
              <w:rPr>
                <w:rFonts w:ascii="Arial" w:hAnsi="Arial" w:cs="Arial"/>
                <w:i/>
                <w:sz w:val="18"/>
              </w:rPr>
              <w:t>(injection solutions: 50 days)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55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82</w:t>
            </w:r>
          </w:p>
        </w:tc>
        <w:tc>
          <w:tcPr>
            <w:tcW w:w="1661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8A23DC" w:rsidRPr="00E23E1C" w:rsidRDefault="00B30821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B</w:t>
            </w:r>
            <w:r w:rsidR="008A23DC" w:rsidRPr="00E23E1C">
              <w:rPr>
                <w:rFonts w:ascii="Arial" w:hAnsi="Arial" w:cs="Arial"/>
                <w:sz w:val="18"/>
              </w:rPr>
              <w:t>i</w:t>
            </w:r>
            <w:r w:rsidRPr="00E23E1C">
              <w:rPr>
                <w:rFonts w:ascii="Arial" w:hAnsi="Arial" w:cs="Arial"/>
                <w:sz w:val="18"/>
              </w:rPr>
              <w:t>-</w:t>
            </w:r>
            <w:r w:rsidR="008A23DC" w:rsidRPr="00E23E1C">
              <w:rPr>
                <w:rFonts w:ascii="Arial" w:hAnsi="Arial" w:cs="Arial"/>
                <w:sz w:val="18"/>
              </w:rPr>
              <w:t>weekly</w:t>
            </w:r>
          </w:p>
        </w:tc>
      </w:tr>
      <w:tr w:rsidR="008A23DC" w:rsidRPr="00E23E1C" w:rsidTr="00D26E6E">
        <w:trPr>
          <w:trHeight w:val="397"/>
          <w:jc w:val="center"/>
        </w:trPr>
        <w:tc>
          <w:tcPr>
            <w:tcW w:w="952" w:type="dxa"/>
            <w:vMerge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477" w:type="dxa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Certolizumab</w:t>
            </w:r>
          </w:p>
        </w:tc>
        <w:tc>
          <w:tcPr>
            <w:tcW w:w="1071" w:type="dxa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L04AB05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28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85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200 mg: bi</w:t>
            </w:r>
            <w:r w:rsidR="00B30821" w:rsidRPr="00E23E1C">
              <w:rPr>
                <w:rFonts w:ascii="Arial" w:hAnsi="Arial" w:cs="Arial"/>
                <w:sz w:val="18"/>
              </w:rPr>
              <w:t>-</w:t>
            </w:r>
            <w:r w:rsidRPr="00E23E1C">
              <w:rPr>
                <w:rFonts w:ascii="Arial" w:hAnsi="Arial" w:cs="Arial"/>
                <w:sz w:val="18"/>
              </w:rPr>
              <w:t>weekly</w:t>
            </w:r>
          </w:p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400mg: monthly</w:t>
            </w:r>
          </w:p>
        </w:tc>
      </w:tr>
      <w:tr w:rsidR="008A23DC" w:rsidRPr="00E23E1C" w:rsidTr="00D26E6E">
        <w:trPr>
          <w:trHeight w:val="397"/>
          <w:jc w:val="center"/>
        </w:trPr>
        <w:tc>
          <w:tcPr>
            <w:tcW w:w="952" w:type="dxa"/>
            <w:vMerge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477" w:type="dxa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Etanercept</w:t>
            </w:r>
          </w:p>
        </w:tc>
        <w:tc>
          <w:tcPr>
            <w:tcW w:w="1071" w:type="dxa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L04AB01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28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85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25 mg: twice a week</w:t>
            </w:r>
          </w:p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50 mg: once a week</w:t>
            </w:r>
          </w:p>
        </w:tc>
      </w:tr>
      <w:tr w:rsidR="008A23DC" w:rsidRPr="00E23E1C" w:rsidTr="00D26E6E">
        <w:trPr>
          <w:trHeight w:val="397"/>
          <w:jc w:val="center"/>
        </w:trPr>
        <w:tc>
          <w:tcPr>
            <w:tcW w:w="952" w:type="dxa"/>
            <w:vMerge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477" w:type="dxa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Golimumab</w:t>
            </w:r>
          </w:p>
        </w:tc>
        <w:tc>
          <w:tcPr>
            <w:tcW w:w="1071" w:type="dxa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L04AB06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A23DC" w:rsidRPr="00E23E1C" w:rsidRDefault="00B30821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M</w:t>
            </w:r>
            <w:r w:rsidR="008A23DC" w:rsidRPr="00E23E1C">
              <w:rPr>
                <w:rFonts w:ascii="Arial" w:hAnsi="Arial" w:cs="Arial"/>
                <w:sz w:val="18"/>
              </w:rPr>
              <w:t>onthly</w:t>
            </w:r>
          </w:p>
        </w:tc>
      </w:tr>
      <w:tr w:rsidR="008A23DC" w:rsidRPr="00E23E1C" w:rsidTr="00D26E6E">
        <w:trPr>
          <w:trHeight w:val="397"/>
          <w:jc w:val="center"/>
        </w:trPr>
        <w:tc>
          <w:tcPr>
            <w:tcW w:w="952" w:type="dxa"/>
            <w:vMerge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477" w:type="dxa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Infliximab</w:t>
            </w:r>
          </w:p>
        </w:tc>
        <w:tc>
          <w:tcPr>
            <w:tcW w:w="1071" w:type="dxa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L04AB02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133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A23DC" w:rsidRPr="00E23E1C" w:rsidRDefault="00B30821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E</w:t>
            </w:r>
            <w:r w:rsidR="008A23DC" w:rsidRPr="00E23E1C">
              <w:rPr>
                <w:rFonts w:ascii="Arial" w:hAnsi="Arial" w:cs="Arial"/>
                <w:sz w:val="18"/>
              </w:rPr>
              <w:t>very 8 weeks</w:t>
            </w:r>
          </w:p>
        </w:tc>
      </w:tr>
      <w:tr w:rsidR="008A23DC" w:rsidRPr="00E23E1C" w:rsidTr="00D26E6E">
        <w:trPr>
          <w:trHeight w:val="397"/>
          <w:jc w:val="center"/>
        </w:trPr>
        <w:tc>
          <w:tcPr>
            <w:tcW w:w="952" w:type="dxa"/>
            <w:vMerge w:val="restart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Non-anti TNF</w:t>
            </w:r>
          </w:p>
        </w:tc>
        <w:tc>
          <w:tcPr>
            <w:tcW w:w="1477" w:type="dxa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Abatacept</w:t>
            </w:r>
          </w:p>
        </w:tc>
        <w:tc>
          <w:tcPr>
            <w:tcW w:w="1071" w:type="dxa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L04AA24</w:t>
            </w:r>
          </w:p>
        </w:tc>
        <w:tc>
          <w:tcPr>
            <w:tcW w:w="1560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</w:tcBorders>
          </w:tcPr>
          <w:p w:rsidR="008A23DC" w:rsidRPr="00E23E1C" w:rsidRDefault="00B30821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M</w:t>
            </w:r>
            <w:r w:rsidR="008A23DC" w:rsidRPr="00E23E1C">
              <w:rPr>
                <w:rFonts w:ascii="Arial" w:hAnsi="Arial" w:cs="Arial"/>
                <w:sz w:val="18"/>
              </w:rPr>
              <w:t>onthly</w:t>
            </w:r>
          </w:p>
        </w:tc>
      </w:tr>
      <w:tr w:rsidR="008A23DC" w:rsidRPr="00E23E1C" w:rsidTr="00D26E6E">
        <w:trPr>
          <w:trHeight w:val="397"/>
          <w:jc w:val="center"/>
        </w:trPr>
        <w:tc>
          <w:tcPr>
            <w:tcW w:w="952" w:type="dxa"/>
            <w:vMerge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477" w:type="dxa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Tocilizumab</w:t>
            </w:r>
          </w:p>
        </w:tc>
        <w:tc>
          <w:tcPr>
            <w:tcW w:w="1071" w:type="dxa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L04AC07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80 mg: 4</w:t>
            </w:r>
          </w:p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200 mg: 10</w:t>
            </w:r>
          </w:p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400 mg: 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80 mg: 16</w:t>
            </w:r>
          </w:p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200 mg: 40</w:t>
            </w:r>
          </w:p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400 mg: 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A23DC" w:rsidRPr="00E23E1C" w:rsidRDefault="00B30821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  <w:r w:rsidRPr="00E23E1C">
              <w:rPr>
                <w:rFonts w:ascii="Arial" w:hAnsi="Arial" w:cs="Arial"/>
                <w:sz w:val="18"/>
              </w:rPr>
              <w:t>W</w:t>
            </w:r>
            <w:r w:rsidR="008A23DC" w:rsidRPr="00E23E1C">
              <w:rPr>
                <w:rFonts w:ascii="Arial" w:hAnsi="Arial" w:cs="Arial"/>
                <w:sz w:val="18"/>
              </w:rPr>
              <w:t>eekly</w:t>
            </w:r>
          </w:p>
        </w:tc>
      </w:tr>
      <w:tr w:rsidR="008A23DC" w:rsidRPr="00E23E1C" w:rsidTr="00D26E6E">
        <w:trPr>
          <w:trHeight w:val="397"/>
          <w:jc w:val="center"/>
        </w:trPr>
        <w:tc>
          <w:tcPr>
            <w:tcW w:w="952" w:type="dxa"/>
            <w:vMerge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477" w:type="dxa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i/>
                <w:color w:val="808080" w:themeColor="background1" w:themeShade="80"/>
                <w:sz w:val="18"/>
              </w:rPr>
            </w:pPr>
            <w:r w:rsidRPr="00E23E1C">
              <w:rPr>
                <w:rFonts w:ascii="Arial" w:hAnsi="Arial" w:cs="Arial"/>
                <w:i/>
                <w:color w:val="808080" w:themeColor="background1" w:themeShade="80"/>
                <w:sz w:val="18"/>
              </w:rPr>
              <w:t>Rituximab</w:t>
            </w:r>
            <w:r w:rsidRPr="00E23E1C">
              <w:rPr>
                <w:rStyle w:val="Funotenzeichen"/>
                <w:rFonts w:ascii="Arial" w:hAnsi="Arial" w:cs="Arial"/>
                <w:i/>
                <w:color w:val="808080" w:themeColor="background1" w:themeShade="80"/>
                <w:sz w:val="18"/>
              </w:rPr>
              <w:footnoteReference w:id="1"/>
            </w:r>
          </w:p>
        </w:tc>
        <w:tc>
          <w:tcPr>
            <w:tcW w:w="1071" w:type="dxa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i/>
                <w:color w:val="808080" w:themeColor="background1" w:themeShade="80"/>
                <w:sz w:val="18"/>
              </w:rPr>
            </w:pPr>
            <w:r w:rsidRPr="00E23E1C">
              <w:rPr>
                <w:rFonts w:ascii="Arial" w:hAnsi="Arial" w:cs="Arial"/>
                <w:i/>
                <w:color w:val="808080" w:themeColor="background1" w:themeShade="80"/>
                <w:sz w:val="18"/>
              </w:rPr>
              <w:t>L01XC02</w:t>
            </w:r>
          </w:p>
        </w:tc>
        <w:tc>
          <w:tcPr>
            <w:tcW w:w="6056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8A23DC" w:rsidRPr="00E23E1C" w:rsidRDefault="008A23DC" w:rsidP="008A23DC">
            <w:pPr>
              <w:spacing w:after="200" w:line="276" w:lineRule="auto"/>
              <w:rPr>
                <w:rFonts w:ascii="Arial" w:hAnsi="Arial" w:cs="Arial"/>
                <w:i/>
                <w:color w:val="808080" w:themeColor="background1" w:themeShade="80"/>
                <w:sz w:val="18"/>
              </w:rPr>
            </w:pPr>
            <w:r w:rsidRPr="00E23E1C">
              <w:rPr>
                <w:rFonts w:ascii="Arial" w:hAnsi="Arial" w:cs="Arial"/>
                <w:i/>
                <w:color w:val="808080" w:themeColor="background1" w:themeShade="80"/>
                <w:sz w:val="18"/>
              </w:rPr>
              <w:t>2 1000 mg intravenous infusions; need for further courses should be evaluated 24 weeks following the previous course - retreatment should be given at that time if residual disease activity remains, otherwise retreatment should be delayed until disease activity returns</w:t>
            </w:r>
          </w:p>
        </w:tc>
      </w:tr>
    </w:tbl>
    <w:p w:rsidR="00D227C1" w:rsidRPr="00E23E1C" w:rsidRDefault="00D227C1">
      <w:pPr>
        <w:rPr>
          <w:rFonts w:ascii="Arial" w:hAnsi="Arial" w:cs="Arial"/>
        </w:rPr>
      </w:pPr>
    </w:p>
    <w:sectPr w:rsidR="00D227C1" w:rsidRPr="00E23E1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B45" w:rsidRDefault="00497B45" w:rsidP="008A23DC">
      <w:pPr>
        <w:spacing w:after="0" w:line="240" w:lineRule="auto"/>
      </w:pPr>
      <w:r>
        <w:separator/>
      </w:r>
    </w:p>
  </w:endnote>
  <w:endnote w:type="continuationSeparator" w:id="0">
    <w:p w:rsidR="00497B45" w:rsidRDefault="00497B45" w:rsidP="008A2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B45" w:rsidRDefault="00497B45" w:rsidP="008A23DC">
      <w:pPr>
        <w:spacing w:after="0" w:line="240" w:lineRule="auto"/>
      </w:pPr>
      <w:r>
        <w:separator/>
      </w:r>
    </w:p>
  </w:footnote>
  <w:footnote w:type="continuationSeparator" w:id="0">
    <w:p w:rsidR="00497B45" w:rsidRDefault="00497B45" w:rsidP="008A23DC">
      <w:pPr>
        <w:spacing w:after="0" w:line="240" w:lineRule="auto"/>
      </w:pPr>
      <w:r>
        <w:continuationSeparator/>
      </w:r>
    </w:p>
  </w:footnote>
  <w:footnote w:id="1">
    <w:p w:rsidR="008A23DC" w:rsidRDefault="008A23DC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having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 xml:space="preserve"> </w:t>
      </w:r>
      <w:proofErr w:type="spellStart"/>
      <w:r>
        <w:t>Rituximab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not </w:t>
      </w:r>
      <w:proofErr w:type="spellStart"/>
      <w:r>
        <w:t>included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7A0"/>
    <w:rsid w:val="00054DE1"/>
    <w:rsid w:val="00497B45"/>
    <w:rsid w:val="004F75A1"/>
    <w:rsid w:val="0066706F"/>
    <w:rsid w:val="007857A0"/>
    <w:rsid w:val="008A23DC"/>
    <w:rsid w:val="00B30821"/>
    <w:rsid w:val="00D227C1"/>
    <w:rsid w:val="00E2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48E70"/>
  <w15:docId w15:val="{F8BC74DC-2885-484D-A472-D0637378F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A2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8A23DC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A23D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A23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838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Wilke</dc:creator>
  <cp:lastModifiedBy>Sabine Bauer</cp:lastModifiedBy>
  <cp:revision>6</cp:revision>
  <dcterms:created xsi:type="dcterms:W3CDTF">2015-06-24T09:47:00Z</dcterms:created>
  <dcterms:modified xsi:type="dcterms:W3CDTF">2017-01-11T14:15:00Z</dcterms:modified>
</cp:coreProperties>
</file>