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5E39" w:rsidRPr="00FB6B36" w:rsidRDefault="00C15E39" w:rsidP="00C15E39">
      <w:pPr>
        <w:rPr>
          <w:rFonts w:ascii="Times New Roman" w:hAnsi="Times New Roman" w:cs="Times New Roman"/>
          <w:sz w:val="22"/>
        </w:rPr>
      </w:pPr>
      <w:r w:rsidRPr="00FB6B36">
        <w:rPr>
          <w:rFonts w:ascii="Times New Roman" w:hAnsi="Times New Roman" w:cs="Times New Roman"/>
          <w:b/>
          <w:sz w:val="22"/>
        </w:rPr>
        <w:t>Additional file 1.</w:t>
      </w:r>
      <w:r w:rsidRPr="00FB6B36">
        <w:rPr>
          <w:rFonts w:ascii="Times New Roman" w:hAnsi="Times New Roman" w:cs="Times New Roman" w:hint="eastAsia"/>
          <w:sz w:val="22"/>
        </w:rPr>
        <w:t xml:space="preserve"> </w:t>
      </w:r>
      <w:r w:rsidRPr="00FB6B36">
        <w:rPr>
          <w:rFonts w:ascii="Times New Roman" w:hAnsi="Times New Roman" w:cs="Times New Roman"/>
          <w:sz w:val="22"/>
        </w:rPr>
        <w:t>Pilot data analysis results</w:t>
      </w:r>
    </w:p>
    <w:p w:rsidR="00C15E39" w:rsidRPr="00FB6B36" w:rsidRDefault="00C15E39" w:rsidP="00C15E39">
      <w:pPr>
        <w:rPr>
          <w:rFonts w:ascii="Times New Roman" w:hAnsi="Times New Roman" w:cs="Times New Roman"/>
          <w:sz w:val="22"/>
        </w:rPr>
      </w:pPr>
    </w:p>
    <w:p w:rsidR="00C15E39" w:rsidRPr="00FB6B36" w:rsidRDefault="00C15E39" w:rsidP="00C15E39">
      <w:pPr>
        <w:rPr>
          <w:rFonts w:ascii="Times New Roman" w:hAnsi="Times New Roman" w:cs="Times New Roman"/>
          <w:sz w:val="22"/>
        </w:rPr>
      </w:pPr>
      <w:r w:rsidRPr="00FB6B36">
        <w:rPr>
          <w:rFonts w:ascii="Times New Roman" w:hAnsi="Times New Roman" w:cs="Times New Roman"/>
          <w:sz w:val="22"/>
        </w:rPr>
        <w:t>Since the difference between the two measurements is expected to increase as muscle strength increases, the difference relative to the average of the two measurements is used. The measured value from each rater is termed as HDD_H and HDD_S. The difference between the two measured values ​​= ((HDD_H-HDD_S) / average) * 100</w:t>
      </w:r>
    </w:p>
    <w:p w:rsidR="00C15E39" w:rsidRPr="00FB6B36" w:rsidRDefault="00C15E39" w:rsidP="00C15E39">
      <w:pPr>
        <w:rPr>
          <w:rFonts w:ascii="Times New Roman" w:hAnsi="Times New Roman" w:cs="Times New Roman"/>
          <w:sz w:val="22"/>
        </w:rPr>
      </w:pPr>
      <w:r w:rsidRPr="00FB6B36">
        <w:rPr>
          <w:rFonts w:ascii="Times New Roman" w:hAnsi="Times New Roman" w:cs="Times New Roman"/>
          <w:sz w:val="22"/>
        </w:rPr>
        <w:t>The distribution of the differences between the two measurements relative to the average is as follows:</w:t>
      </w:r>
    </w:p>
    <w:tbl>
      <w:tblPr>
        <w:tblStyle w:val="a5"/>
        <w:tblW w:w="0" w:type="auto"/>
        <w:tblLook w:val="04A0" w:firstRow="1" w:lastRow="0" w:firstColumn="1" w:lastColumn="0" w:noHBand="0" w:noVBand="1"/>
      </w:tblPr>
      <w:tblGrid>
        <w:gridCol w:w="2328"/>
        <w:gridCol w:w="1181"/>
        <w:gridCol w:w="1182"/>
        <w:gridCol w:w="1181"/>
        <w:gridCol w:w="1182"/>
        <w:gridCol w:w="1182"/>
      </w:tblGrid>
      <w:tr w:rsidR="00C15E39" w:rsidRPr="00FB6B36" w:rsidTr="00034B7D">
        <w:tc>
          <w:tcPr>
            <w:tcW w:w="2328" w:type="dxa"/>
          </w:tcPr>
          <w:p w:rsidR="00C15E39" w:rsidRPr="00FB6B36" w:rsidRDefault="00C15E39" w:rsidP="00034B7D">
            <w:pPr>
              <w:pStyle w:val="a6"/>
              <w:spacing w:before="0" w:beforeAutospacing="0" w:after="0" w:afterAutospacing="0" w:line="330" w:lineRule="atLeast"/>
              <w:rPr>
                <w:rFonts w:ascii="Times New Roman" w:eastAsiaTheme="majorHAnsi" w:hAnsi="Times New Roman" w:cs="Times New Roman"/>
                <w:sz w:val="20"/>
                <w:szCs w:val="20"/>
              </w:rPr>
            </w:pPr>
          </w:p>
        </w:tc>
        <w:tc>
          <w:tcPr>
            <w:tcW w:w="1181" w:type="dxa"/>
          </w:tcPr>
          <w:p w:rsidR="00C15E39" w:rsidRPr="00FB6B36" w:rsidRDefault="00C15E39" w:rsidP="00034B7D">
            <w:pPr>
              <w:pStyle w:val="a6"/>
              <w:spacing w:before="0" w:beforeAutospacing="0" w:after="0" w:afterAutospacing="0" w:line="330" w:lineRule="atLeast"/>
              <w:rPr>
                <w:rFonts w:ascii="Times New Roman" w:eastAsiaTheme="majorHAnsi" w:hAnsi="Times New Roman" w:cs="Times New Roman"/>
                <w:sz w:val="20"/>
                <w:szCs w:val="20"/>
              </w:rPr>
            </w:pPr>
            <w:r w:rsidRPr="00FB6B36">
              <w:rPr>
                <w:rFonts w:ascii="Times New Roman" w:eastAsiaTheme="majorHAnsi" w:hAnsi="Times New Roman" w:cs="Times New Roman"/>
                <w:sz w:val="20"/>
                <w:szCs w:val="20"/>
              </w:rPr>
              <w:t>Average</w:t>
            </w:r>
          </w:p>
        </w:tc>
        <w:tc>
          <w:tcPr>
            <w:tcW w:w="1182" w:type="dxa"/>
          </w:tcPr>
          <w:p w:rsidR="00C15E39" w:rsidRPr="00FB6B36" w:rsidRDefault="00C15E39" w:rsidP="00034B7D">
            <w:pPr>
              <w:pStyle w:val="a6"/>
              <w:spacing w:before="0" w:beforeAutospacing="0" w:after="0" w:afterAutospacing="0" w:line="330" w:lineRule="atLeast"/>
              <w:rPr>
                <w:rFonts w:ascii="Times New Roman" w:eastAsiaTheme="majorHAnsi" w:hAnsi="Times New Roman" w:cs="Times New Roman"/>
                <w:sz w:val="20"/>
                <w:szCs w:val="20"/>
              </w:rPr>
            </w:pPr>
            <w:r w:rsidRPr="00FB6B36">
              <w:rPr>
                <w:rFonts w:ascii="Times New Roman" w:eastAsiaTheme="majorHAnsi" w:hAnsi="Times New Roman" w:cs="Times New Roman"/>
                <w:sz w:val="20"/>
                <w:szCs w:val="20"/>
              </w:rPr>
              <w:t>Standard deviation</w:t>
            </w:r>
          </w:p>
        </w:tc>
        <w:tc>
          <w:tcPr>
            <w:tcW w:w="1181" w:type="dxa"/>
          </w:tcPr>
          <w:p w:rsidR="00C15E39" w:rsidRPr="00FB6B36" w:rsidRDefault="00C15E39" w:rsidP="00034B7D">
            <w:pPr>
              <w:pStyle w:val="a6"/>
              <w:spacing w:before="0" w:beforeAutospacing="0" w:after="0" w:afterAutospacing="0" w:line="330" w:lineRule="atLeast"/>
              <w:rPr>
                <w:rFonts w:ascii="Times New Roman" w:eastAsiaTheme="majorHAnsi" w:hAnsi="Times New Roman" w:cs="Times New Roman"/>
                <w:sz w:val="20"/>
                <w:szCs w:val="20"/>
              </w:rPr>
            </w:pPr>
            <w:r w:rsidRPr="00FB6B36">
              <w:rPr>
                <w:rFonts w:ascii="Times New Roman" w:eastAsiaTheme="majorHAnsi" w:hAnsi="Times New Roman" w:cs="Times New Roman"/>
                <w:sz w:val="20"/>
                <w:szCs w:val="20"/>
              </w:rPr>
              <w:t>Median value</w:t>
            </w:r>
          </w:p>
        </w:tc>
        <w:tc>
          <w:tcPr>
            <w:tcW w:w="1182" w:type="dxa"/>
          </w:tcPr>
          <w:p w:rsidR="00C15E39" w:rsidRPr="00FB6B36" w:rsidRDefault="00C15E39" w:rsidP="00034B7D">
            <w:pPr>
              <w:pStyle w:val="a6"/>
              <w:spacing w:before="0" w:beforeAutospacing="0" w:after="0" w:afterAutospacing="0" w:line="330" w:lineRule="atLeast"/>
              <w:rPr>
                <w:rFonts w:ascii="Times New Roman" w:eastAsiaTheme="majorHAnsi" w:hAnsi="Times New Roman" w:cs="Times New Roman"/>
                <w:sz w:val="20"/>
                <w:szCs w:val="20"/>
              </w:rPr>
            </w:pPr>
            <w:r w:rsidRPr="00FB6B36">
              <w:rPr>
                <w:rFonts w:ascii="Times New Roman" w:eastAsiaTheme="majorHAnsi" w:hAnsi="Times New Roman" w:cs="Times New Roman"/>
                <w:sz w:val="20"/>
                <w:szCs w:val="20"/>
              </w:rPr>
              <w:t>Minimal value</w:t>
            </w:r>
          </w:p>
        </w:tc>
        <w:tc>
          <w:tcPr>
            <w:tcW w:w="1182" w:type="dxa"/>
          </w:tcPr>
          <w:p w:rsidR="00C15E39" w:rsidRPr="00FB6B36" w:rsidRDefault="00C15E39" w:rsidP="00034B7D">
            <w:pPr>
              <w:pStyle w:val="a6"/>
              <w:spacing w:before="0" w:beforeAutospacing="0" w:after="0" w:afterAutospacing="0" w:line="330" w:lineRule="atLeast"/>
              <w:rPr>
                <w:rFonts w:ascii="Times New Roman" w:eastAsiaTheme="majorHAnsi" w:hAnsi="Times New Roman" w:cs="Times New Roman"/>
                <w:sz w:val="20"/>
                <w:szCs w:val="20"/>
              </w:rPr>
            </w:pPr>
            <w:r w:rsidRPr="00FB6B36">
              <w:rPr>
                <w:rFonts w:ascii="Times New Roman" w:eastAsiaTheme="majorHAnsi" w:hAnsi="Times New Roman" w:cs="Times New Roman"/>
                <w:sz w:val="20"/>
                <w:szCs w:val="20"/>
              </w:rPr>
              <w:t>Maximal value</w:t>
            </w:r>
          </w:p>
        </w:tc>
      </w:tr>
      <w:tr w:rsidR="00C15E39" w:rsidRPr="00FB6B36" w:rsidTr="00034B7D">
        <w:tc>
          <w:tcPr>
            <w:tcW w:w="2328" w:type="dxa"/>
          </w:tcPr>
          <w:p w:rsidR="00C15E39" w:rsidRPr="00FB6B36" w:rsidRDefault="00C15E39" w:rsidP="00034B7D">
            <w:pPr>
              <w:pStyle w:val="a6"/>
              <w:spacing w:before="0" w:beforeAutospacing="0" w:after="0" w:afterAutospacing="0" w:line="330" w:lineRule="atLeast"/>
              <w:rPr>
                <w:rFonts w:ascii="Times New Roman" w:eastAsiaTheme="majorHAnsi" w:hAnsi="Times New Roman" w:cs="Times New Roman"/>
                <w:sz w:val="20"/>
                <w:szCs w:val="20"/>
              </w:rPr>
            </w:pPr>
            <w:r w:rsidRPr="00FB6B36">
              <w:rPr>
                <w:rFonts w:ascii="Times New Roman" w:eastAsiaTheme="majorHAnsi" w:hAnsi="Times New Roman" w:cs="Times New Roman"/>
                <w:sz w:val="20"/>
                <w:szCs w:val="20"/>
              </w:rPr>
              <w:t>Difference between the two measured values (%)</w:t>
            </w:r>
            <w:r w:rsidRPr="00FB6B36">
              <w:rPr>
                <w:rFonts w:ascii="Times New Roman" w:eastAsiaTheme="majorHAnsi" w:hAnsi="Times New Roman" w:cs="Times New Roman"/>
                <w:sz w:val="20"/>
                <w:szCs w:val="20"/>
                <w:vertAlign w:val="superscript"/>
              </w:rPr>
              <w:t>1</w:t>
            </w:r>
          </w:p>
        </w:tc>
        <w:tc>
          <w:tcPr>
            <w:tcW w:w="1181" w:type="dxa"/>
          </w:tcPr>
          <w:p w:rsidR="00C15E39" w:rsidRPr="00FB6B36" w:rsidRDefault="00C15E39" w:rsidP="00034B7D">
            <w:pPr>
              <w:pStyle w:val="a6"/>
              <w:spacing w:before="0" w:beforeAutospacing="0" w:after="0" w:afterAutospacing="0" w:line="330" w:lineRule="atLeast"/>
              <w:rPr>
                <w:rFonts w:ascii="Times New Roman" w:eastAsiaTheme="majorHAnsi" w:hAnsi="Times New Roman" w:cs="Times New Roman"/>
                <w:sz w:val="20"/>
                <w:szCs w:val="20"/>
              </w:rPr>
            </w:pPr>
            <w:r w:rsidRPr="00FB6B36">
              <w:rPr>
                <w:rFonts w:ascii="Times New Roman" w:eastAsiaTheme="majorHAnsi" w:hAnsi="Times New Roman" w:cs="Times New Roman"/>
                <w:sz w:val="20"/>
                <w:szCs w:val="20"/>
              </w:rPr>
              <w:t>0.81</w:t>
            </w:r>
          </w:p>
        </w:tc>
        <w:tc>
          <w:tcPr>
            <w:tcW w:w="1182" w:type="dxa"/>
          </w:tcPr>
          <w:p w:rsidR="00C15E39" w:rsidRPr="00FB6B36" w:rsidRDefault="00C15E39" w:rsidP="00034B7D">
            <w:pPr>
              <w:pStyle w:val="a6"/>
              <w:spacing w:before="0" w:beforeAutospacing="0" w:after="0" w:afterAutospacing="0" w:line="330" w:lineRule="atLeast"/>
              <w:rPr>
                <w:rFonts w:ascii="Times New Roman" w:eastAsiaTheme="majorHAnsi" w:hAnsi="Times New Roman" w:cs="Times New Roman"/>
                <w:sz w:val="20"/>
                <w:szCs w:val="20"/>
              </w:rPr>
            </w:pPr>
            <w:r w:rsidRPr="00FB6B36">
              <w:rPr>
                <w:rFonts w:ascii="Times New Roman" w:eastAsiaTheme="majorHAnsi" w:hAnsi="Times New Roman" w:cs="Times New Roman"/>
                <w:sz w:val="20"/>
                <w:szCs w:val="20"/>
              </w:rPr>
              <w:t>5.07</w:t>
            </w:r>
          </w:p>
        </w:tc>
        <w:tc>
          <w:tcPr>
            <w:tcW w:w="1181" w:type="dxa"/>
          </w:tcPr>
          <w:p w:rsidR="00C15E39" w:rsidRPr="00FB6B36" w:rsidRDefault="00C15E39" w:rsidP="00034B7D">
            <w:pPr>
              <w:pStyle w:val="a6"/>
              <w:spacing w:before="0" w:beforeAutospacing="0" w:after="0" w:afterAutospacing="0" w:line="330" w:lineRule="atLeast"/>
              <w:rPr>
                <w:rFonts w:ascii="Times New Roman" w:eastAsiaTheme="majorHAnsi" w:hAnsi="Times New Roman" w:cs="Times New Roman"/>
                <w:sz w:val="20"/>
                <w:szCs w:val="20"/>
              </w:rPr>
            </w:pPr>
            <w:r w:rsidRPr="00FB6B36">
              <w:rPr>
                <w:rFonts w:ascii="Times New Roman" w:eastAsiaTheme="majorHAnsi" w:hAnsi="Times New Roman" w:cs="Times New Roman"/>
                <w:sz w:val="20"/>
                <w:szCs w:val="20"/>
              </w:rPr>
              <w:t>0.78</w:t>
            </w:r>
          </w:p>
        </w:tc>
        <w:tc>
          <w:tcPr>
            <w:tcW w:w="1182" w:type="dxa"/>
          </w:tcPr>
          <w:p w:rsidR="00C15E39" w:rsidRPr="00FB6B36" w:rsidRDefault="00C15E39" w:rsidP="00034B7D">
            <w:pPr>
              <w:pStyle w:val="a6"/>
              <w:spacing w:before="0" w:beforeAutospacing="0" w:after="0" w:afterAutospacing="0" w:line="330" w:lineRule="atLeast"/>
              <w:rPr>
                <w:rFonts w:ascii="Times New Roman" w:eastAsiaTheme="majorHAnsi" w:hAnsi="Times New Roman" w:cs="Times New Roman"/>
                <w:sz w:val="20"/>
                <w:szCs w:val="20"/>
              </w:rPr>
            </w:pPr>
            <w:r w:rsidRPr="00FB6B36">
              <w:rPr>
                <w:rFonts w:ascii="Times New Roman" w:eastAsiaTheme="majorHAnsi" w:hAnsi="Times New Roman" w:cs="Times New Roman"/>
                <w:sz w:val="20"/>
                <w:szCs w:val="20"/>
              </w:rPr>
              <w:t>-6.93</w:t>
            </w:r>
          </w:p>
        </w:tc>
        <w:tc>
          <w:tcPr>
            <w:tcW w:w="1182" w:type="dxa"/>
          </w:tcPr>
          <w:p w:rsidR="00C15E39" w:rsidRPr="00FB6B36" w:rsidRDefault="00C15E39" w:rsidP="00034B7D">
            <w:pPr>
              <w:pStyle w:val="a6"/>
              <w:spacing w:before="0" w:beforeAutospacing="0" w:after="0" w:afterAutospacing="0" w:line="330" w:lineRule="atLeast"/>
              <w:rPr>
                <w:rFonts w:ascii="Times New Roman" w:eastAsiaTheme="majorHAnsi" w:hAnsi="Times New Roman" w:cs="Times New Roman"/>
                <w:sz w:val="20"/>
                <w:szCs w:val="20"/>
              </w:rPr>
            </w:pPr>
            <w:r w:rsidRPr="00FB6B36">
              <w:rPr>
                <w:rFonts w:ascii="Times New Roman" w:eastAsiaTheme="majorHAnsi" w:hAnsi="Times New Roman" w:cs="Times New Roman"/>
                <w:sz w:val="20"/>
                <w:szCs w:val="20"/>
              </w:rPr>
              <w:t>9.24</w:t>
            </w:r>
          </w:p>
        </w:tc>
      </w:tr>
    </w:tbl>
    <w:p w:rsidR="00C15E39" w:rsidRPr="00FB6B36" w:rsidRDefault="00C15E39" w:rsidP="00C15E39">
      <w:pPr>
        <w:pStyle w:val="a6"/>
        <w:spacing w:before="0" w:beforeAutospacing="0" w:after="0" w:afterAutospacing="0" w:line="330" w:lineRule="atLeast"/>
        <w:rPr>
          <w:rFonts w:ascii="Times New Roman" w:eastAsiaTheme="majorHAnsi" w:hAnsi="Times New Roman" w:cs="Times New Roman"/>
          <w:sz w:val="20"/>
          <w:szCs w:val="20"/>
        </w:rPr>
      </w:pPr>
      <w:r w:rsidRPr="00FB6B36">
        <w:rPr>
          <w:rFonts w:ascii="Times New Roman" w:eastAsiaTheme="majorHAnsi" w:hAnsi="Times New Roman" w:cs="Times New Roman"/>
          <w:sz w:val="20"/>
          <w:szCs w:val="20"/>
          <w:vertAlign w:val="superscript"/>
        </w:rPr>
        <w:t>1</w:t>
      </w:r>
      <w:r w:rsidRPr="00FB6B36">
        <w:rPr>
          <w:rFonts w:ascii="Times New Roman" w:eastAsiaTheme="majorHAnsi" w:hAnsi="Times New Roman" w:cs="Times New Roman"/>
          <w:sz w:val="20"/>
          <w:szCs w:val="20"/>
        </w:rPr>
        <w:t xml:space="preserve">: = ((HDD_H- HDD_S)/ Average)*100  </w:t>
      </w:r>
    </w:p>
    <w:p w:rsidR="00C15E39" w:rsidRPr="00FB6B36" w:rsidRDefault="00C15E39" w:rsidP="00C15E39">
      <w:pPr>
        <w:rPr>
          <w:rFonts w:ascii="Times New Roman" w:hAnsi="Times New Roman" w:cs="Times New Roman"/>
          <w:sz w:val="22"/>
        </w:rPr>
      </w:pPr>
      <w:r w:rsidRPr="00FB6B36">
        <w:rPr>
          <w:rFonts w:asciiTheme="majorHAnsi" w:hAnsiTheme="majorHAnsi"/>
          <w:noProof/>
        </w:rPr>
        <w:drawing>
          <wp:inline distT="0" distB="0" distL="0" distR="0" wp14:anchorId="41260173" wp14:editId="6A127C81">
            <wp:extent cx="4666615" cy="3269615"/>
            <wp:effectExtent l="0" t="0" r="635" b="6985"/>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666615" cy="3269615"/>
                    </a:xfrm>
                    <a:prstGeom prst="rect">
                      <a:avLst/>
                    </a:prstGeom>
                    <a:noFill/>
                    <a:ln>
                      <a:noFill/>
                    </a:ln>
                  </pic:spPr>
                </pic:pic>
              </a:graphicData>
            </a:graphic>
          </wp:inline>
        </w:drawing>
      </w:r>
    </w:p>
    <w:p w:rsidR="00C15E39" w:rsidRPr="00FB6B36" w:rsidRDefault="00C15E39" w:rsidP="00C15E39">
      <w:pPr>
        <w:rPr>
          <w:rFonts w:ascii="Times New Roman" w:hAnsi="Times New Roman" w:cs="Times New Roman"/>
          <w:sz w:val="22"/>
        </w:rPr>
      </w:pPr>
    </w:p>
    <w:p w:rsidR="00C15E39" w:rsidRPr="00FB6B36" w:rsidRDefault="00C15E39" w:rsidP="00C15E39">
      <w:pPr>
        <w:rPr>
          <w:rFonts w:ascii="Times New Roman" w:hAnsi="Times New Roman" w:cs="Times New Roman"/>
          <w:sz w:val="22"/>
        </w:rPr>
      </w:pPr>
      <w:r w:rsidRPr="00FB6B36">
        <w:rPr>
          <w:rFonts w:ascii="Times New Roman" w:hAnsi="Times New Roman" w:cs="Times New Roman"/>
          <w:sz w:val="22"/>
        </w:rPr>
        <w:t>The upper/lower limit for 95% limits of agreement (LOA) was determined so that there was an 80% chance that the single-sided confidence interval would be clinically meaningful</w:t>
      </w:r>
      <w:r w:rsidRPr="00FB6B36" w:rsidDel="000D47CF">
        <w:rPr>
          <w:rFonts w:ascii="Times New Roman" w:hAnsi="Times New Roman" w:cs="Times New Roman"/>
          <w:sz w:val="22"/>
        </w:rPr>
        <w:t xml:space="preserve"> </w:t>
      </w:r>
      <w:r w:rsidRPr="00FB6B36">
        <w:rPr>
          <w:rFonts w:ascii="Times New Roman" w:hAnsi="Times New Roman" w:cs="Times New Roman"/>
          <w:sz w:val="22"/>
        </w:rPr>
        <w:t>(= δ) 15%.</w:t>
      </w:r>
    </w:p>
    <w:p w:rsidR="00C15E39" w:rsidRPr="00FB6B36" w:rsidRDefault="00C15E39" w:rsidP="00C15E39">
      <w:pPr>
        <w:rPr>
          <w:rFonts w:ascii="Times New Roman" w:hAnsi="Times New Roman" w:cs="Times New Roman"/>
        </w:rPr>
      </w:pPr>
      <m:oMathPara>
        <m:oMath>
          <m:r>
            <m:rPr>
              <m:sty m:val="p"/>
            </m:rPr>
            <w:rPr>
              <w:rFonts w:ascii="Cambria Math" w:hAnsi="Cambria Math"/>
            </w:rPr>
            <m:t>n=</m:t>
          </m:r>
          <m:f>
            <m:fPr>
              <m:ctrlPr>
                <w:rPr>
                  <w:rFonts w:ascii="Cambria Math" w:hAnsi="Cambria Math"/>
                </w:rPr>
              </m:ctrlPr>
            </m:fPr>
            <m:num>
              <m:sSup>
                <m:sSupPr>
                  <m:ctrlPr>
                    <w:rPr>
                      <w:rFonts w:ascii="Cambria Math" w:hAnsi="Cambria Math"/>
                      <w:i/>
                    </w:rPr>
                  </m:ctrlPr>
                </m:sSupPr>
                <m:e>
                  <m:r>
                    <w:rPr>
                      <w:rFonts w:ascii="Cambria Math" w:hAnsi="Cambria Math"/>
                    </w:rPr>
                    <m:t>σ</m:t>
                  </m:r>
                </m:e>
                <m:sup>
                  <m:r>
                    <w:rPr>
                      <w:rFonts w:ascii="Cambria Math" w:hAnsi="Cambria Math"/>
                    </w:rPr>
                    <m:t>2</m:t>
                  </m:r>
                </m:sup>
              </m:sSup>
              <m:sSup>
                <m:sSupPr>
                  <m:ctrlPr>
                    <w:rPr>
                      <w:rFonts w:ascii="Cambria Math" w:hAnsi="Cambria Math"/>
                      <w:i/>
                    </w:rPr>
                  </m:ctrlPr>
                </m:sSupPr>
                <m:e>
                  <m:r>
                    <w:rPr>
                      <w:rFonts w:ascii="Cambria Math" w:hAnsi="Cambria Math"/>
                    </w:rPr>
                    <m:t>(</m:t>
                  </m:r>
                  <m:rad>
                    <m:radPr>
                      <m:degHide m:val="1"/>
                      <m:ctrlPr>
                        <w:rPr>
                          <w:rFonts w:ascii="Cambria Math" w:hAnsi="Cambria Math"/>
                          <w:i/>
                        </w:rPr>
                      </m:ctrlPr>
                    </m:radPr>
                    <m:deg/>
                    <m:e>
                      <m:r>
                        <w:rPr>
                          <w:rFonts w:ascii="Cambria Math" w:hAnsi="Cambria Math"/>
                        </w:rPr>
                        <m:t>3</m:t>
                      </m:r>
                    </m:e>
                  </m:rad>
                  <m:sSub>
                    <m:sSubPr>
                      <m:ctrlPr>
                        <w:rPr>
                          <w:rFonts w:ascii="Cambria Math" w:hAnsi="Cambria Math"/>
                          <w:i/>
                        </w:rPr>
                      </m:ctrlPr>
                    </m:sSubPr>
                    <m:e>
                      <m:r>
                        <w:rPr>
                          <w:rFonts w:ascii="Cambria Math" w:hAnsi="Cambria Math"/>
                        </w:rPr>
                        <m:t>z</m:t>
                      </m:r>
                    </m:e>
                    <m:sub>
                      <m:r>
                        <w:rPr>
                          <w:rFonts w:ascii="Cambria Math" w:hAnsi="Cambria Math"/>
                        </w:rPr>
                        <m:t>1-α</m:t>
                      </m:r>
                    </m:sub>
                  </m:sSub>
                  <m:r>
                    <w:rPr>
                      <w:rFonts w:ascii="Cambria Math" w:hAnsi="Cambria Math"/>
                    </w:rPr>
                    <m:t>+</m:t>
                  </m:r>
                  <m:rad>
                    <m:radPr>
                      <m:degHide m:val="1"/>
                      <m:ctrlPr>
                        <w:rPr>
                          <w:rFonts w:ascii="Cambria Math" w:hAnsi="Cambria Math"/>
                          <w:i/>
                        </w:rPr>
                      </m:ctrlPr>
                    </m:radPr>
                    <m:deg/>
                    <m:e>
                      <m:r>
                        <w:rPr>
                          <w:rFonts w:ascii="Cambria Math" w:hAnsi="Cambria Math"/>
                        </w:rPr>
                        <m:t>2</m:t>
                      </m:r>
                    </m:e>
                  </m:rad>
                  <m:sSub>
                    <m:sSubPr>
                      <m:ctrlPr>
                        <w:rPr>
                          <w:rFonts w:ascii="Cambria Math" w:hAnsi="Cambria Math"/>
                          <w:i/>
                        </w:rPr>
                      </m:ctrlPr>
                    </m:sSubPr>
                    <m:e>
                      <m:r>
                        <w:rPr>
                          <w:rFonts w:ascii="Cambria Math" w:hAnsi="Cambria Math"/>
                        </w:rPr>
                        <m:t>z</m:t>
                      </m:r>
                    </m:e>
                    <m:sub>
                      <m:r>
                        <w:rPr>
                          <w:rFonts w:ascii="Cambria Math" w:hAnsi="Cambria Math"/>
                        </w:rPr>
                        <m:t>1-β</m:t>
                      </m:r>
                    </m:sub>
                  </m:sSub>
                  <m:r>
                    <w:rPr>
                      <w:rFonts w:ascii="Cambria Math" w:hAnsi="Cambria Math"/>
                    </w:rPr>
                    <m:t>)</m:t>
                  </m:r>
                </m:e>
                <m:sup>
                  <m:r>
                    <w:rPr>
                      <w:rFonts w:ascii="Cambria Math" w:hAnsi="Cambria Math"/>
                    </w:rPr>
                    <m:t>2</m:t>
                  </m:r>
                </m:sup>
              </m:sSup>
            </m:num>
            <m:den>
              <m:sSub>
                <m:sSubPr>
                  <m:ctrlPr>
                    <w:rPr>
                      <w:rFonts w:ascii="Cambria Math" w:hAnsi="Cambria Math"/>
                      <w:i/>
                    </w:rPr>
                  </m:ctrlPr>
                </m:sSubPr>
                <m:e>
                  <m:sSup>
                    <m:sSupPr>
                      <m:ctrlPr>
                        <w:rPr>
                          <w:rFonts w:ascii="Cambria Math" w:hAnsi="Cambria Math"/>
                          <w:i/>
                        </w:rPr>
                      </m:ctrlPr>
                    </m:sSupPr>
                    <m:e>
                      <m:r>
                        <w:rPr>
                          <w:rFonts w:ascii="Cambria Math" w:hAnsi="Cambria Math"/>
                        </w:rPr>
                        <m:t>(δ-2σ)</m:t>
                      </m:r>
                    </m:e>
                    <m:sup>
                      <m:r>
                        <w:rPr>
                          <w:rFonts w:ascii="Cambria Math" w:hAnsi="Cambria Math"/>
                        </w:rPr>
                        <m:t>2</m:t>
                      </m:r>
                    </m:sup>
                  </m:sSup>
                </m:e>
                <m:sub/>
              </m:sSub>
            </m:den>
          </m:f>
        </m:oMath>
      </m:oMathPara>
    </w:p>
    <w:p w:rsidR="00C15E39" w:rsidRPr="00FB6B36" w:rsidRDefault="00C15E39" w:rsidP="00C15E39">
      <w:pPr>
        <w:rPr>
          <w:rFonts w:asciiTheme="majorHAnsi" w:eastAsiaTheme="majorEastAsia" w:hAnsiTheme="majorHAnsi"/>
        </w:rPr>
      </w:pPr>
      <w:r w:rsidRPr="00FB6B36">
        <w:rPr>
          <w:rFonts w:ascii="Times New Roman" w:hAnsi="Times New Roman" w:cs="Times New Roman"/>
          <w:sz w:val="22"/>
        </w:rPr>
        <w:t>The n from the above equation is estimated to be less than the actual n. Therefore, the corrected LOA confidence interval was set to 1-β = 0.95 in order for the probability that it exists within δ to be 80%.</w:t>
      </w:r>
      <w:r w:rsidRPr="00FB6B36">
        <w:rPr>
          <w:rFonts w:asciiTheme="majorHAnsi" w:eastAsiaTheme="majorHAnsi" w:hAnsiTheme="majorHAnsi"/>
          <w:szCs w:val="20"/>
        </w:rPr>
        <w:t xml:space="preserve"> </w:t>
      </w:r>
      <m:oMath>
        <m:sSub>
          <m:sSubPr>
            <m:ctrlPr>
              <w:rPr>
                <w:rFonts w:ascii="Cambria Math" w:hAnsi="Cambria Math"/>
                <w:i/>
              </w:rPr>
            </m:ctrlPr>
          </m:sSubPr>
          <m:e>
            <m:r>
              <w:rPr>
                <w:rFonts w:ascii="Cambria Math" w:hAnsi="Cambria Math"/>
              </w:rPr>
              <m:t>z</m:t>
            </m:r>
          </m:e>
          <m:sub>
            <m:r>
              <w:rPr>
                <w:rFonts w:ascii="Cambria Math" w:hAnsi="Cambria Math"/>
              </w:rPr>
              <m:t>1-α</m:t>
            </m:r>
          </m:sub>
        </m:sSub>
        <m:r>
          <w:rPr>
            <w:rFonts w:ascii="Cambria Math" w:hAnsi="Cambria Math"/>
          </w:rPr>
          <m:t>=1.645,</m:t>
        </m:r>
        <m:sSub>
          <m:sSubPr>
            <m:ctrlPr>
              <w:rPr>
                <w:rFonts w:ascii="Cambria Math" w:hAnsi="Cambria Math"/>
                <w:i/>
              </w:rPr>
            </m:ctrlPr>
          </m:sSubPr>
          <m:e>
            <m:r>
              <w:rPr>
                <w:rFonts w:ascii="Cambria Math" w:hAnsi="Cambria Math"/>
              </w:rPr>
              <m:t xml:space="preserve"> z</m:t>
            </m:r>
          </m:e>
          <m:sub>
            <m:r>
              <w:rPr>
                <w:rFonts w:ascii="Cambria Math" w:hAnsi="Cambria Math"/>
              </w:rPr>
              <m:t>1-β</m:t>
            </m:r>
          </m:sub>
        </m:sSub>
        <m:r>
          <w:rPr>
            <w:rFonts w:ascii="Cambria Math" w:hAnsi="Cambria Math"/>
          </w:rPr>
          <m:t>=1.645, σ=5.1%, δ=15%</m:t>
        </m:r>
      </m:oMath>
    </w:p>
    <w:p w:rsidR="00A851D6" w:rsidRPr="00C15E39" w:rsidRDefault="00C15E39">
      <w:pPr>
        <w:rPr>
          <w:rFonts w:ascii="Times New Roman" w:hAnsi="Times New Roman" w:cs="Times New Roman"/>
          <w:sz w:val="22"/>
        </w:rPr>
      </w:pPr>
      <w:r w:rsidRPr="00FB6B36">
        <w:rPr>
          <w:rFonts w:ascii="Times New Roman" w:hAnsi="Times New Roman" w:cs="Times New Roman"/>
          <w:sz w:val="22"/>
        </w:rPr>
        <w:t>Therefore, a minimum of 31 participants were required. If the dropout rate is estimated to be 20%, 40 participants are required.</w:t>
      </w:r>
      <w:bookmarkStart w:id="0" w:name="_GoBack"/>
      <w:bookmarkEnd w:id="0"/>
    </w:p>
    <w:sectPr w:rsidR="00A851D6" w:rsidRPr="00C15E39" w:rsidSect="00C03E22">
      <w:headerReference w:type="even" r:id="rId5"/>
      <w:headerReference w:type="default" r:id="rId6"/>
      <w:footerReference w:type="even" r:id="rId7"/>
      <w:footerReference w:type="default" r:id="rId8"/>
      <w:headerReference w:type="first" r:id="rId9"/>
      <w:footerReference w:type="first" r:id="rId10"/>
      <w:pgSz w:w="11906" w:h="16838"/>
      <w:pgMar w:top="1701" w:right="1440" w:bottom="1440" w:left="1440" w:header="851" w:footer="992" w:gutter="0"/>
      <w:lnNumType w:countBy="1" w:restart="continuous"/>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58D4" w:rsidRDefault="00C15E39">
    <w:pPr>
      <w:pStyle w:val="a4"/>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654120"/>
      <w:docPartObj>
        <w:docPartGallery w:val="Page Numbers (Bottom of Page)"/>
        <w:docPartUnique/>
      </w:docPartObj>
    </w:sdtPr>
    <w:sdtEndPr/>
    <w:sdtContent>
      <w:p w:rsidR="0014593E" w:rsidRPr="003A58D4" w:rsidRDefault="00C15E39">
        <w:pPr>
          <w:pStyle w:val="a4"/>
          <w:jc w:val="right"/>
        </w:pPr>
        <w:r w:rsidRPr="003A58D4">
          <w:fldChar w:fldCharType="begin"/>
        </w:r>
        <w:r w:rsidRPr="003A58D4">
          <w:instrText xml:space="preserve"> PAGE   \* MERGEFORMAT </w:instrText>
        </w:r>
        <w:r w:rsidRPr="003A58D4">
          <w:fldChar w:fldCharType="separate"/>
        </w:r>
        <w:r>
          <w:rPr>
            <w:noProof/>
          </w:rPr>
          <w:t>1</w:t>
        </w:r>
        <w:r w:rsidRPr="003A58D4">
          <w:fldChar w:fldCharType="end"/>
        </w:r>
      </w:p>
    </w:sdtContent>
  </w:sdt>
  <w:p w:rsidR="0014593E" w:rsidRPr="003A58D4" w:rsidRDefault="00C15E39">
    <w:pPr>
      <w:pStyle w:val="a4"/>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58D4" w:rsidRPr="003A58D4" w:rsidRDefault="00C15E39">
    <w:pPr>
      <w:pStyle w:val="a4"/>
    </w:pPr>
  </w:p>
</w:ftr>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58D4" w:rsidRDefault="00C15E39">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58D4" w:rsidRPr="003A58D4" w:rsidRDefault="00C15E39">
    <w:pPr>
      <w:pStyle w:val="a3"/>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58D4" w:rsidRPr="003A58D4" w:rsidRDefault="00C15E39">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5E39"/>
    <w:rsid w:val="002839FE"/>
    <w:rsid w:val="00C15BA8"/>
    <w:rsid w:val="00C15E3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9682B"/>
  <w15:chartTrackingRefBased/>
  <w15:docId w15:val="{2F9D4E8C-1DCE-4ED3-A9F1-89C8CAB73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5E39"/>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15E39"/>
    <w:pPr>
      <w:tabs>
        <w:tab w:val="center" w:pos="4513"/>
        <w:tab w:val="right" w:pos="9026"/>
      </w:tabs>
      <w:snapToGrid w:val="0"/>
    </w:pPr>
  </w:style>
  <w:style w:type="character" w:customStyle="1" w:styleId="Char">
    <w:name w:val="머리글 Char"/>
    <w:basedOn w:val="a0"/>
    <w:link w:val="a3"/>
    <w:uiPriority w:val="99"/>
    <w:rsid w:val="00C15E39"/>
  </w:style>
  <w:style w:type="paragraph" w:styleId="a4">
    <w:name w:val="footer"/>
    <w:basedOn w:val="a"/>
    <w:link w:val="Char0"/>
    <w:uiPriority w:val="99"/>
    <w:unhideWhenUsed/>
    <w:rsid w:val="00C15E39"/>
    <w:pPr>
      <w:tabs>
        <w:tab w:val="center" w:pos="4513"/>
        <w:tab w:val="right" w:pos="9026"/>
      </w:tabs>
      <w:snapToGrid w:val="0"/>
    </w:pPr>
  </w:style>
  <w:style w:type="character" w:customStyle="1" w:styleId="Char0">
    <w:name w:val="바닥글 Char"/>
    <w:basedOn w:val="a0"/>
    <w:link w:val="a4"/>
    <w:uiPriority w:val="99"/>
    <w:rsid w:val="00C15E39"/>
  </w:style>
  <w:style w:type="table" w:styleId="a5">
    <w:name w:val="Table Grid"/>
    <w:basedOn w:val="a1"/>
    <w:rsid w:val="00C15E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
    <w:unhideWhenUsed/>
    <w:rsid w:val="00C15E3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character" w:styleId="a7">
    <w:name w:val="line number"/>
    <w:basedOn w:val="a0"/>
    <w:uiPriority w:val="99"/>
    <w:semiHidden/>
    <w:unhideWhenUsed/>
    <w:rsid w:val="00C15E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image" Target="media/image1.png"/><Relationship Id="rId9" Type="http://schemas.openxmlformats.org/officeDocument/2006/relationships/header" Target="header3.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193</Words>
  <Characters>1102</Characters>
  <Application>Microsoft Office Word</Application>
  <DocSecurity>0</DocSecurity>
  <Lines>9</Lines>
  <Paragraphs>2</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사용자</dc:creator>
  <cp:keywords/>
  <dc:description/>
  <cp:lastModifiedBy>Windows 사용자</cp:lastModifiedBy>
  <cp:revision>1</cp:revision>
  <dcterms:created xsi:type="dcterms:W3CDTF">2019-06-27T02:05:00Z</dcterms:created>
  <dcterms:modified xsi:type="dcterms:W3CDTF">2019-06-27T02:05:00Z</dcterms:modified>
</cp:coreProperties>
</file>