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60CC0" w14:textId="4F51DA4F" w:rsidR="00BA3261" w:rsidRDefault="00BA3261" w:rsidP="00BA3261">
      <w:pPr>
        <w:spacing w:line="480" w:lineRule="auto"/>
        <w:ind w:firstLine="720"/>
        <w:jc w:val="both"/>
      </w:pPr>
      <w:r>
        <w:t xml:space="preserve">Since three observers collected tibiofibular clear space measurements, an interobserver analysis was first performed using the Bland-Altman method. This statistical method compares the measurements of Observer 1 to Observer 2, Observer 1 to Observer 3, and Observer 2 to Observer 3, in a pairwise fashion. The 95% confidence interval for the mean difference between observers was used to assess interobserver error, with a null hypothesis of the mean difference between observers being 0.0 mm.  </w:t>
      </w:r>
    </w:p>
    <w:p w14:paraId="2582BD48" w14:textId="367236DB" w:rsidR="00BA3261" w:rsidRDefault="00BA3261" w:rsidP="00BA3261">
      <w:pPr>
        <w:spacing w:line="480" w:lineRule="auto"/>
        <w:ind w:firstLine="720"/>
        <w:jc w:val="both"/>
      </w:pPr>
      <w:r>
        <w:t xml:space="preserve">A summary of interobserver analyses using the Bland-Altman method for the ultrasound (US) tibiofibular clear space measurements amongst observers is provided in Table </w:t>
      </w:r>
      <w:r w:rsidR="002E6A77">
        <w:t>2</w:t>
      </w:r>
      <w:bookmarkStart w:id="0" w:name="_GoBack"/>
      <w:bookmarkEnd w:id="0"/>
      <w:r>
        <w:t xml:space="preserve"> The results of the pairwise comparisons indicated the tibiofibular clear space measurements of Observer 2 and Observer 3 were exceedingly similar, with an average difference of only 0.16 mm between the two observers.  Conversely, the tibiofibular clear space measurements of Observer 1 were found to be consistently higher than both Observer 2 (2.5 mm) and Observer 3 (2.4 mm). Despite this tendency for Observer 1 to overestimate</w:t>
      </w:r>
      <w:r w:rsidRPr="00134EA0">
        <w:t xml:space="preserve"> </w:t>
      </w:r>
      <w:r>
        <w:t>tibiofibular clear space dimensions compared to the other two observers, the measurements of Observer 1 were found to be internally consistent (i.e., Observer 1 overestimated Observer 2 and 3 by similar amounts at each experimental phase). Thus, the measurements of Observer 1 were still included in the calculation of the overall mean value, with the understanding that all mean measurements were similarly influenced by Observer 1’s values.  Accordingly, all mean values included in the subsequent two-way repeated measures ANOVA</w:t>
      </w:r>
      <w:r w:rsidR="00403AC4">
        <w:t>.</w:t>
      </w:r>
      <w:r>
        <w:t xml:space="preserve"> </w:t>
      </w:r>
    </w:p>
    <w:p w14:paraId="54166874" w14:textId="4ACB841A" w:rsidR="00BA3261" w:rsidRDefault="00BA3261" w:rsidP="00BA3261">
      <w:pPr>
        <w:jc w:val="both"/>
      </w:pPr>
    </w:p>
    <w:p w14:paraId="7C97C94F" w14:textId="6612E32B" w:rsidR="002E6A77" w:rsidRDefault="002E6A77" w:rsidP="00BA3261">
      <w:pPr>
        <w:jc w:val="both"/>
      </w:pPr>
    </w:p>
    <w:p w14:paraId="7DA1D20B" w14:textId="4403DFA4" w:rsidR="002E6A77" w:rsidRDefault="002E6A77" w:rsidP="00BA3261">
      <w:pPr>
        <w:jc w:val="both"/>
      </w:pPr>
    </w:p>
    <w:p w14:paraId="63A762EE" w14:textId="278B21D3" w:rsidR="002E6A77" w:rsidRDefault="002E6A77" w:rsidP="00BA3261">
      <w:pPr>
        <w:jc w:val="both"/>
      </w:pPr>
    </w:p>
    <w:p w14:paraId="1F9D5B92" w14:textId="77777777" w:rsidR="002E6A77" w:rsidRDefault="002E6A77" w:rsidP="00BA3261">
      <w:pPr>
        <w:jc w:val="both"/>
        <w:rPr>
          <w:b/>
        </w:rPr>
      </w:pPr>
    </w:p>
    <w:p w14:paraId="1C29D085" w14:textId="0AD6FFBC" w:rsidR="00BA3261" w:rsidRPr="002E6A77" w:rsidRDefault="00BA3261" w:rsidP="00BA3261">
      <w:pPr>
        <w:jc w:val="both"/>
      </w:pPr>
      <w:r w:rsidRPr="00B75218">
        <w:rPr>
          <w:b/>
        </w:rPr>
        <w:lastRenderedPageBreak/>
        <w:t xml:space="preserve">Table </w:t>
      </w:r>
      <w:r w:rsidR="002E6A77">
        <w:rPr>
          <w:b/>
        </w:rPr>
        <w:t>2</w:t>
      </w:r>
      <w:r w:rsidRPr="00AE7BC6">
        <w:rPr>
          <w:b/>
        </w:rPr>
        <w:t xml:space="preserve"> </w:t>
      </w:r>
      <w:r>
        <w:t>Summary of Bland-Altman analyses of average difference in tibiofibular clear space measurements. AITFL – anterior inferior tibiofibular ligament, PITFL – posterior inferior tibiofibular ligament.</w:t>
      </w:r>
    </w:p>
    <w:tbl>
      <w:tblPr>
        <w:tblStyle w:val="TableGrid"/>
        <w:tblW w:w="0" w:type="auto"/>
        <w:tblLook w:val="04A0" w:firstRow="1" w:lastRow="0" w:firstColumn="1" w:lastColumn="0" w:noHBand="0" w:noVBand="1"/>
      </w:tblPr>
      <w:tblGrid>
        <w:gridCol w:w="2202"/>
        <w:gridCol w:w="2064"/>
        <w:gridCol w:w="2372"/>
        <w:gridCol w:w="2218"/>
      </w:tblGrid>
      <w:tr w:rsidR="00BA3261" w14:paraId="3ADBEC7C" w14:textId="77777777" w:rsidTr="00B54D19">
        <w:tc>
          <w:tcPr>
            <w:tcW w:w="2394" w:type="dxa"/>
            <w:shd w:val="clear" w:color="auto" w:fill="BFBFBF" w:themeFill="background1" w:themeFillShade="BF"/>
          </w:tcPr>
          <w:p w14:paraId="0B313BFC" w14:textId="77777777" w:rsidR="00BA3261" w:rsidRPr="00160651" w:rsidRDefault="00BA3261" w:rsidP="00B54D19">
            <w:pPr>
              <w:jc w:val="center"/>
              <w:rPr>
                <w:rFonts w:ascii="Times New Roman" w:hAnsi="Times New Roman" w:cs="Times New Roman"/>
                <w:b/>
              </w:rPr>
            </w:pPr>
            <w:r w:rsidRPr="00160651">
              <w:rPr>
                <w:rFonts w:ascii="Times New Roman" w:hAnsi="Times New Roman" w:cs="Times New Roman"/>
                <w:b/>
              </w:rPr>
              <w:t>Injury Phase</w:t>
            </w:r>
          </w:p>
        </w:tc>
        <w:tc>
          <w:tcPr>
            <w:tcW w:w="2214" w:type="dxa"/>
            <w:shd w:val="clear" w:color="auto" w:fill="BFBFBF" w:themeFill="background1" w:themeFillShade="BF"/>
          </w:tcPr>
          <w:p w14:paraId="7AD6F8D4" w14:textId="77777777" w:rsidR="00BA3261" w:rsidRPr="00160651" w:rsidRDefault="00BA3261" w:rsidP="00B54D19">
            <w:pPr>
              <w:jc w:val="center"/>
              <w:rPr>
                <w:rFonts w:ascii="Times New Roman" w:hAnsi="Times New Roman" w:cs="Times New Roman"/>
                <w:b/>
              </w:rPr>
            </w:pPr>
            <w:r w:rsidRPr="00160651">
              <w:rPr>
                <w:rFonts w:ascii="Times New Roman" w:hAnsi="Times New Roman" w:cs="Times New Roman"/>
                <w:b/>
              </w:rPr>
              <w:t>Observer 1 vs. Observer 2</w:t>
            </w:r>
          </w:p>
        </w:tc>
        <w:tc>
          <w:tcPr>
            <w:tcW w:w="2574" w:type="dxa"/>
            <w:shd w:val="clear" w:color="auto" w:fill="BFBFBF" w:themeFill="background1" w:themeFillShade="BF"/>
          </w:tcPr>
          <w:p w14:paraId="2414C565" w14:textId="77777777" w:rsidR="00BA3261" w:rsidRPr="00160651" w:rsidRDefault="00BA3261" w:rsidP="00B54D19">
            <w:pPr>
              <w:jc w:val="center"/>
              <w:rPr>
                <w:rFonts w:ascii="Times New Roman" w:hAnsi="Times New Roman" w:cs="Times New Roman"/>
                <w:b/>
              </w:rPr>
            </w:pPr>
            <w:r w:rsidRPr="00160651">
              <w:rPr>
                <w:rFonts w:ascii="Times New Roman" w:hAnsi="Times New Roman" w:cs="Times New Roman"/>
                <w:b/>
              </w:rPr>
              <w:t>Observer 1 vs. Observer 3</w:t>
            </w:r>
          </w:p>
        </w:tc>
        <w:tc>
          <w:tcPr>
            <w:tcW w:w="2394" w:type="dxa"/>
            <w:shd w:val="clear" w:color="auto" w:fill="BFBFBF" w:themeFill="background1" w:themeFillShade="BF"/>
          </w:tcPr>
          <w:p w14:paraId="4BE56837" w14:textId="77777777" w:rsidR="00BA3261" w:rsidRPr="00160651" w:rsidRDefault="00BA3261" w:rsidP="00B54D19">
            <w:pPr>
              <w:jc w:val="center"/>
              <w:rPr>
                <w:rFonts w:ascii="Times New Roman" w:hAnsi="Times New Roman" w:cs="Times New Roman"/>
                <w:b/>
              </w:rPr>
            </w:pPr>
            <w:r w:rsidRPr="00160651">
              <w:rPr>
                <w:rFonts w:ascii="Times New Roman" w:hAnsi="Times New Roman" w:cs="Times New Roman"/>
                <w:b/>
              </w:rPr>
              <w:t>Observer 2 vs. Observer 3</w:t>
            </w:r>
          </w:p>
        </w:tc>
      </w:tr>
      <w:tr w:rsidR="00BA3261" w14:paraId="71F35DDB" w14:textId="77777777" w:rsidTr="00B54D19">
        <w:tc>
          <w:tcPr>
            <w:tcW w:w="2394" w:type="dxa"/>
          </w:tcPr>
          <w:p w14:paraId="220C171B" w14:textId="77777777" w:rsidR="00BA3261" w:rsidRDefault="00BA3261" w:rsidP="00B54D19">
            <w:pPr>
              <w:rPr>
                <w:rFonts w:ascii="Times New Roman" w:hAnsi="Times New Roman" w:cs="Times New Roman"/>
              </w:rPr>
            </w:pPr>
            <w:r>
              <w:rPr>
                <w:rFonts w:ascii="Times New Roman" w:hAnsi="Times New Roman" w:cs="Times New Roman"/>
              </w:rPr>
              <w:t>Normal</w:t>
            </w:r>
          </w:p>
          <w:p w14:paraId="44DF3A47" w14:textId="77777777" w:rsidR="00BA3261" w:rsidRPr="00160651" w:rsidRDefault="00BA3261" w:rsidP="00B54D19">
            <w:pPr>
              <w:rPr>
                <w:rFonts w:ascii="Times New Roman" w:hAnsi="Times New Roman" w:cs="Times New Roman"/>
              </w:rPr>
            </w:pPr>
          </w:p>
        </w:tc>
        <w:tc>
          <w:tcPr>
            <w:tcW w:w="2214" w:type="dxa"/>
            <w:vAlign w:val="bottom"/>
          </w:tcPr>
          <w:p w14:paraId="42CB9CF8"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3.64</w:t>
            </w:r>
          </w:p>
        </w:tc>
        <w:tc>
          <w:tcPr>
            <w:tcW w:w="2574" w:type="dxa"/>
            <w:vAlign w:val="bottom"/>
          </w:tcPr>
          <w:p w14:paraId="1851B482"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2.32</w:t>
            </w:r>
          </w:p>
        </w:tc>
        <w:tc>
          <w:tcPr>
            <w:tcW w:w="2394" w:type="dxa"/>
            <w:vAlign w:val="bottom"/>
          </w:tcPr>
          <w:p w14:paraId="11868D9C"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-1.32</w:t>
            </w:r>
          </w:p>
        </w:tc>
      </w:tr>
      <w:tr w:rsidR="00BA3261" w14:paraId="15B6AAC6" w14:textId="77777777" w:rsidTr="00B54D19">
        <w:tc>
          <w:tcPr>
            <w:tcW w:w="2394" w:type="dxa"/>
            <w:shd w:val="clear" w:color="auto" w:fill="auto"/>
          </w:tcPr>
          <w:p w14:paraId="20647FA4" w14:textId="46FBB117" w:rsidR="00BA3261" w:rsidRDefault="00BA3261" w:rsidP="00B54D19">
            <w:pPr>
              <w:rPr>
                <w:rFonts w:ascii="Times New Roman" w:hAnsi="Times New Roman" w:cs="Times New Roman"/>
              </w:rPr>
            </w:pPr>
            <w:r>
              <w:rPr>
                <w:rFonts w:ascii="Times New Roman" w:hAnsi="Times New Roman" w:cs="Times New Roman"/>
              </w:rPr>
              <w:t>75</w:t>
            </w:r>
            <w:r w:rsidR="00B13C02">
              <w:rPr>
                <w:rFonts w:ascii="Times New Roman" w:hAnsi="Times New Roman" w:cs="Times New Roman"/>
              </w:rPr>
              <w:t xml:space="preserve"> </w:t>
            </w:r>
            <w:r>
              <w:rPr>
                <w:rFonts w:ascii="Times New Roman" w:hAnsi="Times New Roman" w:cs="Times New Roman"/>
              </w:rPr>
              <w:t>AITFL</w:t>
            </w:r>
          </w:p>
          <w:p w14:paraId="4A816B67" w14:textId="77777777" w:rsidR="00BA3261" w:rsidRPr="00160651" w:rsidRDefault="00BA3261" w:rsidP="00B54D19">
            <w:pPr>
              <w:rPr>
                <w:rFonts w:ascii="Times New Roman" w:hAnsi="Times New Roman" w:cs="Times New Roman"/>
              </w:rPr>
            </w:pPr>
          </w:p>
        </w:tc>
        <w:tc>
          <w:tcPr>
            <w:tcW w:w="2214" w:type="dxa"/>
            <w:shd w:val="clear" w:color="auto" w:fill="auto"/>
            <w:vAlign w:val="bottom"/>
          </w:tcPr>
          <w:p w14:paraId="62022A6E"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2.47</w:t>
            </w:r>
          </w:p>
        </w:tc>
        <w:tc>
          <w:tcPr>
            <w:tcW w:w="2574" w:type="dxa"/>
            <w:shd w:val="clear" w:color="auto" w:fill="auto"/>
            <w:vAlign w:val="bottom"/>
          </w:tcPr>
          <w:p w14:paraId="082299E7"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1.90</w:t>
            </w:r>
          </w:p>
        </w:tc>
        <w:tc>
          <w:tcPr>
            <w:tcW w:w="2394" w:type="dxa"/>
            <w:shd w:val="clear" w:color="auto" w:fill="auto"/>
            <w:vAlign w:val="bottom"/>
          </w:tcPr>
          <w:p w14:paraId="3276E186"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-0.40</w:t>
            </w:r>
          </w:p>
        </w:tc>
      </w:tr>
      <w:tr w:rsidR="00BA3261" w14:paraId="010CE2A6" w14:textId="77777777" w:rsidTr="00B54D19">
        <w:tc>
          <w:tcPr>
            <w:tcW w:w="2394" w:type="dxa"/>
            <w:shd w:val="clear" w:color="auto" w:fill="auto"/>
          </w:tcPr>
          <w:p w14:paraId="1BC22049" w14:textId="40C5A1E3" w:rsidR="00BA3261" w:rsidRDefault="00BA3261" w:rsidP="00B54D19">
            <w:pPr>
              <w:rPr>
                <w:rFonts w:ascii="Times New Roman" w:hAnsi="Times New Roman" w:cs="Times New Roman"/>
              </w:rPr>
            </w:pPr>
            <w:r>
              <w:rPr>
                <w:rFonts w:ascii="Times New Roman" w:hAnsi="Times New Roman" w:cs="Times New Roman"/>
              </w:rPr>
              <w:t>100</w:t>
            </w:r>
            <w:r w:rsidR="00B13C02">
              <w:rPr>
                <w:rFonts w:ascii="Times New Roman" w:hAnsi="Times New Roman" w:cs="Times New Roman"/>
              </w:rPr>
              <w:t xml:space="preserve"> </w:t>
            </w:r>
            <w:r>
              <w:rPr>
                <w:rFonts w:ascii="Times New Roman" w:hAnsi="Times New Roman" w:cs="Times New Roman"/>
              </w:rPr>
              <w:t>AITFL</w:t>
            </w:r>
          </w:p>
          <w:p w14:paraId="015D4666" w14:textId="77777777" w:rsidR="00BA3261" w:rsidRPr="00160651" w:rsidRDefault="00BA3261" w:rsidP="00B54D19">
            <w:pPr>
              <w:rPr>
                <w:rFonts w:ascii="Times New Roman" w:hAnsi="Times New Roman" w:cs="Times New Roman"/>
              </w:rPr>
            </w:pPr>
          </w:p>
        </w:tc>
        <w:tc>
          <w:tcPr>
            <w:tcW w:w="2214" w:type="dxa"/>
            <w:shd w:val="clear" w:color="auto" w:fill="auto"/>
            <w:vAlign w:val="bottom"/>
          </w:tcPr>
          <w:p w14:paraId="72625B2B"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3.06</w:t>
            </w:r>
          </w:p>
        </w:tc>
        <w:tc>
          <w:tcPr>
            <w:tcW w:w="2574" w:type="dxa"/>
            <w:shd w:val="clear" w:color="auto" w:fill="auto"/>
            <w:vAlign w:val="bottom"/>
          </w:tcPr>
          <w:p w14:paraId="42506F97"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2.88</w:t>
            </w:r>
          </w:p>
        </w:tc>
        <w:tc>
          <w:tcPr>
            <w:tcW w:w="2394" w:type="dxa"/>
            <w:shd w:val="clear" w:color="auto" w:fill="auto"/>
            <w:vAlign w:val="bottom"/>
          </w:tcPr>
          <w:p w14:paraId="22D5D9AF"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-0.22</w:t>
            </w:r>
          </w:p>
        </w:tc>
      </w:tr>
      <w:tr w:rsidR="00BA3261" w14:paraId="6D5EDD98" w14:textId="77777777" w:rsidTr="00B54D19">
        <w:tc>
          <w:tcPr>
            <w:tcW w:w="2394" w:type="dxa"/>
            <w:shd w:val="clear" w:color="auto" w:fill="auto"/>
          </w:tcPr>
          <w:p w14:paraId="665FA623" w14:textId="43450053" w:rsidR="00BA3261" w:rsidRDefault="00BA3261" w:rsidP="00B54D19">
            <w:pPr>
              <w:rPr>
                <w:rFonts w:ascii="Times New Roman" w:hAnsi="Times New Roman" w:cs="Times New Roman"/>
              </w:rPr>
            </w:pPr>
            <w:r>
              <w:rPr>
                <w:rFonts w:ascii="Times New Roman" w:hAnsi="Times New Roman" w:cs="Times New Roman"/>
              </w:rPr>
              <w:t>Fibula Fracture</w:t>
            </w:r>
          </w:p>
          <w:p w14:paraId="7E757084" w14:textId="77777777" w:rsidR="00BA3261" w:rsidRPr="00160651" w:rsidRDefault="00BA3261" w:rsidP="00B54D19">
            <w:pPr>
              <w:rPr>
                <w:rFonts w:ascii="Times New Roman" w:hAnsi="Times New Roman" w:cs="Times New Roman"/>
              </w:rPr>
            </w:pPr>
          </w:p>
        </w:tc>
        <w:tc>
          <w:tcPr>
            <w:tcW w:w="2214" w:type="dxa"/>
            <w:shd w:val="clear" w:color="auto" w:fill="auto"/>
            <w:vAlign w:val="bottom"/>
          </w:tcPr>
          <w:p w14:paraId="7A6A8185"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2.96</w:t>
            </w:r>
          </w:p>
        </w:tc>
        <w:tc>
          <w:tcPr>
            <w:tcW w:w="2574" w:type="dxa"/>
            <w:shd w:val="clear" w:color="auto" w:fill="auto"/>
            <w:vAlign w:val="bottom"/>
          </w:tcPr>
          <w:p w14:paraId="62F7B809"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2.79</w:t>
            </w:r>
          </w:p>
        </w:tc>
        <w:tc>
          <w:tcPr>
            <w:tcW w:w="2394" w:type="dxa"/>
            <w:shd w:val="clear" w:color="auto" w:fill="auto"/>
            <w:vAlign w:val="bottom"/>
          </w:tcPr>
          <w:p w14:paraId="545C20B0"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-0.17</w:t>
            </w:r>
          </w:p>
        </w:tc>
      </w:tr>
      <w:tr w:rsidR="00BA3261" w14:paraId="327A6C21" w14:textId="77777777" w:rsidTr="00B54D19">
        <w:tc>
          <w:tcPr>
            <w:tcW w:w="2394" w:type="dxa"/>
            <w:shd w:val="clear" w:color="auto" w:fill="auto"/>
          </w:tcPr>
          <w:p w14:paraId="6B68125E" w14:textId="78E055D5" w:rsidR="00BA3261" w:rsidRDefault="00BA3261" w:rsidP="00B54D19">
            <w:pPr>
              <w:rPr>
                <w:rFonts w:ascii="Times New Roman" w:hAnsi="Times New Roman" w:cs="Times New Roman"/>
              </w:rPr>
            </w:pPr>
            <w:r>
              <w:rPr>
                <w:rFonts w:ascii="Times New Roman" w:hAnsi="Times New Roman" w:cs="Times New Roman"/>
              </w:rPr>
              <w:t>75</w:t>
            </w:r>
            <w:r w:rsidR="00B13C02">
              <w:rPr>
                <w:rFonts w:ascii="Times New Roman" w:hAnsi="Times New Roman" w:cs="Times New Roman"/>
              </w:rPr>
              <w:t xml:space="preserve"> </w:t>
            </w:r>
            <w:r>
              <w:rPr>
                <w:rFonts w:ascii="Times New Roman" w:hAnsi="Times New Roman" w:cs="Times New Roman"/>
              </w:rPr>
              <w:t>PITFL</w:t>
            </w:r>
          </w:p>
          <w:p w14:paraId="12958D9F" w14:textId="77777777" w:rsidR="00BA3261" w:rsidRPr="00160651" w:rsidRDefault="00BA3261" w:rsidP="00B54D19">
            <w:pPr>
              <w:rPr>
                <w:rFonts w:ascii="Times New Roman" w:hAnsi="Times New Roman" w:cs="Times New Roman"/>
              </w:rPr>
            </w:pPr>
          </w:p>
        </w:tc>
        <w:tc>
          <w:tcPr>
            <w:tcW w:w="2214" w:type="dxa"/>
            <w:shd w:val="clear" w:color="auto" w:fill="auto"/>
            <w:vAlign w:val="bottom"/>
          </w:tcPr>
          <w:p w14:paraId="0E66CEC7"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1.83</w:t>
            </w:r>
          </w:p>
        </w:tc>
        <w:tc>
          <w:tcPr>
            <w:tcW w:w="2574" w:type="dxa"/>
            <w:shd w:val="clear" w:color="auto" w:fill="auto"/>
            <w:vAlign w:val="bottom"/>
          </w:tcPr>
          <w:p w14:paraId="19175CBF"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2.43</w:t>
            </w:r>
          </w:p>
        </w:tc>
        <w:tc>
          <w:tcPr>
            <w:tcW w:w="2394" w:type="dxa"/>
            <w:shd w:val="clear" w:color="auto" w:fill="auto"/>
            <w:vAlign w:val="bottom"/>
          </w:tcPr>
          <w:p w14:paraId="304DC48F"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0.58</w:t>
            </w:r>
          </w:p>
        </w:tc>
      </w:tr>
      <w:tr w:rsidR="00BA3261" w14:paraId="6A5E5EB1" w14:textId="77777777" w:rsidTr="00B54D19">
        <w:tc>
          <w:tcPr>
            <w:tcW w:w="2394" w:type="dxa"/>
            <w:shd w:val="clear" w:color="auto" w:fill="auto"/>
          </w:tcPr>
          <w:p w14:paraId="1D930116" w14:textId="5149BA73" w:rsidR="00BA3261" w:rsidRDefault="00BA3261" w:rsidP="00B54D19">
            <w:pPr>
              <w:rPr>
                <w:rFonts w:ascii="Times New Roman" w:hAnsi="Times New Roman" w:cs="Times New Roman"/>
              </w:rPr>
            </w:pPr>
            <w:r>
              <w:rPr>
                <w:rFonts w:ascii="Times New Roman" w:hAnsi="Times New Roman" w:cs="Times New Roman"/>
              </w:rPr>
              <w:t>100</w:t>
            </w:r>
            <w:r w:rsidR="00B13C02">
              <w:rPr>
                <w:rFonts w:ascii="Times New Roman" w:hAnsi="Times New Roman" w:cs="Times New Roman"/>
              </w:rPr>
              <w:t xml:space="preserve"> </w:t>
            </w:r>
            <w:r>
              <w:rPr>
                <w:rFonts w:ascii="Times New Roman" w:hAnsi="Times New Roman" w:cs="Times New Roman"/>
              </w:rPr>
              <w:t>PITFL</w:t>
            </w:r>
          </w:p>
          <w:p w14:paraId="2B9D6D54" w14:textId="77777777" w:rsidR="00BA3261" w:rsidRPr="00160651" w:rsidRDefault="00BA3261" w:rsidP="00B54D19">
            <w:pPr>
              <w:rPr>
                <w:rFonts w:ascii="Times New Roman" w:hAnsi="Times New Roman" w:cs="Times New Roman"/>
              </w:rPr>
            </w:pPr>
          </w:p>
        </w:tc>
        <w:tc>
          <w:tcPr>
            <w:tcW w:w="2214" w:type="dxa"/>
            <w:shd w:val="clear" w:color="auto" w:fill="auto"/>
            <w:vAlign w:val="bottom"/>
          </w:tcPr>
          <w:p w14:paraId="5177FC2B"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1.18</w:t>
            </w:r>
          </w:p>
        </w:tc>
        <w:tc>
          <w:tcPr>
            <w:tcW w:w="2574" w:type="dxa"/>
            <w:shd w:val="clear" w:color="auto" w:fill="auto"/>
            <w:vAlign w:val="bottom"/>
          </w:tcPr>
          <w:p w14:paraId="0311D07F"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1.77</w:t>
            </w:r>
          </w:p>
        </w:tc>
        <w:tc>
          <w:tcPr>
            <w:tcW w:w="2394" w:type="dxa"/>
            <w:shd w:val="clear" w:color="auto" w:fill="auto"/>
            <w:vAlign w:val="bottom"/>
          </w:tcPr>
          <w:p w14:paraId="5D784791"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0.59</w:t>
            </w:r>
          </w:p>
        </w:tc>
      </w:tr>
      <w:tr w:rsidR="00BA3261" w14:paraId="63D18CB9" w14:textId="77777777" w:rsidTr="00B54D19">
        <w:tc>
          <w:tcPr>
            <w:tcW w:w="2394" w:type="dxa"/>
          </w:tcPr>
          <w:p w14:paraId="4163950D" w14:textId="77777777" w:rsidR="00BA3261" w:rsidRDefault="00BA3261" w:rsidP="00B54D19">
            <w:pPr>
              <w:jc w:val="center"/>
              <w:rPr>
                <w:rFonts w:ascii="Times New Roman" w:hAnsi="Times New Roman" w:cs="Times New Roman"/>
                <w:b/>
              </w:rPr>
            </w:pPr>
            <w:r w:rsidRPr="00DA5413">
              <w:rPr>
                <w:rFonts w:ascii="Times New Roman" w:hAnsi="Times New Roman" w:cs="Times New Roman"/>
                <w:b/>
              </w:rPr>
              <w:t xml:space="preserve">Mean Average </w:t>
            </w:r>
          </w:p>
          <w:p w14:paraId="2459EB04" w14:textId="77777777" w:rsidR="00BA3261" w:rsidRPr="00DA5413" w:rsidRDefault="00BA3261" w:rsidP="00B54D19">
            <w:pPr>
              <w:jc w:val="center"/>
              <w:rPr>
                <w:rFonts w:ascii="Times New Roman" w:hAnsi="Times New Roman" w:cs="Times New Roman"/>
                <w:b/>
              </w:rPr>
            </w:pPr>
            <w:r w:rsidRPr="00DA5413">
              <w:rPr>
                <w:rFonts w:ascii="Times New Roman" w:hAnsi="Times New Roman" w:cs="Times New Roman"/>
                <w:b/>
              </w:rPr>
              <w:t>(Std. Dev.</w:t>
            </w:r>
            <w:r>
              <w:rPr>
                <w:rFonts w:ascii="Times New Roman" w:hAnsi="Times New Roman" w:cs="Times New Roman"/>
                <w:b/>
              </w:rPr>
              <w:t>)</w:t>
            </w:r>
          </w:p>
        </w:tc>
        <w:tc>
          <w:tcPr>
            <w:tcW w:w="2214" w:type="dxa"/>
          </w:tcPr>
          <w:p w14:paraId="2899C362" w14:textId="77777777" w:rsidR="00BA3261" w:rsidRPr="00DA5413" w:rsidRDefault="00BA3261" w:rsidP="00B54D19">
            <w:pPr>
              <w:jc w:val="center"/>
              <w:rPr>
                <w:rFonts w:ascii="Times New Roman" w:hAnsi="Times New Roman" w:cs="Times New Roman"/>
                <w:color w:val="000000"/>
              </w:rPr>
            </w:pPr>
          </w:p>
          <w:p w14:paraId="2DE952A8"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2.52 (0.89)</w:t>
            </w:r>
          </w:p>
        </w:tc>
        <w:tc>
          <w:tcPr>
            <w:tcW w:w="2574" w:type="dxa"/>
          </w:tcPr>
          <w:p w14:paraId="6B14B884" w14:textId="77777777" w:rsidR="00BA3261" w:rsidRPr="00DA5413" w:rsidRDefault="00BA3261" w:rsidP="00B54D19">
            <w:pPr>
              <w:jc w:val="center"/>
              <w:rPr>
                <w:rFonts w:ascii="Times New Roman" w:hAnsi="Times New Roman" w:cs="Times New Roman"/>
                <w:color w:val="000000"/>
              </w:rPr>
            </w:pPr>
          </w:p>
          <w:p w14:paraId="14F796B8"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2.35 (0.45)</w:t>
            </w:r>
          </w:p>
        </w:tc>
        <w:tc>
          <w:tcPr>
            <w:tcW w:w="2394" w:type="dxa"/>
          </w:tcPr>
          <w:p w14:paraId="795DC092" w14:textId="77777777" w:rsidR="00BA3261" w:rsidRDefault="00BA3261" w:rsidP="00B54D19">
            <w:pPr>
              <w:jc w:val="center"/>
              <w:rPr>
                <w:rFonts w:ascii="Times New Roman" w:hAnsi="Times New Roman" w:cs="Times New Roman"/>
                <w:color w:val="000000"/>
              </w:rPr>
            </w:pPr>
          </w:p>
          <w:p w14:paraId="1CB195EE" w14:textId="77777777" w:rsidR="00BA3261" w:rsidRPr="00DA5413" w:rsidRDefault="00BA3261" w:rsidP="00B54D19">
            <w:pPr>
              <w:jc w:val="center"/>
              <w:rPr>
                <w:rFonts w:ascii="Times New Roman" w:hAnsi="Times New Roman" w:cs="Times New Roman"/>
              </w:rPr>
            </w:pPr>
            <w:r w:rsidRPr="00DA5413">
              <w:rPr>
                <w:rFonts w:ascii="Times New Roman" w:hAnsi="Times New Roman" w:cs="Times New Roman"/>
                <w:color w:val="000000"/>
              </w:rPr>
              <w:t>-0.16 (0.71)</w:t>
            </w:r>
          </w:p>
        </w:tc>
      </w:tr>
    </w:tbl>
    <w:p w14:paraId="7910770F" w14:textId="77777777" w:rsidR="007A7AD8" w:rsidRDefault="007A7AD8"/>
    <w:sectPr w:rsidR="007A7AD8" w:rsidSect="00EF5C20">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BA3261"/>
    <w:rsid w:val="002E6A77"/>
    <w:rsid w:val="002F6E3A"/>
    <w:rsid w:val="0032581B"/>
    <w:rsid w:val="003D24EC"/>
    <w:rsid w:val="00403AC4"/>
    <w:rsid w:val="00605819"/>
    <w:rsid w:val="007A7AD8"/>
    <w:rsid w:val="0083630E"/>
    <w:rsid w:val="00B13C02"/>
    <w:rsid w:val="00B34BC6"/>
    <w:rsid w:val="00BA3261"/>
    <w:rsid w:val="00EF5C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319DBAC"/>
  <w14:defaultImageDpi w14:val="330"/>
  <w15:docId w15:val="{A79D1035-DFA7-424D-BC11-6F5CE59E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26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32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328</Words>
  <Characters>1838</Characters>
  <Application>Microsoft Office Word</Application>
  <DocSecurity>0</DocSecurity>
  <Lines>73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Fisher</dc:creator>
  <cp:keywords/>
  <dc:description/>
  <cp:lastModifiedBy>USER</cp:lastModifiedBy>
  <cp:revision>5</cp:revision>
  <dcterms:created xsi:type="dcterms:W3CDTF">2019-10-05T01:53:00Z</dcterms:created>
  <dcterms:modified xsi:type="dcterms:W3CDTF">2019-10-25T16:06:00Z</dcterms:modified>
</cp:coreProperties>
</file>