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AF288" w14:textId="2EB72AA4" w:rsidR="00802010" w:rsidRDefault="00802010" w:rsidP="00D12264">
      <w:pPr>
        <w:spacing w:line="480" w:lineRule="auto"/>
        <w:rPr>
          <w:rFonts w:eastAsia="Helvetica Neue"/>
          <w:b/>
          <w:sz w:val="24"/>
          <w:szCs w:val="24"/>
        </w:rPr>
      </w:pPr>
      <w:r>
        <w:rPr>
          <w:rFonts w:eastAsia="Helvetica Neue"/>
          <w:b/>
          <w:sz w:val="24"/>
          <w:szCs w:val="24"/>
        </w:rPr>
        <w:t>Additional file</w:t>
      </w:r>
      <w:bookmarkStart w:id="0" w:name="_GoBack"/>
      <w:bookmarkEnd w:id="0"/>
    </w:p>
    <w:p w14:paraId="3E486A18" w14:textId="77777777" w:rsidR="00D12264" w:rsidRPr="001E456B" w:rsidRDefault="00D12264" w:rsidP="00D12264">
      <w:pPr>
        <w:spacing w:line="480" w:lineRule="auto"/>
        <w:rPr>
          <w:rFonts w:eastAsia="Helvetica Neue"/>
          <w:b/>
          <w:sz w:val="24"/>
          <w:szCs w:val="24"/>
        </w:rPr>
      </w:pPr>
      <w:r w:rsidRPr="001E456B">
        <w:rPr>
          <w:rFonts w:eastAsia="Helvetica Neue"/>
          <w:b/>
          <w:sz w:val="24"/>
          <w:szCs w:val="24"/>
        </w:rPr>
        <w:t xml:space="preserve">Appendix </w:t>
      </w:r>
      <w:r>
        <w:rPr>
          <w:rFonts w:eastAsia="Helvetica Neue"/>
          <w:b/>
          <w:sz w:val="24"/>
          <w:szCs w:val="24"/>
        </w:rPr>
        <w:t>A:</w:t>
      </w:r>
      <w:r w:rsidRPr="001E456B">
        <w:rPr>
          <w:rFonts w:eastAsia="Helvetica Neue"/>
          <w:b/>
          <w:sz w:val="24"/>
          <w:szCs w:val="24"/>
        </w:rPr>
        <w:t xml:space="preserve"> PICO format research question</w:t>
      </w:r>
    </w:p>
    <w:p w14:paraId="7B1AE32C" w14:textId="77777777" w:rsidR="00D12264" w:rsidRPr="001E456B" w:rsidRDefault="00D12264" w:rsidP="00D12264">
      <w:pPr>
        <w:spacing w:line="480" w:lineRule="auto"/>
        <w:rPr>
          <w:rFonts w:eastAsia="Helvetica Neue"/>
          <w:b/>
          <w:sz w:val="24"/>
          <w:szCs w:val="24"/>
        </w:rPr>
      </w:pPr>
    </w:p>
    <w:p w14:paraId="518A01A0" w14:textId="77777777" w:rsidR="00D12264" w:rsidRPr="001E456B" w:rsidRDefault="00D12264" w:rsidP="00D12264">
      <w:pPr>
        <w:spacing w:line="480" w:lineRule="auto"/>
        <w:rPr>
          <w:rFonts w:eastAsia="Helvetica Neue"/>
          <w:b/>
          <w:sz w:val="24"/>
          <w:szCs w:val="24"/>
        </w:rPr>
      </w:pPr>
      <w:r w:rsidRPr="001E456B">
        <w:rPr>
          <w:rFonts w:eastAsia="Helvetica Neue"/>
          <w:b/>
          <w:sz w:val="24"/>
          <w:szCs w:val="24"/>
        </w:rPr>
        <w:t>P- Patients treated with total knee arthroplasty (TKA) for osteoarthritis of the knee</w:t>
      </w:r>
    </w:p>
    <w:p w14:paraId="366D2DAB" w14:textId="77777777" w:rsidR="00D12264" w:rsidRPr="001E456B" w:rsidRDefault="00D12264" w:rsidP="00D12264">
      <w:pPr>
        <w:spacing w:line="480" w:lineRule="auto"/>
        <w:rPr>
          <w:rFonts w:eastAsia="Helvetica Neue"/>
          <w:b/>
          <w:sz w:val="24"/>
          <w:szCs w:val="24"/>
        </w:rPr>
      </w:pPr>
      <w:r w:rsidRPr="001E456B">
        <w:rPr>
          <w:rFonts w:eastAsia="Helvetica Neue"/>
          <w:b/>
          <w:sz w:val="24"/>
          <w:szCs w:val="24"/>
        </w:rPr>
        <w:t>I- TKA using patient-specific instrumentation</w:t>
      </w:r>
    </w:p>
    <w:p w14:paraId="157DCB18" w14:textId="77777777" w:rsidR="00D12264" w:rsidRPr="001E456B" w:rsidRDefault="00D12264" w:rsidP="00D12264">
      <w:pPr>
        <w:spacing w:line="480" w:lineRule="auto"/>
        <w:rPr>
          <w:rFonts w:eastAsia="Helvetica Neue"/>
          <w:b/>
          <w:sz w:val="24"/>
          <w:szCs w:val="24"/>
        </w:rPr>
      </w:pPr>
      <w:r w:rsidRPr="001E456B">
        <w:rPr>
          <w:rFonts w:eastAsia="Helvetica Neue"/>
          <w:b/>
          <w:sz w:val="24"/>
          <w:szCs w:val="24"/>
        </w:rPr>
        <w:t>C- Standard TKA</w:t>
      </w:r>
    </w:p>
    <w:p w14:paraId="15E5269F" w14:textId="77777777" w:rsidR="00D12264" w:rsidRPr="001E456B" w:rsidRDefault="00D12264" w:rsidP="00D12264">
      <w:pPr>
        <w:spacing w:line="480" w:lineRule="auto"/>
        <w:rPr>
          <w:rFonts w:eastAsia="Helvetica Neue"/>
          <w:b/>
          <w:sz w:val="24"/>
          <w:szCs w:val="24"/>
        </w:rPr>
      </w:pPr>
      <w:r w:rsidRPr="001E456B">
        <w:rPr>
          <w:rFonts w:eastAsia="Helvetica Neue"/>
          <w:b/>
          <w:sz w:val="24"/>
          <w:szCs w:val="24"/>
        </w:rPr>
        <w:t>O- Patient-reported functional outcomes, transfusion rate, blood loss, surgery time, and complications (i.e. surgical site infection, deep venous thrombosis, and revision TKA)</w:t>
      </w:r>
    </w:p>
    <w:p w14:paraId="13075F81" w14:textId="77777777" w:rsidR="00D12264" w:rsidRPr="001E456B" w:rsidRDefault="00D12264" w:rsidP="00D12264">
      <w:pPr>
        <w:spacing w:line="480" w:lineRule="auto"/>
        <w:rPr>
          <w:sz w:val="24"/>
          <w:szCs w:val="24"/>
        </w:rPr>
      </w:pPr>
    </w:p>
    <w:p w14:paraId="1CE7A51E" w14:textId="77777777" w:rsidR="00D12264" w:rsidRPr="001E456B" w:rsidRDefault="00D12264" w:rsidP="00D12264">
      <w:pPr>
        <w:spacing w:line="480" w:lineRule="auto"/>
        <w:rPr>
          <w:sz w:val="24"/>
          <w:szCs w:val="24"/>
        </w:rPr>
      </w:pPr>
    </w:p>
    <w:p w14:paraId="7DB62DC9" w14:textId="77777777" w:rsidR="00D12264" w:rsidRPr="001E456B" w:rsidRDefault="00D12264" w:rsidP="00D12264">
      <w:pPr>
        <w:spacing w:line="480" w:lineRule="auto"/>
        <w:rPr>
          <w:sz w:val="24"/>
          <w:szCs w:val="24"/>
        </w:rPr>
      </w:pPr>
    </w:p>
    <w:p w14:paraId="51077992" w14:textId="77777777" w:rsidR="00D12264" w:rsidRPr="001E456B" w:rsidRDefault="00D12264" w:rsidP="00D12264">
      <w:pPr>
        <w:spacing w:line="480" w:lineRule="auto"/>
        <w:rPr>
          <w:sz w:val="24"/>
          <w:szCs w:val="24"/>
        </w:rPr>
      </w:pPr>
    </w:p>
    <w:p w14:paraId="26CFB221" w14:textId="77777777" w:rsidR="00D12264" w:rsidRPr="001E456B" w:rsidRDefault="00D12264" w:rsidP="00D12264">
      <w:pPr>
        <w:spacing w:line="480" w:lineRule="auto"/>
        <w:rPr>
          <w:sz w:val="24"/>
          <w:szCs w:val="24"/>
        </w:rPr>
      </w:pPr>
    </w:p>
    <w:p w14:paraId="08F15889" w14:textId="77777777" w:rsidR="00D12264" w:rsidRPr="001E456B" w:rsidRDefault="00D12264" w:rsidP="00D12264">
      <w:pPr>
        <w:spacing w:line="480" w:lineRule="auto"/>
        <w:rPr>
          <w:sz w:val="24"/>
          <w:szCs w:val="24"/>
        </w:rPr>
      </w:pPr>
    </w:p>
    <w:p w14:paraId="2DDE2A41" w14:textId="77777777" w:rsidR="00D12264" w:rsidRPr="001E456B" w:rsidRDefault="00D12264" w:rsidP="00D12264">
      <w:pPr>
        <w:spacing w:line="480" w:lineRule="auto"/>
        <w:rPr>
          <w:sz w:val="24"/>
          <w:szCs w:val="24"/>
        </w:rPr>
      </w:pPr>
    </w:p>
    <w:p w14:paraId="3F07D914" w14:textId="77777777" w:rsidR="00D12264" w:rsidRPr="001E456B" w:rsidRDefault="00D12264" w:rsidP="00D12264">
      <w:pPr>
        <w:spacing w:line="480" w:lineRule="auto"/>
        <w:rPr>
          <w:sz w:val="24"/>
          <w:szCs w:val="24"/>
        </w:rPr>
      </w:pPr>
    </w:p>
    <w:p w14:paraId="2B1FA976" w14:textId="77777777" w:rsidR="00D12264" w:rsidRPr="001E456B" w:rsidRDefault="00D12264" w:rsidP="00D12264">
      <w:pPr>
        <w:spacing w:line="480" w:lineRule="auto"/>
        <w:rPr>
          <w:sz w:val="24"/>
          <w:szCs w:val="24"/>
        </w:rPr>
      </w:pPr>
    </w:p>
    <w:p w14:paraId="78B4DB7F" w14:textId="77777777" w:rsidR="00D12264" w:rsidRPr="001E456B" w:rsidRDefault="00D12264" w:rsidP="00D12264">
      <w:pPr>
        <w:spacing w:line="480" w:lineRule="auto"/>
        <w:rPr>
          <w:sz w:val="24"/>
          <w:szCs w:val="24"/>
        </w:rPr>
      </w:pPr>
    </w:p>
    <w:p w14:paraId="4D5589DA" w14:textId="77777777" w:rsidR="00D12264" w:rsidRPr="001E456B" w:rsidRDefault="00D12264" w:rsidP="00D12264">
      <w:pPr>
        <w:spacing w:line="480" w:lineRule="auto"/>
        <w:rPr>
          <w:sz w:val="24"/>
          <w:szCs w:val="24"/>
        </w:rPr>
      </w:pPr>
    </w:p>
    <w:p w14:paraId="65964DA1" w14:textId="77777777" w:rsidR="00D12264" w:rsidRPr="001E456B" w:rsidRDefault="00D12264" w:rsidP="00D12264">
      <w:pPr>
        <w:spacing w:line="480" w:lineRule="auto"/>
        <w:rPr>
          <w:sz w:val="24"/>
          <w:szCs w:val="24"/>
        </w:rPr>
      </w:pPr>
    </w:p>
    <w:p w14:paraId="522D06BC" w14:textId="77777777" w:rsidR="00D12264" w:rsidRPr="001E456B" w:rsidRDefault="00D12264" w:rsidP="00D12264">
      <w:pPr>
        <w:spacing w:line="480" w:lineRule="auto"/>
        <w:rPr>
          <w:sz w:val="24"/>
          <w:szCs w:val="24"/>
        </w:rPr>
      </w:pPr>
    </w:p>
    <w:p w14:paraId="24682DB2" w14:textId="77777777" w:rsidR="00D12264" w:rsidRDefault="00D12264" w:rsidP="00D12264">
      <w:pPr>
        <w:spacing w:line="480" w:lineRule="auto"/>
        <w:rPr>
          <w:b/>
          <w:sz w:val="24"/>
          <w:szCs w:val="24"/>
        </w:rPr>
      </w:pPr>
    </w:p>
    <w:p w14:paraId="4BADBF82" w14:textId="2FD0568F" w:rsidR="00D12264" w:rsidRDefault="00D12264" w:rsidP="00D12264">
      <w:pPr>
        <w:spacing w:line="480" w:lineRule="auto"/>
        <w:rPr>
          <w:b/>
          <w:sz w:val="24"/>
          <w:szCs w:val="24"/>
        </w:rPr>
      </w:pPr>
    </w:p>
    <w:p w14:paraId="66957AFF" w14:textId="77777777" w:rsidR="006E7592" w:rsidRDefault="006E7592" w:rsidP="00D12264">
      <w:pPr>
        <w:spacing w:line="480" w:lineRule="auto"/>
        <w:rPr>
          <w:b/>
          <w:sz w:val="24"/>
          <w:szCs w:val="24"/>
        </w:rPr>
      </w:pPr>
    </w:p>
    <w:p w14:paraId="6398C0C1" w14:textId="77777777" w:rsidR="00D12264" w:rsidRDefault="00D12264" w:rsidP="00D12264">
      <w:pPr>
        <w:spacing w:line="480" w:lineRule="auto"/>
        <w:rPr>
          <w:b/>
          <w:sz w:val="24"/>
          <w:szCs w:val="24"/>
        </w:rPr>
      </w:pPr>
    </w:p>
    <w:p w14:paraId="7627A6D8" w14:textId="77777777" w:rsidR="00D12264" w:rsidRPr="001E456B" w:rsidRDefault="00D12264" w:rsidP="00D12264">
      <w:pPr>
        <w:spacing w:line="240" w:lineRule="auto"/>
        <w:rPr>
          <w:b/>
          <w:sz w:val="24"/>
          <w:szCs w:val="24"/>
        </w:rPr>
      </w:pPr>
      <w:r w:rsidRPr="001E456B">
        <w:rPr>
          <w:b/>
          <w:sz w:val="24"/>
          <w:szCs w:val="24"/>
        </w:rPr>
        <w:t xml:space="preserve">Appendix </w:t>
      </w:r>
      <w:r>
        <w:rPr>
          <w:b/>
          <w:sz w:val="24"/>
          <w:szCs w:val="24"/>
        </w:rPr>
        <w:t>B.1</w:t>
      </w:r>
      <w:r w:rsidRPr="001E456B">
        <w:rPr>
          <w:b/>
          <w:sz w:val="24"/>
          <w:szCs w:val="24"/>
        </w:rPr>
        <w:t xml:space="preserve">: searching in </w:t>
      </w:r>
      <w:proofErr w:type="spellStart"/>
      <w:r w:rsidRPr="001E456B">
        <w:rPr>
          <w:b/>
          <w:sz w:val="24"/>
          <w:szCs w:val="24"/>
        </w:rPr>
        <w:t>Embase</w:t>
      </w:r>
      <w:proofErr w:type="spellEnd"/>
      <w:r w:rsidRPr="001E456B">
        <w:rPr>
          <w:b/>
          <w:sz w:val="24"/>
          <w:szCs w:val="24"/>
        </w:rPr>
        <w:t xml:space="preserve"> (1974 to February 15</w:t>
      </w:r>
      <w:r w:rsidRPr="001E456B">
        <w:rPr>
          <w:b/>
          <w:sz w:val="24"/>
          <w:szCs w:val="24"/>
          <w:vertAlign w:val="superscript"/>
        </w:rPr>
        <w:t>th</w:t>
      </w:r>
      <w:r w:rsidRPr="001E456B">
        <w:rPr>
          <w:b/>
          <w:sz w:val="24"/>
          <w:szCs w:val="24"/>
        </w:rPr>
        <w:t>, 2019)</w:t>
      </w:r>
    </w:p>
    <w:p w14:paraId="6A389A89" w14:textId="77777777" w:rsidR="00D12264" w:rsidRPr="001E456B" w:rsidRDefault="00D12264" w:rsidP="00D12264">
      <w:pPr>
        <w:spacing w:line="240" w:lineRule="auto"/>
        <w:rPr>
          <w:sz w:val="24"/>
          <w:szCs w:val="24"/>
          <w:lang w:val="en-CA"/>
        </w:rPr>
      </w:pPr>
      <w:r w:rsidRPr="001E456B">
        <w:rPr>
          <w:sz w:val="24"/>
          <w:szCs w:val="24"/>
          <w:lang w:val="en-CA"/>
        </w:rPr>
        <w:t>--------------------------------------------------------------------------------</w:t>
      </w:r>
    </w:p>
    <w:p w14:paraId="188D7388" w14:textId="77777777" w:rsidR="00D12264" w:rsidRPr="001E456B" w:rsidRDefault="00D12264" w:rsidP="00D12264">
      <w:pPr>
        <w:spacing w:line="240" w:lineRule="auto"/>
        <w:rPr>
          <w:sz w:val="24"/>
          <w:szCs w:val="24"/>
          <w:lang w:val="en-CA"/>
        </w:rPr>
      </w:pPr>
      <w:r w:rsidRPr="001E456B">
        <w:rPr>
          <w:sz w:val="24"/>
          <w:szCs w:val="24"/>
          <w:lang w:val="en-CA"/>
        </w:rPr>
        <w:t>1     knee*.</w:t>
      </w:r>
      <w:proofErr w:type="spellStart"/>
      <w:r w:rsidRPr="001E456B">
        <w:rPr>
          <w:sz w:val="24"/>
          <w:szCs w:val="24"/>
          <w:lang w:val="en-CA"/>
        </w:rPr>
        <w:t>mp</w:t>
      </w:r>
      <w:proofErr w:type="spellEnd"/>
      <w:r w:rsidRPr="001E456B">
        <w:rPr>
          <w:sz w:val="24"/>
          <w:szCs w:val="24"/>
          <w:lang w:val="en-CA"/>
        </w:rPr>
        <w:t>. (208519)</w:t>
      </w:r>
    </w:p>
    <w:p w14:paraId="0595E241" w14:textId="77777777" w:rsidR="00D12264" w:rsidRPr="001E456B" w:rsidRDefault="00D12264" w:rsidP="00D12264">
      <w:pPr>
        <w:spacing w:line="240" w:lineRule="auto"/>
        <w:rPr>
          <w:sz w:val="24"/>
          <w:szCs w:val="24"/>
          <w:lang w:val="en-CA"/>
        </w:rPr>
      </w:pPr>
      <w:r w:rsidRPr="001E456B">
        <w:rPr>
          <w:sz w:val="24"/>
          <w:szCs w:val="24"/>
          <w:lang w:val="en-CA"/>
        </w:rPr>
        <w:t>2     replacement arthroplasty/ or arthroplasty/ or total knee arthroplasty/ or knee arthroplasty/ or total</w:t>
      </w:r>
    </w:p>
    <w:p w14:paraId="621593C7" w14:textId="77777777" w:rsidR="00D12264" w:rsidRPr="001E456B" w:rsidRDefault="00D12264" w:rsidP="00D12264">
      <w:pPr>
        <w:spacing w:line="240" w:lineRule="auto"/>
        <w:rPr>
          <w:sz w:val="24"/>
          <w:szCs w:val="24"/>
          <w:lang w:val="en-CA"/>
        </w:rPr>
      </w:pPr>
      <w:r w:rsidRPr="001E456B">
        <w:rPr>
          <w:sz w:val="24"/>
          <w:szCs w:val="24"/>
          <w:lang w:val="en-CA"/>
        </w:rPr>
        <w:t>arthroplasty/ (38753)</w:t>
      </w:r>
    </w:p>
    <w:p w14:paraId="70D33406" w14:textId="77777777" w:rsidR="00D12264" w:rsidRPr="001E456B" w:rsidRDefault="00D12264" w:rsidP="00D12264">
      <w:pPr>
        <w:spacing w:line="240" w:lineRule="auto"/>
        <w:rPr>
          <w:sz w:val="24"/>
          <w:szCs w:val="24"/>
          <w:lang w:val="en-CA"/>
        </w:rPr>
      </w:pPr>
      <w:r w:rsidRPr="001E456B">
        <w:rPr>
          <w:sz w:val="24"/>
          <w:szCs w:val="24"/>
          <w:lang w:val="en-CA"/>
        </w:rPr>
        <w:t>3     replacement arthroplasty/ or knee replacement/ (3429)</w:t>
      </w:r>
    </w:p>
    <w:p w14:paraId="717FB83F" w14:textId="77777777" w:rsidR="00D12264" w:rsidRPr="001E456B" w:rsidRDefault="00D12264" w:rsidP="00D12264">
      <w:pPr>
        <w:spacing w:line="240" w:lineRule="auto"/>
        <w:rPr>
          <w:sz w:val="24"/>
          <w:szCs w:val="24"/>
          <w:lang w:val="en-CA"/>
        </w:rPr>
      </w:pPr>
      <w:r w:rsidRPr="001E456B">
        <w:rPr>
          <w:sz w:val="24"/>
          <w:szCs w:val="24"/>
          <w:lang w:val="en-CA"/>
        </w:rPr>
        <w:t>4     2 or 3 (41078)</w:t>
      </w:r>
    </w:p>
    <w:p w14:paraId="4BCC42A5" w14:textId="77777777" w:rsidR="00D12264" w:rsidRPr="001E456B" w:rsidRDefault="00D12264" w:rsidP="00D12264">
      <w:pPr>
        <w:spacing w:line="240" w:lineRule="auto"/>
        <w:rPr>
          <w:sz w:val="24"/>
          <w:szCs w:val="24"/>
          <w:lang w:val="en-CA"/>
        </w:rPr>
      </w:pPr>
      <w:proofErr w:type="gramStart"/>
      <w:r w:rsidRPr="001E456B">
        <w:rPr>
          <w:sz w:val="24"/>
          <w:szCs w:val="24"/>
          <w:lang w:val="en-CA"/>
        </w:rPr>
        <w:t>5     (patient-specific or patient-matched or custom-fit or custom-made or custom*).</w:t>
      </w:r>
      <w:proofErr w:type="spellStart"/>
      <w:r w:rsidRPr="001E456B">
        <w:rPr>
          <w:sz w:val="24"/>
          <w:szCs w:val="24"/>
          <w:lang w:val="en-CA"/>
        </w:rPr>
        <w:t>mp</w:t>
      </w:r>
      <w:proofErr w:type="spellEnd"/>
      <w:r w:rsidRPr="001E456B">
        <w:rPr>
          <w:sz w:val="24"/>
          <w:szCs w:val="24"/>
          <w:lang w:val="en-CA"/>
        </w:rPr>
        <w:t>.</w:t>
      </w:r>
      <w:proofErr w:type="gramEnd"/>
      <w:r w:rsidRPr="001E456B">
        <w:rPr>
          <w:sz w:val="24"/>
          <w:szCs w:val="24"/>
          <w:lang w:val="en-CA"/>
        </w:rPr>
        <w:t xml:space="preserve"> [</w:t>
      </w:r>
      <w:proofErr w:type="spellStart"/>
      <w:r w:rsidRPr="001E456B">
        <w:rPr>
          <w:sz w:val="24"/>
          <w:szCs w:val="24"/>
          <w:lang w:val="en-CA"/>
        </w:rPr>
        <w:t>mp</w:t>
      </w:r>
      <w:proofErr w:type="spellEnd"/>
      <w:r w:rsidRPr="001E456B">
        <w:rPr>
          <w:sz w:val="24"/>
          <w:szCs w:val="24"/>
          <w:lang w:val="en-CA"/>
        </w:rPr>
        <w:t>=title, abstract, heading</w:t>
      </w:r>
    </w:p>
    <w:p w14:paraId="76259439" w14:textId="77777777" w:rsidR="00D12264" w:rsidRPr="001E456B" w:rsidRDefault="00D12264" w:rsidP="00D12264">
      <w:pPr>
        <w:spacing w:line="240" w:lineRule="auto"/>
        <w:rPr>
          <w:sz w:val="24"/>
          <w:szCs w:val="24"/>
          <w:lang w:val="en-CA"/>
        </w:rPr>
      </w:pPr>
      <w:r w:rsidRPr="001E456B">
        <w:rPr>
          <w:sz w:val="24"/>
          <w:szCs w:val="24"/>
          <w:lang w:val="en-CA"/>
        </w:rPr>
        <w:t>word, drug trade name, original title, device manufacturer, drug manufacturer, device trade name, keyword, floating</w:t>
      </w:r>
    </w:p>
    <w:p w14:paraId="1AB43835" w14:textId="77777777" w:rsidR="00D12264" w:rsidRPr="001E456B" w:rsidRDefault="00D12264" w:rsidP="00D12264">
      <w:pPr>
        <w:spacing w:line="240" w:lineRule="auto"/>
        <w:rPr>
          <w:sz w:val="24"/>
          <w:szCs w:val="24"/>
          <w:lang w:val="en-CA"/>
        </w:rPr>
      </w:pPr>
      <w:r w:rsidRPr="001E456B">
        <w:rPr>
          <w:sz w:val="24"/>
          <w:szCs w:val="24"/>
          <w:lang w:val="en-CA"/>
        </w:rPr>
        <w:t>subheading word, candidate term word] (110498)</w:t>
      </w:r>
    </w:p>
    <w:p w14:paraId="0EDD1981" w14:textId="77777777" w:rsidR="00D12264" w:rsidRPr="001E456B" w:rsidRDefault="00D12264" w:rsidP="00D12264">
      <w:pPr>
        <w:spacing w:line="240" w:lineRule="auto"/>
        <w:rPr>
          <w:sz w:val="24"/>
          <w:szCs w:val="24"/>
          <w:lang w:val="en-CA"/>
        </w:rPr>
      </w:pPr>
      <w:r w:rsidRPr="001E456B">
        <w:rPr>
          <w:sz w:val="24"/>
          <w:szCs w:val="24"/>
          <w:lang w:val="en-CA"/>
        </w:rPr>
        <w:t>6     1 and 4 and 5 (676)</w:t>
      </w:r>
    </w:p>
    <w:p w14:paraId="532831F2" w14:textId="77777777" w:rsidR="00D12264" w:rsidRPr="001E456B" w:rsidRDefault="00D12264" w:rsidP="00D12264">
      <w:pPr>
        <w:spacing w:line="240" w:lineRule="auto"/>
        <w:rPr>
          <w:sz w:val="24"/>
          <w:szCs w:val="24"/>
        </w:rPr>
      </w:pPr>
      <w:r w:rsidRPr="001E456B">
        <w:rPr>
          <w:sz w:val="24"/>
          <w:szCs w:val="24"/>
          <w:lang w:val="en-CA"/>
        </w:rPr>
        <w:t xml:space="preserve">7     limit 6 to </w:t>
      </w:r>
      <w:proofErr w:type="spellStart"/>
      <w:r w:rsidRPr="001E456B">
        <w:rPr>
          <w:sz w:val="24"/>
          <w:szCs w:val="24"/>
          <w:lang w:val="en-CA"/>
        </w:rPr>
        <w:t>yr</w:t>
      </w:r>
      <w:proofErr w:type="spellEnd"/>
      <w:r w:rsidRPr="001E456B">
        <w:rPr>
          <w:sz w:val="24"/>
          <w:szCs w:val="24"/>
          <w:lang w:val="en-CA"/>
        </w:rPr>
        <w:t>="2001 -Current" (651)</w:t>
      </w:r>
    </w:p>
    <w:p w14:paraId="4810E0B6" w14:textId="77777777" w:rsidR="00D12264" w:rsidRPr="001E456B" w:rsidRDefault="00D12264" w:rsidP="00D12264">
      <w:pPr>
        <w:spacing w:line="240" w:lineRule="auto"/>
        <w:rPr>
          <w:sz w:val="24"/>
          <w:szCs w:val="24"/>
        </w:rPr>
      </w:pPr>
    </w:p>
    <w:p w14:paraId="4A89911D" w14:textId="77777777" w:rsidR="00D12264" w:rsidRPr="001E456B" w:rsidRDefault="00D12264" w:rsidP="00D12264">
      <w:pPr>
        <w:spacing w:line="240" w:lineRule="auto"/>
        <w:rPr>
          <w:b/>
          <w:sz w:val="24"/>
          <w:szCs w:val="24"/>
        </w:rPr>
      </w:pPr>
      <w:r w:rsidRPr="001E456B">
        <w:rPr>
          <w:b/>
          <w:sz w:val="24"/>
          <w:szCs w:val="24"/>
        </w:rPr>
        <w:t xml:space="preserve">Appendix </w:t>
      </w:r>
      <w:r>
        <w:rPr>
          <w:b/>
          <w:sz w:val="24"/>
          <w:szCs w:val="24"/>
        </w:rPr>
        <w:t>B.2</w:t>
      </w:r>
      <w:r w:rsidRPr="001E456B">
        <w:rPr>
          <w:b/>
          <w:sz w:val="24"/>
          <w:szCs w:val="24"/>
        </w:rPr>
        <w:t>: searching in Medline (1946 to February 15</w:t>
      </w:r>
      <w:r w:rsidRPr="001E456B">
        <w:rPr>
          <w:b/>
          <w:sz w:val="24"/>
          <w:szCs w:val="24"/>
          <w:vertAlign w:val="superscript"/>
        </w:rPr>
        <w:t>th</w:t>
      </w:r>
      <w:r w:rsidRPr="001E456B">
        <w:rPr>
          <w:b/>
          <w:sz w:val="24"/>
          <w:szCs w:val="24"/>
        </w:rPr>
        <w:t>, 2019)</w:t>
      </w:r>
    </w:p>
    <w:p w14:paraId="1A90EE10" w14:textId="77777777" w:rsidR="00D12264" w:rsidRPr="001E456B" w:rsidRDefault="00D12264" w:rsidP="00D12264">
      <w:pPr>
        <w:spacing w:line="240" w:lineRule="auto"/>
        <w:rPr>
          <w:sz w:val="24"/>
          <w:szCs w:val="24"/>
        </w:rPr>
      </w:pPr>
      <w:r w:rsidRPr="001E456B">
        <w:rPr>
          <w:sz w:val="24"/>
          <w:szCs w:val="24"/>
        </w:rPr>
        <w:t>--------------------------------------------------------------------------------</w:t>
      </w:r>
    </w:p>
    <w:p w14:paraId="45099E33" w14:textId="77777777" w:rsidR="00D12264" w:rsidRPr="001E456B" w:rsidRDefault="00D12264" w:rsidP="00D12264">
      <w:pPr>
        <w:spacing w:line="240" w:lineRule="auto"/>
        <w:rPr>
          <w:sz w:val="24"/>
          <w:szCs w:val="24"/>
        </w:rPr>
      </w:pPr>
      <w:r w:rsidRPr="001E456B">
        <w:rPr>
          <w:sz w:val="24"/>
          <w:szCs w:val="24"/>
        </w:rPr>
        <w:t>1     knee*.</w:t>
      </w:r>
      <w:proofErr w:type="spellStart"/>
      <w:r w:rsidRPr="001E456B">
        <w:rPr>
          <w:sz w:val="24"/>
          <w:szCs w:val="24"/>
        </w:rPr>
        <w:t>mp</w:t>
      </w:r>
      <w:proofErr w:type="spellEnd"/>
      <w:r w:rsidRPr="001E456B">
        <w:rPr>
          <w:sz w:val="24"/>
          <w:szCs w:val="24"/>
        </w:rPr>
        <w:t>. (156518)</w:t>
      </w:r>
    </w:p>
    <w:p w14:paraId="1D06E1D2" w14:textId="77777777" w:rsidR="00D12264" w:rsidRPr="001E456B" w:rsidRDefault="00D12264" w:rsidP="00D12264">
      <w:pPr>
        <w:spacing w:line="240" w:lineRule="auto"/>
        <w:rPr>
          <w:sz w:val="24"/>
          <w:szCs w:val="24"/>
        </w:rPr>
      </w:pPr>
      <w:r w:rsidRPr="001E456B">
        <w:rPr>
          <w:sz w:val="24"/>
          <w:szCs w:val="24"/>
        </w:rPr>
        <w:t>2     Arthroplasty, Replacement/ or Arthroplasty, Replacement, Knee/ or Arthroplasty/ (34435)</w:t>
      </w:r>
    </w:p>
    <w:p w14:paraId="2C120038" w14:textId="77777777" w:rsidR="00D12264" w:rsidRPr="001E456B" w:rsidRDefault="00D12264" w:rsidP="00D12264">
      <w:pPr>
        <w:spacing w:line="240" w:lineRule="auto"/>
        <w:rPr>
          <w:sz w:val="24"/>
          <w:szCs w:val="24"/>
        </w:rPr>
      </w:pPr>
      <w:r w:rsidRPr="001E456B">
        <w:rPr>
          <w:sz w:val="24"/>
          <w:szCs w:val="24"/>
        </w:rPr>
        <w:t>3     Arthroplasty, Replacement/ or Arthroplasty, Replacement, Knee/ (26371)</w:t>
      </w:r>
    </w:p>
    <w:p w14:paraId="499F3065" w14:textId="77777777" w:rsidR="00D12264" w:rsidRPr="001E456B" w:rsidRDefault="00D12264" w:rsidP="00D12264">
      <w:pPr>
        <w:spacing w:line="240" w:lineRule="auto"/>
        <w:rPr>
          <w:sz w:val="24"/>
          <w:szCs w:val="24"/>
        </w:rPr>
      </w:pPr>
      <w:r w:rsidRPr="001E456B">
        <w:rPr>
          <w:sz w:val="24"/>
          <w:szCs w:val="24"/>
        </w:rPr>
        <w:t>4     2 or 3 (34435)</w:t>
      </w:r>
    </w:p>
    <w:p w14:paraId="7B107A8A" w14:textId="77777777" w:rsidR="00D12264" w:rsidRPr="001E456B" w:rsidRDefault="00D12264" w:rsidP="00D12264">
      <w:pPr>
        <w:spacing w:line="240" w:lineRule="auto"/>
        <w:rPr>
          <w:sz w:val="24"/>
          <w:szCs w:val="24"/>
        </w:rPr>
      </w:pPr>
      <w:proofErr w:type="gramStart"/>
      <w:r w:rsidRPr="001E456B">
        <w:rPr>
          <w:sz w:val="24"/>
          <w:szCs w:val="24"/>
        </w:rPr>
        <w:t>5</w:t>
      </w:r>
      <w:proofErr w:type="gramEnd"/>
      <w:r w:rsidRPr="001E456B">
        <w:rPr>
          <w:sz w:val="24"/>
          <w:szCs w:val="24"/>
        </w:rPr>
        <w:t xml:space="preserve">     (patient-specific or patient-matched or custom-fit or custom-made or custom*).</w:t>
      </w:r>
      <w:proofErr w:type="spellStart"/>
      <w:r w:rsidRPr="001E456B">
        <w:rPr>
          <w:sz w:val="24"/>
          <w:szCs w:val="24"/>
        </w:rPr>
        <w:t>mp</w:t>
      </w:r>
      <w:proofErr w:type="spellEnd"/>
      <w:r w:rsidRPr="001E456B">
        <w:rPr>
          <w:sz w:val="24"/>
          <w:szCs w:val="24"/>
        </w:rPr>
        <w:t>. [</w:t>
      </w:r>
      <w:proofErr w:type="spellStart"/>
      <w:r w:rsidRPr="001E456B">
        <w:rPr>
          <w:sz w:val="24"/>
          <w:szCs w:val="24"/>
        </w:rPr>
        <w:t>mp</w:t>
      </w:r>
      <w:proofErr w:type="spellEnd"/>
      <w:r w:rsidRPr="001E456B">
        <w:rPr>
          <w:sz w:val="24"/>
          <w:szCs w:val="24"/>
        </w:rPr>
        <w:t>=title, abstract, original</w:t>
      </w:r>
    </w:p>
    <w:p w14:paraId="4239F6E5" w14:textId="77777777" w:rsidR="00D12264" w:rsidRPr="001E456B" w:rsidRDefault="00D12264" w:rsidP="00D12264">
      <w:pPr>
        <w:spacing w:line="240" w:lineRule="auto"/>
        <w:rPr>
          <w:sz w:val="24"/>
          <w:szCs w:val="24"/>
        </w:rPr>
      </w:pPr>
      <w:r w:rsidRPr="001E456B">
        <w:rPr>
          <w:sz w:val="24"/>
          <w:szCs w:val="24"/>
        </w:rPr>
        <w:t>title, name of substance word, subject heading word, floating sub-heading word, keyword heading word, organism</w:t>
      </w:r>
    </w:p>
    <w:p w14:paraId="44C18549" w14:textId="77777777" w:rsidR="00D12264" w:rsidRPr="001E456B" w:rsidRDefault="00D12264" w:rsidP="00D12264">
      <w:pPr>
        <w:spacing w:line="240" w:lineRule="auto"/>
        <w:rPr>
          <w:sz w:val="24"/>
          <w:szCs w:val="24"/>
        </w:rPr>
      </w:pPr>
      <w:r w:rsidRPr="001E456B">
        <w:rPr>
          <w:sz w:val="24"/>
          <w:szCs w:val="24"/>
        </w:rPr>
        <w:t>supplementary concept word, protocol supplementary concept word, rare disease supplementary concept word, unique</w:t>
      </w:r>
    </w:p>
    <w:p w14:paraId="4F23100B" w14:textId="77777777" w:rsidR="00D12264" w:rsidRPr="001E456B" w:rsidRDefault="00D12264" w:rsidP="00D12264">
      <w:pPr>
        <w:spacing w:line="240" w:lineRule="auto"/>
        <w:rPr>
          <w:sz w:val="24"/>
          <w:szCs w:val="24"/>
        </w:rPr>
      </w:pPr>
      <w:r w:rsidRPr="001E456B">
        <w:rPr>
          <w:sz w:val="24"/>
          <w:szCs w:val="24"/>
        </w:rPr>
        <w:t>identifier, synonyms] (76515)</w:t>
      </w:r>
    </w:p>
    <w:p w14:paraId="0F2B5DA0" w14:textId="77777777" w:rsidR="00D12264" w:rsidRPr="001E456B" w:rsidRDefault="00D12264" w:rsidP="00D12264">
      <w:pPr>
        <w:spacing w:line="240" w:lineRule="auto"/>
        <w:rPr>
          <w:sz w:val="24"/>
          <w:szCs w:val="24"/>
        </w:rPr>
      </w:pPr>
      <w:r w:rsidRPr="001E456B">
        <w:rPr>
          <w:sz w:val="24"/>
          <w:szCs w:val="24"/>
        </w:rPr>
        <w:t>6     1 and 4 and 5 (630)</w:t>
      </w:r>
    </w:p>
    <w:p w14:paraId="0DB37E9F" w14:textId="77777777" w:rsidR="00D12264" w:rsidRPr="001E456B" w:rsidRDefault="00D12264" w:rsidP="00D12264">
      <w:pPr>
        <w:spacing w:line="240" w:lineRule="auto"/>
        <w:rPr>
          <w:sz w:val="24"/>
          <w:szCs w:val="24"/>
        </w:rPr>
      </w:pPr>
      <w:r w:rsidRPr="001E456B">
        <w:rPr>
          <w:sz w:val="24"/>
          <w:szCs w:val="24"/>
        </w:rPr>
        <w:t xml:space="preserve">7     limit 6 to </w:t>
      </w:r>
      <w:proofErr w:type="spellStart"/>
      <w:r w:rsidRPr="001E456B">
        <w:rPr>
          <w:sz w:val="24"/>
          <w:szCs w:val="24"/>
        </w:rPr>
        <w:t>yr</w:t>
      </w:r>
      <w:proofErr w:type="spellEnd"/>
      <w:r w:rsidRPr="001E456B">
        <w:rPr>
          <w:sz w:val="24"/>
          <w:szCs w:val="24"/>
        </w:rPr>
        <w:t>="2001 -Current" (607)</w:t>
      </w:r>
    </w:p>
    <w:p w14:paraId="3A0D55C8" w14:textId="77777777" w:rsidR="00D12264" w:rsidRPr="001E456B" w:rsidRDefault="00D12264" w:rsidP="00D12264">
      <w:pPr>
        <w:spacing w:line="240" w:lineRule="auto"/>
        <w:rPr>
          <w:sz w:val="24"/>
          <w:szCs w:val="24"/>
        </w:rPr>
      </w:pPr>
    </w:p>
    <w:p w14:paraId="2CA0A017" w14:textId="77777777" w:rsidR="00D12264" w:rsidRPr="001E456B" w:rsidRDefault="00D12264" w:rsidP="00D12264">
      <w:pPr>
        <w:spacing w:line="240" w:lineRule="auto"/>
        <w:rPr>
          <w:b/>
          <w:sz w:val="24"/>
          <w:szCs w:val="24"/>
        </w:rPr>
      </w:pPr>
      <w:r w:rsidRPr="001E456B">
        <w:rPr>
          <w:b/>
          <w:sz w:val="24"/>
          <w:szCs w:val="24"/>
        </w:rPr>
        <w:t xml:space="preserve">Appendix </w:t>
      </w:r>
      <w:r>
        <w:rPr>
          <w:b/>
          <w:sz w:val="24"/>
          <w:szCs w:val="24"/>
        </w:rPr>
        <w:t>B.3</w:t>
      </w:r>
      <w:r w:rsidRPr="001E456B">
        <w:rPr>
          <w:b/>
          <w:sz w:val="24"/>
          <w:szCs w:val="24"/>
        </w:rPr>
        <w:t>: searching in CENTRAL (The Cochrane Library 2019, Issue 2)</w:t>
      </w:r>
    </w:p>
    <w:p w14:paraId="292A624E" w14:textId="77777777" w:rsidR="00D12264" w:rsidRPr="001E456B" w:rsidRDefault="00D12264" w:rsidP="00D12264">
      <w:pPr>
        <w:spacing w:line="240" w:lineRule="auto"/>
        <w:rPr>
          <w:sz w:val="24"/>
          <w:szCs w:val="24"/>
          <w:lang w:val="en-CA"/>
        </w:rPr>
      </w:pPr>
      <w:r w:rsidRPr="001E456B">
        <w:rPr>
          <w:sz w:val="24"/>
          <w:szCs w:val="24"/>
        </w:rPr>
        <w:t>--------------------------------------------------------------------------------</w:t>
      </w:r>
      <w:r w:rsidRPr="001E456B">
        <w:rPr>
          <w:sz w:val="24"/>
          <w:szCs w:val="24"/>
          <w:lang w:val="en-CA"/>
        </w:rPr>
        <w:t xml:space="preserve"> </w:t>
      </w:r>
    </w:p>
    <w:p w14:paraId="5A0A1CE8" w14:textId="77777777" w:rsidR="00D12264" w:rsidRPr="001E456B" w:rsidRDefault="00D12264" w:rsidP="00D12264">
      <w:pPr>
        <w:spacing w:line="240" w:lineRule="auto"/>
        <w:rPr>
          <w:sz w:val="24"/>
          <w:szCs w:val="24"/>
          <w:lang w:val="en-CA"/>
        </w:rPr>
      </w:pPr>
      <w:r w:rsidRPr="001E456B">
        <w:rPr>
          <w:sz w:val="24"/>
          <w:szCs w:val="24"/>
          <w:lang w:val="en-CA"/>
        </w:rPr>
        <w:t>1</w:t>
      </w:r>
      <w:r w:rsidRPr="001E456B">
        <w:rPr>
          <w:sz w:val="24"/>
          <w:szCs w:val="24"/>
          <w:lang w:val="en-CA"/>
        </w:rPr>
        <w:tab/>
        <w:t>(knee*)</w:t>
      </w:r>
      <w:proofErr w:type="gramStart"/>
      <w:r w:rsidRPr="001E456B">
        <w:rPr>
          <w:sz w:val="24"/>
          <w:szCs w:val="24"/>
          <w:lang w:val="en-CA"/>
        </w:rPr>
        <w:t>:</w:t>
      </w:r>
      <w:proofErr w:type="spellStart"/>
      <w:r w:rsidRPr="001E456B">
        <w:rPr>
          <w:sz w:val="24"/>
          <w:szCs w:val="24"/>
          <w:lang w:val="en-CA"/>
        </w:rPr>
        <w:t>ti,ab,kw</w:t>
      </w:r>
      <w:proofErr w:type="spellEnd"/>
      <w:proofErr w:type="gramEnd"/>
      <w:r w:rsidRPr="001E456B">
        <w:rPr>
          <w:sz w:val="24"/>
          <w:szCs w:val="24"/>
          <w:lang w:val="en-CA"/>
        </w:rPr>
        <w:t xml:space="preserve">  (20120)</w:t>
      </w:r>
    </w:p>
    <w:p w14:paraId="5103D090" w14:textId="77777777" w:rsidR="00D12264" w:rsidRPr="001E456B" w:rsidRDefault="00D12264" w:rsidP="00D12264">
      <w:pPr>
        <w:spacing w:line="240" w:lineRule="auto"/>
        <w:rPr>
          <w:sz w:val="24"/>
          <w:szCs w:val="24"/>
          <w:lang w:val="en-CA"/>
        </w:rPr>
      </w:pPr>
      <w:r w:rsidRPr="001E456B">
        <w:rPr>
          <w:sz w:val="24"/>
          <w:szCs w:val="24"/>
          <w:lang w:val="en-CA"/>
        </w:rPr>
        <w:t>2</w:t>
      </w:r>
      <w:r w:rsidRPr="001E456B">
        <w:rPr>
          <w:sz w:val="24"/>
          <w:szCs w:val="24"/>
          <w:lang w:val="en-CA"/>
        </w:rPr>
        <w:tab/>
        <w:t>(arthroplasty OR replacement)</w:t>
      </w:r>
      <w:proofErr w:type="gramStart"/>
      <w:r w:rsidRPr="001E456B">
        <w:rPr>
          <w:sz w:val="24"/>
          <w:szCs w:val="24"/>
          <w:lang w:val="en-CA"/>
        </w:rPr>
        <w:t>:</w:t>
      </w:r>
      <w:proofErr w:type="spellStart"/>
      <w:r w:rsidRPr="001E456B">
        <w:rPr>
          <w:sz w:val="24"/>
          <w:szCs w:val="24"/>
          <w:lang w:val="en-CA"/>
        </w:rPr>
        <w:t>ti,ab,kw</w:t>
      </w:r>
      <w:proofErr w:type="spellEnd"/>
      <w:proofErr w:type="gramEnd"/>
      <w:r w:rsidRPr="001E456B">
        <w:rPr>
          <w:sz w:val="24"/>
          <w:szCs w:val="24"/>
          <w:lang w:val="en-CA"/>
        </w:rPr>
        <w:t xml:space="preserve">  (30979)</w:t>
      </w:r>
    </w:p>
    <w:p w14:paraId="1A650DD0" w14:textId="77777777" w:rsidR="00D12264" w:rsidRPr="001E456B" w:rsidRDefault="00D12264" w:rsidP="00D12264">
      <w:pPr>
        <w:spacing w:line="240" w:lineRule="auto"/>
        <w:ind w:left="720" w:hanging="720"/>
        <w:rPr>
          <w:sz w:val="24"/>
          <w:szCs w:val="24"/>
          <w:lang w:val="en-CA"/>
        </w:rPr>
      </w:pPr>
      <w:r w:rsidRPr="001E456B">
        <w:rPr>
          <w:sz w:val="24"/>
          <w:szCs w:val="24"/>
          <w:lang w:val="en-CA"/>
        </w:rPr>
        <w:t>3</w:t>
      </w:r>
      <w:r w:rsidRPr="001E456B">
        <w:rPr>
          <w:sz w:val="24"/>
          <w:szCs w:val="24"/>
          <w:lang w:val="en-CA"/>
        </w:rPr>
        <w:tab/>
        <w:t>(patient-specific OR patient-matched OR custom-fit OR custom-guide OR custom*)</w:t>
      </w:r>
      <w:proofErr w:type="gramStart"/>
      <w:r w:rsidRPr="001E456B">
        <w:rPr>
          <w:sz w:val="24"/>
          <w:szCs w:val="24"/>
          <w:lang w:val="en-CA"/>
        </w:rPr>
        <w:t>:</w:t>
      </w:r>
      <w:proofErr w:type="spellStart"/>
      <w:r w:rsidRPr="001E456B">
        <w:rPr>
          <w:sz w:val="24"/>
          <w:szCs w:val="24"/>
          <w:lang w:val="en-CA"/>
        </w:rPr>
        <w:t>ti,ab,kw</w:t>
      </w:r>
      <w:proofErr w:type="spellEnd"/>
      <w:proofErr w:type="gramEnd"/>
      <w:r w:rsidRPr="001E456B">
        <w:rPr>
          <w:sz w:val="24"/>
          <w:szCs w:val="24"/>
          <w:lang w:val="en-CA"/>
        </w:rPr>
        <w:t xml:space="preserve">  (4615)</w:t>
      </w:r>
    </w:p>
    <w:p w14:paraId="31CFB4D0" w14:textId="77777777" w:rsidR="00D12264" w:rsidRPr="001E456B" w:rsidRDefault="00D12264" w:rsidP="00D12264">
      <w:pPr>
        <w:spacing w:line="240" w:lineRule="auto"/>
        <w:ind w:left="720" w:hanging="720"/>
        <w:rPr>
          <w:sz w:val="24"/>
          <w:szCs w:val="24"/>
          <w:lang w:val="en-CA"/>
        </w:rPr>
      </w:pPr>
      <w:r w:rsidRPr="001E456B">
        <w:rPr>
          <w:sz w:val="24"/>
          <w:szCs w:val="24"/>
          <w:lang w:val="en-CA"/>
        </w:rPr>
        <w:t>4</w:t>
      </w:r>
      <w:r w:rsidRPr="001E456B">
        <w:rPr>
          <w:sz w:val="24"/>
          <w:szCs w:val="24"/>
          <w:lang w:val="en-CA"/>
        </w:rPr>
        <w:tab/>
        <w:t>1 and 2 and 3 (128)</w:t>
      </w:r>
    </w:p>
    <w:p w14:paraId="085857A6" w14:textId="77777777" w:rsidR="00D12264" w:rsidRDefault="00D12264" w:rsidP="00D12264">
      <w:pPr>
        <w:spacing w:line="480" w:lineRule="auto"/>
        <w:ind w:left="720" w:hanging="720"/>
        <w:rPr>
          <w:sz w:val="24"/>
          <w:szCs w:val="24"/>
          <w:lang w:val="en-CA"/>
        </w:rPr>
      </w:pPr>
    </w:p>
    <w:p w14:paraId="402724BE" w14:textId="77777777" w:rsidR="00D12264" w:rsidRDefault="00D12264" w:rsidP="00D12264">
      <w:pPr>
        <w:spacing w:line="480" w:lineRule="auto"/>
        <w:rPr>
          <w:sz w:val="24"/>
          <w:szCs w:val="24"/>
          <w:lang w:val="en-CA"/>
        </w:rPr>
      </w:pPr>
    </w:p>
    <w:p w14:paraId="38B951A9" w14:textId="77777777" w:rsidR="00D12264" w:rsidRPr="001E456B" w:rsidRDefault="00D12264" w:rsidP="00D12264">
      <w:pPr>
        <w:spacing w:line="480" w:lineRule="auto"/>
        <w:rPr>
          <w:sz w:val="24"/>
          <w:szCs w:val="24"/>
        </w:rPr>
      </w:pPr>
    </w:p>
    <w:p w14:paraId="387E828F" w14:textId="77777777" w:rsidR="00D12264" w:rsidRDefault="00D12264" w:rsidP="00D12264">
      <w:pPr>
        <w:spacing w:line="480" w:lineRule="auto"/>
        <w:rPr>
          <w:sz w:val="24"/>
          <w:szCs w:val="24"/>
        </w:rPr>
        <w:sectPr w:rsidR="00D12264" w:rsidSect="00E76F0D">
          <w:pgSz w:w="12240" w:h="15840"/>
          <w:pgMar w:top="1080" w:right="1440" w:bottom="1080" w:left="1440" w:header="708" w:footer="708" w:gutter="0"/>
          <w:cols w:space="708"/>
          <w:docGrid w:linePitch="360"/>
        </w:sectPr>
      </w:pPr>
    </w:p>
    <w:p w14:paraId="68636A55" w14:textId="77777777" w:rsidR="00D12264" w:rsidRPr="00303307" w:rsidRDefault="00D12264" w:rsidP="00D12264">
      <w:pPr>
        <w:spacing w:line="480" w:lineRule="auto"/>
        <w:rPr>
          <w:b/>
          <w:sz w:val="24"/>
          <w:szCs w:val="24"/>
        </w:rPr>
      </w:pPr>
      <w:r w:rsidRPr="00303307">
        <w:rPr>
          <w:b/>
          <w:sz w:val="24"/>
          <w:szCs w:val="24"/>
        </w:rPr>
        <w:lastRenderedPageBreak/>
        <w:t xml:space="preserve">Appendix </w:t>
      </w:r>
      <w:r>
        <w:rPr>
          <w:b/>
          <w:sz w:val="24"/>
          <w:szCs w:val="24"/>
        </w:rPr>
        <w:t>C</w:t>
      </w:r>
      <w:r w:rsidRPr="00303307">
        <w:rPr>
          <w:b/>
          <w:sz w:val="24"/>
          <w:szCs w:val="24"/>
        </w:rPr>
        <w:t>: Excluded studies with special reasons</w:t>
      </w:r>
    </w:p>
    <w:tbl>
      <w:tblPr>
        <w:tblW w:w="12460" w:type="dxa"/>
        <w:tblLook w:val="04A0" w:firstRow="1" w:lastRow="0" w:firstColumn="1" w:lastColumn="0" w:noHBand="0" w:noVBand="1"/>
      </w:tblPr>
      <w:tblGrid>
        <w:gridCol w:w="1403"/>
        <w:gridCol w:w="4615"/>
        <w:gridCol w:w="6442"/>
      </w:tblGrid>
      <w:tr w:rsidR="00D12264" w:rsidRPr="008933B1" w14:paraId="5662381D" w14:textId="77777777" w:rsidTr="009C1F61">
        <w:trPr>
          <w:trHeight w:val="600"/>
        </w:trPr>
        <w:tc>
          <w:tcPr>
            <w:tcW w:w="1230" w:type="dxa"/>
            <w:tcBorders>
              <w:top w:val="nil"/>
              <w:left w:val="nil"/>
              <w:bottom w:val="single" w:sz="4" w:space="0" w:color="auto"/>
              <w:right w:val="nil"/>
            </w:tcBorders>
            <w:shd w:val="clear" w:color="auto" w:fill="auto"/>
            <w:noWrap/>
            <w:vAlign w:val="center"/>
            <w:hideMark/>
          </w:tcPr>
          <w:p w14:paraId="48F33C89" w14:textId="77777777" w:rsidR="00D12264" w:rsidRPr="008933B1" w:rsidRDefault="00D12264" w:rsidP="009C1F61">
            <w:pPr>
              <w:spacing w:line="240" w:lineRule="auto"/>
              <w:jc w:val="center"/>
              <w:rPr>
                <w:rFonts w:asciiTheme="majorHAnsi" w:eastAsia="Times New Roman" w:hAnsiTheme="majorHAnsi" w:cstheme="majorHAnsi"/>
                <w:color w:val="000000"/>
              </w:rPr>
            </w:pPr>
            <w:r w:rsidRPr="008933B1">
              <w:rPr>
                <w:rFonts w:asciiTheme="majorHAnsi" w:eastAsia="Times New Roman" w:hAnsiTheme="majorHAnsi" w:cstheme="majorHAnsi"/>
                <w:color w:val="000000"/>
              </w:rPr>
              <w:t>Author</w:t>
            </w:r>
          </w:p>
        </w:tc>
        <w:tc>
          <w:tcPr>
            <w:tcW w:w="4671" w:type="dxa"/>
            <w:tcBorders>
              <w:top w:val="nil"/>
              <w:left w:val="nil"/>
              <w:bottom w:val="single" w:sz="4" w:space="0" w:color="auto"/>
              <w:right w:val="nil"/>
            </w:tcBorders>
            <w:shd w:val="clear" w:color="auto" w:fill="auto"/>
            <w:vAlign w:val="center"/>
            <w:hideMark/>
          </w:tcPr>
          <w:p w14:paraId="36661EB3" w14:textId="77777777" w:rsidR="00D12264" w:rsidRPr="008933B1" w:rsidRDefault="00D12264" w:rsidP="009C1F61">
            <w:pPr>
              <w:spacing w:line="240" w:lineRule="auto"/>
              <w:jc w:val="center"/>
              <w:rPr>
                <w:rFonts w:asciiTheme="majorHAnsi" w:eastAsia="Times New Roman" w:hAnsiTheme="majorHAnsi" w:cstheme="majorHAnsi"/>
                <w:color w:val="000000"/>
              </w:rPr>
            </w:pPr>
            <w:r w:rsidRPr="008933B1">
              <w:rPr>
                <w:rFonts w:asciiTheme="majorHAnsi" w:eastAsia="Times New Roman" w:hAnsiTheme="majorHAnsi" w:cstheme="majorHAnsi"/>
                <w:color w:val="000000"/>
              </w:rPr>
              <w:t>Title</w:t>
            </w:r>
          </w:p>
        </w:tc>
        <w:tc>
          <w:tcPr>
            <w:tcW w:w="6559" w:type="dxa"/>
            <w:tcBorders>
              <w:top w:val="nil"/>
              <w:left w:val="nil"/>
              <w:bottom w:val="single" w:sz="4" w:space="0" w:color="auto"/>
              <w:right w:val="nil"/>
            </w:tcBorders>
            <w:shd w:val="clear" w:color="auto" w:fill="auto"/>
            <w:vAlign w:val="center"/>
            <w:hideMark/>
          </w:tcPr>
          <w:p w14:paraId="06B48515" w14:textId="77777777" w:rsidR="00D12264" w:rsidRPr="008933B1" w:rsidRDefault="00D12264" w:rsidP="009C1F61">
            <w:pPr>
              <w:spacing w:line="240" w:lineRule="auto"/>
              <w:jc w:val="center"/>
              <w:rPr>
                <w:rFonts w:asciiTheme="majorHAnsi" w:eastAsia="Times New Roman" w:hAnsiTheme="majorHAnsi" w:cstheme="majorHAnsi"/>
                <w:color w:val="000000"/>
              </w:rPr>
            </w:pPr>
            <w:r w:rsidRPr="008933B1">
              <w:rPr>
                <w:rFonts w:asciiTheme="majorHAnsi" w:eastAsia="Times New Roman" w:hAnsiTheme="majorHAnsi" w:cstheme="majorHAnsi"/>
                <w:color w:val="000000"/>
              </w:rPr>
              <w:t>Reason</w:t>
            </w:r>
          </w:p>
        </w:tc>
      </w:tr>
      <w:tr w:rsidR="00D12264" w:rsidRPr="008933B1" w14:paraId="55C6DDBE" w14:textId="77777777" w:rsidTr="009C1F61">
        <w:trPr>
          <w:trHeight w:val="800"/>
        </w:trPr>
        <w:tc>
          <w:tcPr>
            <w:tcW w:w="1230" w:type="dxa"/>
            <w:tcBorders>
              <w:top w:val="nil"/>
              <w:left w:val="nil"/>
              <w:bottom w:val="nil"/>
              <w:right w:val="nil"/>
            </w:tcBorders>
            <w:shd w:val="clear" w:color="auto" w:fill="auto"/>
            <w:noWrap/>
            <w:vAlign w:val="center"/>
            <w:hideMark/>
          </w:tcPr>
          <w:p w14:paraId="110FA74D" w14:textId="77777777" w:rsidR="00D12264" w:rsidRPr="008933B1" w:rsidRDefault="00D12264" w:rsidP="009C1F61">
            <w:pPr>
              <w:spacing w:line="240" w:lineRule="auto"/>
              <w:jc w:val="center"/>
              <w:rPr>
                <w:rFonts w:asciiTheme="majorHAnsi" w:eastAsia="Times New Roman" w:hAnsiTheme="majorHAnsi" w:cstheme="majorHAnsi"/>
                <w:color w:val="000000"/>
              </w:rPr>
            </w:pPr>
            <w:proofErr w:type="spellStart"/>
            <w:r w:rsidRPr="008933B1">
              <w:rPr>
                <w:rFonts w:asciiTheme="majorHAnsi" w:eastAsia="Times New Roman" w:hAnsiTheme="majorHAnsi" w:cstheme="majorHAnsi"/>
                <w:color w:val="000000"/>
              </w:rPr>
              <w:t>Abane</w:t>
            </w:r>
            <w:proofErr w:type="spellEnd"/>
            <w:r w:rsidRPr="008933B1">
              <w:rPr>
                <w:rFonts w:asciiTheme="majorHAnsi" w:eastAsia="Times New Roman" w:hAnsiTheme="majorHAnsi" w:cstheme="majorHAnsi"/>
                <w:color w:val="000000"/>
              </w:rPr>
              <w:t xml:space="preserve"> L.</w:t>
            </w:r>
          </w:p>
        </w:tc>
        <w:tc>
          <w:tcPr>
            <w:tcW w:w="4671" w:type="dxa"/>
            <w:tcBorders>
              <w:top w:val="nil"/>
              <w:left w:val="nil"/>
              <w:bottom w:val="nil"/>
              <w:right w:val="nil"/>
            </w:tcBorders>
            <w:shd w:val="clear" w:color="auto" w:fill="auto"/>
            <w:vAlign w:val="center"/>
            <w:hideMark/>
          </w:tcPr>
          <w:p w14:paraId="2091E4A1"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Can a single-use and patient-specific instrumentation be reliably used in primary total knee arthroplasty? A multicenter controlled study</w:t>
            </w:r>
          </w:p>
        </w:tc>
        <w:tc>
          <w:tcPr>
            <w:tcW w:w="6559" w:type="dxa"/>
            <w:tcBorders>
              <w:top w:val="nil"/>
              <w:left w:val="nil"/>
              <w:bottom w:val="nil"/>
              <w:right w:val="nil"/>
            </w:tcBorders>
            <w:shd w:val="clear" w:color="auto" w:fill="auto"/>
            <w:vAlign w:val="center"/>
            <w:hideMark/>
          </w:tcPr>
          <w:p w14:paraId="17FCBC0C"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Compared with previously conducted TKA.</w:t>
            </w:r>
          </w:p>
        </w:tc>
      </w:tr>
      <w:tr w:rsidR="00D12264" w:rsidRPr="008933B1" w14:paraId="498CE399" w14:textId="77777777" w:rsidTr="009C1F61">
        <w:trPr>
          <w:trHeight w:val="800"/>
        </w:trPr>
        <w:tc>
          <w:tcPr>
            <w:tcW w:w="1230" w:type="dxa"/>
            <w:tcBorders>
              <w:top w:val="nil"/>
              <w:left w:val="nil"/>
              <w:bottom w:val="nil"/>
              <w:right w:val="nil"/>
            </w:tcBorders>
            <w:shd w:val="clear" w:color="auto" w:fill="auto"/>
            <w:noWrap/>
            <w:vAlign w:val="center"/>
            <w:hideMark/>
          </w:tcPr>
          <w:p w14:paraId="4935A381" w14:textId="77777777" w:rsidR="00D12264" w:rsidRPr="008933B1" w:rsidRDefault="00D12264" w:rsidP="009C1F61">
            <w:pPr>
              <w:spacing w:line="240" w:lineRule="auto"/>
              <w:jc w:val="center"/>
              <w:rPr>
                <w:rFonts w:asciiTheme="majorHAnsi" w:eastAsia="Times New Roman" w:hAnsiTheme="majorHAnsi" w:cstheme="majorHAnsi"/>
                <w:color w:val="000000"/>
              </w:rPr>
            </w:pPr>
            <w:r w:rsidRPr="008933B1">
              <w:rPr>
                <w:rFonts w:asciiTheme="majorHAnsi" w:eastAsia="Times New Roman" w:hAnsiTheme="majorHAnsi" w:cstheme="majorHAnsi"/>
                <w:color w:val="000000"/>
              </w:rPr>
              <w:t>Chen J.</w:t>
            </w:r>
          </w:p>
        </w:tc>
        <w:tc>
          <w:tcPr>
            <w:tcW w:w="4671" w:type="dxa"/>
            <w:tcBorders>
              <w:top w:val="nil"/>
              <w:left w:val="nil"/>
              <w:bottom w:val="nil"/>
              <w:right w:val="nil"/>
            </w:tcBorders>
            <w:shd w:val="clear" w:color="auto" w:fill="auto"/>
            <w:vAlign w:val="center"/>
            <w:hideMark/>
          </w:tcPr>
          <w:p w14:paraId="29CE71C4"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The radiological outcomes of patient-specific instrumentation versus conventional total knee arthroplasty</w:t>
            </w:r>
          </w:p>
        </w:tc>
        <w:tc>
          <w:tcPr>
            <w:tcW w:w="6559" w:type="dxa"/>
            <w:tcBorders>
              <w:top w:val="nil"/>
              <w:left w:val="nil"/>
              <w:bottom w:val="nil"/>
              <w:right w:val="nil"/>
            </w:tcBorders>
            <w:shd w:val="clear" w:color="auto" w:fill="auto"/>
            <w:vAlign w:val="center"/>
            <w:hideMark/>
          </w:tcPr>
          <w:p w14:paraId="6FEF473D"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The same cohort as Chen et al. (2015) in Journal of Arthroplasty</w:t>
            </w:r>
          </w:p>
        </w:tc>
      </w:tr>
      <w:tr w:rsidR="00D12264" w:rsidRPr="008933B1" w14:paraId="28C6B019" w14:textId="77777777" w:rsidTr="009C1F61">
        <w:trPr>
          <w:trHeight w:val="800"/>
        </w:trPr>
        <w:tc>
          <w:tcPr>
            <w:tcW w:w="1230" w:type="dxa"/>
            <w:tcBorders>
              <w:top w:val="nil"/>
              <w:left w:val="nil"/>
              <w:bottom w:val="nil"/>
              <w:right w:val="nil"/>
            </w:tcBorders>
            <w:shd w:val="clear" w:color="auto" w:fill="auto"/>
            <w:noWrap/>
            <w:vAlign w:val="center"/>
            <w:hideMark/>
          </w:tcPr>
          <w:p w14:paraId="3D0448E9" w14:textId="77777777" w:rsidR="00D12264" w:rsidRPr="008933B1" w:rsidRDefault="00D12264" w:rsidP="009C1F61">
            <w:pPr>
              <w:spacing w:line="240" w:lineRule="auto"/>
              <w:jc w:val="center"/>
              <w:rPr>
                <w:rFonts w:asciiTheme="majorHAnsi" w:eastAsia="Times New Roman" w:hAnsiTheme="majorHAnsi" w:cstheme="majorHAnsi"/>
                <w:color w:val="000000"/>
              </w:rPr>
            </w:pPr>
            <w:r w:rsidRPr="008933B1">
              <w:rPr>
                <w:rFonts w:asciiTheme="majorHAnsi" w:eastAsia="Times New Roman" w:hAnsiTheme="majorHAnsi" w:cstheme="majorHAnsi"/>
                <w:color w:val="000000"/>
              </w:rPr>
              <w:t>Leon V.</w:t>
            </w:r>
          </w:p>
        </w:tc>
        <w:tc>
          <w:tcPr>
            <w:tcW w:w="4671" w:type="dxa"/>
            <w:tcBorders>
              <w:top w:val="nil"/>
              <w:left w:val="nil"/>
              <w:bottom w:val="nil"/>
              <w:right w:val="nil"/>
            </w:tcBorders>
            <w:shd w:val="clear" w:color="auto" w:fill="auto"/>
            <w:vAlign w:val="center"/>
            <w:hideMark/>
          </w:tcPr>
          <w:p w14:paraId="686DF4CC"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Use of patient-specific cutting blocks reduces blood loss after total knee arthroplasty</w:t>
            </w:r>
          </w:p>
        </w:tc>
        <w:tc>
          <w:tcPr>
            <w:tcW w:w="6559" w:type="dxa"/>
            <w:tcBorders>
              <w:top w:val="nil"/>
              <w:left w:val="nil"/>
              <w:bottom w:val="nil"/>
              <w:right w:val="nil"/>
            </w:tcBorders>
            <w:shd w:val="clear" w:color="auto" w:fill="auto"/>
            <w:vAlign w:val="center"/>
            <w:hideMark/>
          </w:tcPr>
          <w:p w14:paraId="5D55345D"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In methods section, authors described they planned to monitor complications, but they did not show any data in result section.</w:t>
            </w:r>
          </w:p>
        </w:tc>
      </w:tr>
      <w:tr w:rsidR="00D12264" w:rsidRPr="008933B1" w14:paraId="391F3180" w14:textId="77777777" w:rsidTr="009C1F61">
        <w:trPr>
          <w:trHeight w:val="800"/>
        </w:trPr>
        <w:tc>
          <w:tcPr>
            <w:tcW w:w="1230" w:type="dxa"/>
            <w:tcBorders>
              <w:top w:val="nil"/>
              <w:left w:val="nil"/>
              <w:bottom w:val="nil"/>
              <w:right w:val="nil"/>
            </w:tcBorders>
            <w:shd w:val="clear" w:color="auto" w:fill="auto"/>
            <w:noWrap/>
            <w:vAlign w:val="center"/>
            <w:hideMark/>
          </w:tcPr>
          <w:p w14:paraId="695E8087" w14:textId="77777777" w:rsidR="00D12264" w:rsidRPr="008933B1" w:rsidRDefault="00D12264" w:rsidP="009C1F61">
            <w:pPr>
              <w:spacing w:line="240" w:lineRule="auto"/>
              <w:jc w:val="center"/>
              <w:rPr>
                <w:rFonts w:asciiTheme="majorHAnsi" w:eastAsia="Times New Roman" w:hAnsiTheme="majorHAnsi" w:cstheme="majorHAnsi"/>
                <w:color w:val="000000"/>
              </w:rPr>
            </w:pPr>
            <w:proofErr w:type="spellStart"/>
            <w:r w:rsidRPr="008933B1">
              <w:rPr>
                <w:rFonts w:asciiTheme="majorHAnsi" w:eastAsia="Times New Roman" w:hAnsiTheme="majorHAnsi" w:cstheme="majorHAnsi"/>
                <w:color w:val="000000"/>
              </w:rPr>
              <w:t>Pourgiezis</w:t>
            </w:r>
            <w:proofErr w:type="spellEnd"/>
            <w:r w:rsidRPr="008933B1">
              <w:rPr>
                <w:rFonts w:asciiTheme="majorHAnsi" w:eastAsia="Times New Roman" w:hAnsiTheme="majorHAnsi" w:cstheme="majorHAnsi"/>
                <w:color w:val="000000"/>
              </w:rPr>
              <w:t xml:space="preserve"> N.</w:t>
            </w:r>
          </w:p>
        </w:tc>
        <w:tc>
          <w:tcPr>
            <w:tcW w:w="4671" w:type="dxa"/>
            <w:tcBorders>
              <w:top w:val="nil"/>
              <w:left w:val="nil"/>
              <w:bottom w:val="nil"/>
              <w:right w:val="nil"/>
            </w:tcBorders>
            <w:shd w:val="clear" w:color="auto" w:fill="auto"/>
            <w:vAlign w:val="center"/>
            <w:hideMark/>
          </w:tcPr>
          <w:p w14:paraId="6975A5E3"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Alignment and component position after patient-matched instrumentation versus conventional total knee arthroplasty</w:t>
            </w:r>
          </w:p>
        </w:tc>
        <w:tc>
          <w:tcPr>
            <w:tcW w:w="6559" w:type="dxa"/>
            <w:tcBorders>
              <w:top w:val="nil"/>
              <w:left w:val="nil"/>
              <w:bottom w:val="nil"/>
              <w:right w:val="nil"/>
            </w:tcBorders>
            <w:shd w:val="clear" w:color="auto" w:fill="auto"/>
            <w:vAlign w:val="center"/>
            <w:hideMark/>
          </w:tcPr>
          <w:p w14:paraId="6169F66A"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Complication rates in standard TKA group were not shown.</w:t>
            </w:r>
          </w:p>
        </w:tc>
      </w:tr>
      <w:tr w:rsidR="00D12264" w:rsidRPr="008933B1" w14:paraId="161C551F" w14:textId="77777777" w:rsidTr="009C1F61">
        <w:trPr>
          <w:trHeight w:val="800"/>
        </w:trPr>
        <w:tc>
          <w:tcPr>
            <w:tcW w:w="1230" w:type="dxa"/>
            <w:tcBorders>
              <w:top w:val="nil"/>
              <w:left w:val="nil"/>
              <w:bottom w:val="nil"/>
              <w:right w:val="nil"/>
            </w:tcBorders>
            <w:shd w:val="clear" w:color="auto" w:fill="auto"/>
            <w:noWrap/>
            <w:vAlign w:val="center"/>
            <w:hideMark/>
          </w:tcPr>
          <w:p w14:paraId="7CBAD20A" w14:textId="77777777" w:rsidR="00D12264" w:rsidRPr="008933B1" w:rsidRDefault="00D12264" w:rsidP="009C1F61">
            <w:pPr>
              <w:spacing w:line="240" w:lineRule="auto"/>
              <w:jc w:val="center"/>
              <w:rPr>
                <w:rFonts w:asciiTheme="majorHAnsi" w:eastAsia="Times New Roman" w:hAnsiTheme="majorHAnsi" w:cstheme="majorHAnsi"/>
                <w:color w:val="000000"/>
              </w:rPr>
            </w:pPr>
            <w:r w:rsidRPr="008933B1">
              <w:rPr>
                <w:rFonts w:asciiTheme="majorHAnsi" w:eastAsia="Times New Roman" w:hAnsiTheme="majorHAnsi" w:cstheme="majorHAnsi"/>
                <w:color w:val="000000"/>
              </w:rPr>
              <w:t>Nam D.</w:t>
            </w:r>
          </w:p>
        </w:tc>
        <w:tc>
          <w:tcPr>
            <w:tcW w:w="4671" w:type="dxa"/>
            <w:tcBorders>
              <w:top w:val="nil"/>
              <w:left w:val="nil"/>
              <w:bottom w:val="nil"/>
              <w:right w:val="nil"/>
            </w:tcBorders>
            <w:shd w:val="clear" w:color="auto" w:fill="auto"/>
            <w:vAlign w:val="center"/>
            <w:hideMark/>
          </w:tcPr>
          <w:p w14:paraId="2618C1F8"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The impact of custom cutting guides on patient satisfaction and residual symptoms following total knee arthroplasty</w:t>
            </w:r>
          </w:p>
        </w:tc>
        <w:tc>
          <w:tcPr>
            <w:tcW w:w="6559" w:type="dxa"/>
            <w:tcBorders>
              <w:top w:val="nil"/>
              <w:left w:val="nil"/>
              <w:bottom w:val="nil"/>
              <w:right w:val="nil"/>
            </w:tcBorders>
            <w:shd w:val="clear" w:color="auto" w:fill="auto"/>
            <w:vAlign w:val="center"/>
            <w:hideMark/>
          </w:tcPr>
          <w:p w14:paraId="1ED61625"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 xml:space="preserve">In analysis, patients who had revision TKA in the follow-up periods were removed and we could not </w:t>
            </w:r>
            <w:proofErr w:type="spellStart"/>
            <w:r w:rsidRPr="008933B1">
              <w:rPr>
                <w:rFonts w:asciiTheme="majorHAnsi" w:eastAsia="Times New Roman" w:hAnsiTheme="majorHAnsi" w:cstheme="majorHAnsi"/>
                <w:color w:val="000000"/>
                <w:sz w:val="18"/>
              </w:rPr>
              <w:t>obtatin</w:t>
            </w:r>
            <w:proofErr w:type="spellEnd"/>
            <w:r w:rsidRPr="008933B1">
              <w:rPr>
                <w:rFonts w:asciiTheme="majorHAnsi" w:eastAsia="Times New Roman" w:hAnsiTheme="majorHAnsi" w:cstheme="majorHAnsi"/>
                <w:color w:val="000000"/>
                <w:sz w:val="18"/>
              </w:rPr>
              <w:t xml:space="preserve"> data for the patients.</w:t>
            </w:r>
          </w:p>
        </w:tc>
      </w:tr>
      <w:tr w:rsidR="00D12264" w:rsidRPr="008933B1" w14:paraId="01B453BE" w14:textId="77777777" w:rsidTr="009C1F61">
        <w:trPr>
          <w:trHeight w:val="800"/>
        </w:trPr>
        <w:tc>
          <w:tcPr>
            <w:tcW w:w="1230" w:type="dxa"/>
            <w:tcBorders>
              <w:top w:val="nil"/>
              <w:left w:val="nil"/>
              <w:bottom w:val="nil"/>
              <w:right w:val="nil"/>
            </w:tcBorders>
            <w:shd w:val="clear" w:color="auto" w:fill="auto"/>
            <w:noWrap/>
            <w:vAlign w:val="center"/>
            <w:hideMark/>
          </w:tcPr>
          <w:p w14:paraId="57FA4B45" w14:textId="77777777" w:rsidR="00D12264" w:rsidRPr="008933B1" w:rsidRDefault="00D12264" w:rsidP="009C1F61">
            <w:pPr>
              <w:spacing w:line="240" w:lineRule="auto"/>
              <w:jc w:val="center"/>
              <w:rPr>
                <w:rFonts w:asciiTheme="majorHAnsi" w:eastAsia="Times New Roman" w:hAnsiTheme="majorHAnsi" w:cstheme="majorHAnsi"/>
                <w:color w:val="000000"/>
              </w:rPr>
            </w:pPr>
            <w:proofErr w:type="spellStart"/>
            <w:r w:rsidRPr="008933B1">
              <w:rPr>
                <w:rFonts w:asciiTheme="majorHAnsi" w:eastAsia="Times New Roman" w:hAnsiTheme="majorHAnsi" w:cstheme="majorHAnsi"/>
                <w:color w:val="000000"/>
              </w:rPr>
              <w:t>Hintergrunde</w:t>
            </w:r>
            <w:proofErr w:type="spellEnd"/>
          </w:p>
        </w:tc>
        <w:tc>
          <w:tcPr>
            <w:tcW w:w="4671" w:type="dxa"/>
            <w:tcBorders>
              <w:top w:val="nil"/>
              <w:left w:val="nil"/>
              <w:bottom w:val="nil"/>
              <w:right w:val="nil"/>
            </w:tcBorders>
            <w:shd w:val="clear" w:color="auto" w:fill="auto"/>
            <w:vAlign w:val="center"/>
            <w:hideMark/>
          </w:tcPr>
          <w:p w14:paraId="38267B12"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 xml:space="preserve">Das </w:t>
            </w:r>
            <w:proofErr w:type="spellStart"/>
            <w:r w:rsidRPr="008933B1">
              <w:rPr>
                <w:rFonts w:asciiTheme="majorHAnsi" w:eastAsia="Times New Roman" w:hAnsiTheme="majorHAnsi" w:cstheme="majorHAnsi"/>
                <w:color w:val="000000"/>
                <w:sz w:val="18"/>
              </w:rPr>
              <w:t>Patientenspezifische</w:t>
            </w:r>
            <w:proofErr w:type="spellEnd"/>
            <w:r w:rsidRPr="008933B1">
              <w:rPr>
                <w:rFonts w:asciiTheme="majorHAnsi" w:eastAsia="Times New Roman" w:hAnsiTheme="majorHAnsi" w:cstheme="majorHAnsi"/>
                <w:color w:val="000000"/>
                <w:sz w:val="18"/>
              </w:rPr>
              <w:t xml:space="preserve"> </w:t>
            </w:r>
            <w:proofErr w:type="spellStart"/>
            <w:r w:rsidRPr="008933B1">
              <w:rPr>
                <w:rFonts w:asciiTheme="majorHAnsi" w:eastAsia="Times New Roman" w:hAnsiTheme="majorHAnsi" w:cstheme="majorHAnsi"/>
                <w:color w:val="000000"/>
                <w:sz w:val="18"/>
              </w:rPr>
              <w:t>MyKnee-Instrumentarium</w:t>
            </w:r>
            <w:proofErr w:type="spellEnd"/>
          </w:p>
        </w:tc>
        <w:tc>
          <w:tcPr>
            <w:tcW w:w="6559" w:type="dxa"/>
            <w:tcBorders>
              <w:top w:val="nil"/>
              <w:left w:val="nil"/>
              <w:bottom w:val="nil"/>
              <w:right w:val="nil"/>
            </w:tcBorders>
            <w:shd w:val="clear" w:color="auto" w:fill="auto"/>
            <w:vAlign w:val="center"/>
            <w:hideMark/>
          </w:tcPr>
          <w:p w14:paraId="374C35AF"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no English</w:t>
            </w:r>
          </w:p>
        </w:tc>
      </w:tr>
      <w:tr w:rsidR="00D12264" w:rsidRPr="008933B1" w14:paraId="0C91A529" w14:textId="77777777" w:rsidTr="009C1F61">
        <w:trPr>
          <w:trHeight w:val="800"/>
        </w:trPr>
        <w:tc>
          <w:tcPr>
            <w:tcW w:w="1230" w:type="dxa"/>
            <w:tcBorders>
              <w:top w:val="nil"/>
              <w:left w:val="nil"/>
              <w:bottom w:val="nil"/>
              <w:right w:val="nil"/>
            </w:tcBorders>
            <w:shd w:val="clear" w:color="auto" w:fill="auto"/>
            <w:noWrap/>
            <w:vAlign w:val="center"/>
            <w:hideMark/>
          </w:tcPr>
          <w:p w14:paraId="7DFD5957" w14:textId="77777777" w:rsidR="00D12264" w:rsidRPr="008933B1" w:rsidRDefault="00D12264" w:rsidP="009C1F61">
            <w:pPr>
              <w:spacing w:line="240" w:lineRule="auto"/>
              <w:jc w:val="center"/>
              <w:rPr>
                <w:rFonts w:asciiTheme="majorHAnsi" w:eastAsia="Times New Roman" w:hAnsiTheme="majorHAnsi" w:cstheme="majorHAnsi"/>
                <w:color w:val="000000"/>
              </w:rPr>
            </w:pPr>
            <w:r w:rsidRPr="008933B1">
              <w:rPr>
                <w:rFonts w:asciiTheme="majorHAnsi" w:eastAsia="Times New Roman" w:hAnsiTheme="majorHAnsi" w:cstheme="majorHAnsi"/>
                <w:color w:val="000000"/>
              </w:rPr>
              <w:t>Schulze C.</w:t>
            </w:r>
          </w:p>
        </w:tc>
        <w:tc>
          <w:tcPr>
            <w:tcW w:w="4671" w:type="dxa"/>
            <w:tcBorders>
              <w:top w:val="nil"/>
              <w:left w:val="nil"/>
              <w:bottom w:val="nil"/>
              <w:right w:val="nil"/>
            </w:tcBorders>
            <w:shd w:val="clear" w:color="auto" w:fill="auto"/>
            <w:vAlign w:val="center"/>
            <w:hideMark/>
          </w:tcPr>
          <w:p w14:paraId="7B595D15"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OP-</w:t>
            </w:r>
            <w:proofErr w:type="spellStart"/>
            <w:r w:rsidRPr="008933B1">
              <w:rPr>
                <w:rFonts w:asciiTheme="majorHAnsi" w:eastAsia="Times New Roman" w:hAnsiTheme="majorHAnsi" w:cstheme="majorHAnsi"/>
                <w:color w:val="000000"/>
                <w:sz w:val="18"/>
              </w:rPr>
              <w:t>Zeit</w:t>
            </w:r>
            <w:proofErr w:type="spellEnd"/>
            <w:r w:rsidRPr="008933B1">
              <w:rPr>
                <w:rFonts w:asciiTheme="majorHAnsi" w:eastAsia="Times New Roman" w:hAnsiTheme="majorHAnsi" w:cstheme="majorHAnsi"/>
                <w:color w:val="000000"/>
                <w:sz w:val="18"/>
              </w:rPr>
              <w:t xml:space="preserve">, </w:t>
            </w:r>
            <w:proofErr w:type="spellStart"/>
            <w:r w:rsidRPr="008933B1">
              <w:rPr>
                <w:rFonts w:asciiTheme="majorHAnsi" w:eastAsia="Times New Roman" w:hAnsiTheme="majorHAnsi" w:cstheme="majorHAnsi"/>
                <w:color w:val="000000"/>
                <w:sz w:val="18"/>
              </w:rPr>
              <w:t>Ergebnis</w:t>
            </w:r>
            <w:proofErr w:type="spellEnd"/>
            <w:r w:rsidRPr="008933B1">
              <w:rPr>
                <w:rFonts w:asciiTheme="majorHAnsi" w:eastAsia="Times New Roman" w:hAnsiTheme="majorHAnsi" w:cstheme="majorHAnsi"/>
                <w:color w:val="000000"/>
                <w:sz w:val="18"/>
              </w:rPr>
              <w:t xml:space="preserve"> und </w:t>
            </w:r>
            <w:proofErr w:type="spellStart"/>
            <w:r w:rsidRPr="008933B1">
              <w:rPr>
                <w:rFonts w:asciiTheme="majorHAnsi" w:eastAsia="Times New Roman" w:hAnsiTheme="majorHAnsi" w:cstheme="majorHAnsi"/>
                <w:color w:val="000000"/>
                <w:sz w:val="18"/>
              </w:rPr>
              <w:t>Ausbildungsstand</w:t>
            </w:r>
            <w:proofErr w:type="spellEnd"/>
            <w:r w:rsidRPr="008933B1">
              <w:rPr>
                <w:rFonts w:asciiTheme="majorHAnsi" w:eastAsia="Times New Roman" w:hAnsiTheme="majorHAnsi" w:cstheme="majorHAnsi"/>
                <w:color w:val="000000"/>
                <w:sz w:val="18"/>
              </w:rPr>
              <w:t xml:space="preserve"> des </w:t>
            </w:r>
            <w:proofErr w:type="spellStart"/>
            <w:r w:rsidRPr="008933B1">
              <w:rPr>
                <w:rFonts w:asciiTheme="majorHAnsi" w:eastAsia="Times New Roman" w:hAnsiTheme="majorHAnsi" w:cstheme="majorHAnsi"/>
                <w:color w:val="000000"/>
                <w:sz w:val="18"/>
              </w:rPr>
              <w:t>Chirurgen</w:t>
            </w:r>
            <w:proofErr w:type="spellEnd"/>
            <w:r w:rsidRPr="008933B1">
              <w:rPr>
                <w:rFonts w:asciiTheme="majorHAnsi" w:eastAsia="Times New Roman" w:hAnsiTheme="majorHAnsi" w:cstheme="majorHAnsi"/>
                <w:color w:val="000000"/>
                <w:sz w:val="18"/>
              </w:rPr>
              <w:t xml:space="preserve"> – der </w:t>
            </w:r>
            <w:proofErr w:type="spellStart"/>
            <w:r w:rsidRPr="008933B1">
              <w:rPr>
                <w:rFonts w:asciiTheme="majorHAnsi" w:eastAsia="Times New Roman" w:hAnsiTheme="majorHAnsi" w:cstheme="majorHAnsi"/>
                <w:color w:val="000000"/>
                <w:sz w:val="18"/>
              </w:rPr>
              <w:t>Einsatz</w:t>
            </w:r>
            <w:proofErr w:type="spellEnd"/>
            <w:r w:rsidRPr="008933B1">
              <w:rPr>
                <w:rFonts w:asciiTheme="majorHAnsi" w:eastAsia="Times New Roman" w:hAnsiTheme="majorHAnsi" w:cstheme="majorHAnsi"/>
                <w:color w:val="000000"/>
                <w:sz w:val="18"/>
              </w:rPr>
              <w:t xml:space="preserve"> </w:t>
            </w:r>
            <w:proofErr w:type="spellStart"/>
            <w:r w:rsidRPr="008933B1">
              <w:rPr>
                <w:rFonts w:asciiTheme="majorHAnsi" w:eastAsia="Times New Roman" w:hAnsiTheme="majorHAnsi" w:cstheme="majorHAnsi"/>
                <w:color w:val="000000"/>
                <w:sz w:val="18"/>
              </w:rPr>
              <w:t>patientenindividueller</w:t>
            </w:r>
            <w:proofErr w:type="spellEnd"/>
            <w:r w:rsidRPr="008933B1">
              <w:rPr>
                <w:rFonts w:asciiTheme="majorHAnsi" w:eastAsia="Times New Roman" w:hAnsiTheme="majorHAnsi" w:cstheme="majorHAnsi"/>
                <w:color w:val="000000"/>
                <w:sz w:val="18"/>
              </w:rPr>
              <w:t xml:space="preserve"> </w:t>
            </w:r>
            <w:proofErr w:type="spellStart"/>
            <w:r w:rsidRPr="008933B1">
              <w:rPr>
                <w:rFonts w:asciiTheme="majorHAnsi" w:eastAsia="Times New Roman" w:hAnsiTheme="majorHAnsi" w:cstheme="majorHAnsi"/>
                <w:color w:val="000000"/>
                <w:sz w:val="18"/>
              </w:rPr>
              <w:t>Instrumente</w:t>
            </w:r>
            <w:proofErr w:type="spellEnd"/>
            <w:r w:rsidRPr="008933B1">
              <w:rPr>
                <w:rFonts w:asciiTheme="majorHAnsi" w:eastAsia="Times New Roman" w:hAnsiTheme="majorHAnsi" w:cstheme="majorHAnsi"/>
                <w:color w:val="000000"/>
                <w:sz w:val="18"/>
              </w:rPr>
              <w:t xml:space="preserve"> </w:t>
            </w:r>
            <w:proofErr w:type="spellStart"/>
            <w:r w:rsidRPr="008933B1">
              <w:rPr>
                <w:rFonts w:asciiTheme="majorHAnsi" w:eastAsia="Times New Roman" w:hAnsiTheme="majorHAnsi" w:cstheme="majorHAnsi"/>
                <w:color w:val="000000"/>
                <w:sz w:val="18"/>
              </w:rPr>
              <w:t>bei</w:t>
            </w:r>
            <w:proofErr w:type="spellEnd"/>
            <w:r w:rsidRPr="008933B1">
              <w:rPr>
                <w:rFonts w:asciiTheme="majorHAnsi" w:eastAsia="Times New Roman" w:hAnsiTheme="majorHAnsi" w:cstheme="majorHAnsi"/>
                <w:color w:val="000000"/>
                <w:sz w:val="18"/>
              </w:rPr>
              <w:t xml:space="preserve"> der Implantation von </w:t>
            </w:r>
            <w:proofErr w:type="spellStart"/>
            <w:r w:rsidRPr="008933B1">
              <w:rPr>
                <w:rFonts w:asciiTheme="majorHAnsi" w:eastAsia="Times New Roman" w:hAnsiTheme="majorHAnsi" w:cstheme="majorHAnsi"/>
                <w:color w:val="000000"/>
                <w:sz w:val="18"/>
              </w:rPr>
              <w:t>Kniegelenkendoprothesen</w:t>
            </w:r>
            <w:proofErr w:type="spellEnd"/>
          </w:p>
        </w:tc>
        <w:tc>
          <w:tcPr>
            <w:tcW w:w="6559" w:type="dxa"/>
            <w:tcBorders>
              <w:top w:val="nil"/>
              <w:left w:val="nil"/>
              <w:bottom w:val="nil"/>
              <w:right w:val="nil"/>
            </w:tcBorders>
            <w:shd w:val="clear" w:color="auto" w:fill="auto"/>
            <w:vAlign w:val="center"/>
            <w:hideMark/>
          </w:tcPr>
          <w:p w14:paraId="2E54F6ED"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no English</w:t>
            </w:r>
          </w:p>
        </w:tc>
      </w:tr>
      <w:tr w:rsidR="00D12264" w:rsidRPr="008933B1" w14:paraId="1CEC8D77" w14:textId="77777777" w:rsidTr="009C1F61">
        <w:trPr>
          <w:trHeight w:val="800"/>
        </w:trPr>
        <w:tc>
          <w:tcPr>
            <w:tcW w:w="1230" w:type="dxa"/>
            <w:tcBorders>
              <w:top w:val="nil"/>
              <w:left w:val="nil"/>
              <w:bottom w:val="nil"/>
              <w:right w:val="nil"/>
            </w:tcBorders>
            <w:shd w:val="clear" w:color="auto" w:fill="auto"/>
            <w:noWrap/>
            <w:vAlign w:val="center"/>
            <w:hideMark/>
          </w:tcPr>
          <w:p w14:paraId="4A79DF2D" w14:textId="77777777" w:rsidR="00D12264" w:rsidRPr="008933B1" w:rsidRDefault="00D12264" w:rsidP="009C1F61">
            <w:pPr>
              <w:spacing w:line="240" w:lineRule="auto"/>
              <w:jc w:val="center"/>
              <w:rPr>
                <w:rFonts w:asciiTheme="majorHAnsi" w:eastAsia="Times New Roman" w:hAnsiTheme="majorHAnsi" w:cstheme="majorHAnsi"/>
                <w:color w:val="000000"/>
              </w:rPr>
            </w:pPr>
            <w:r w:rsidRPr="008933B1">
              <w:rPr>
                <w:rFonts w:asciiTheme="majorHAnsi" w:eastAsia="Times New Roman" w:hAnsiTheme="majorHAnsi" w:cstheme="majorHAnsi"/>
                <w:color w:val="000000"/>
              </w:rPr>
              <w:t>Sanz-</w:t>
            </w:r>
            <w:proofErr w:type="spellStart"/>
            <w:r w:rsidRPr="008933B1">
              <w:rPr>
                <w:rFonts w:asciiTheme="majorHAnsi" w:eastAsia="Times New Roman" w:hAnsiTheme="majorHAnsi" w:cstheme="majorHAnsi"/>
                <w:color w:val="000000"/>
              </w:rPr>
              <w:t>ruiz</w:t>
            </w:r>
            <w:proofErr w:type="spellEnd"/>
            <w:r w:rsidRPr="008933B1">
              <w:rPr>
                <w:rFonts w:asciiTheme="majorHAnsi" w:eastAsia="Times New Roman" w:hAnsiTheme="majorHAnsi" w:cstheme="majorHAnsi"/>
                <w:color w:val="000000"/>
              </w:rPr>
              <w:t xml:space="preserve"> P.</w:t>
            </w:r>
          </w:p>
        </w:tc>
        <w:tc>
          <w:tcPr>
            <w:tcW w:w="4671" w:type="dxa"/>
            <w:tcBorders>
              <w:top w:val="nil"/>
              <w:left w:val="nil"/>
              <w:bottom w:val="nil"/>
              <w:right w:val="nil"/>
            </w:tcBorders>
            <w:shd w:val="clear" w:color="auto" w:fill="auto"/>
            <w:vAlign w:val="center"/>
            <w:hideMark/>
          </w:tcPr>
          <w:p w14:paraId="40738D8D"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proofErr w:type="spellStart"/>
            <w:r w:rsidRPr="008933B1">
              <w:rPr>
                <w:rFonts w:asciiTheme="majorHAnsi" w:eastAsia="Times New Roman" w:hAnsiTheme="majorHAnsi" w:cstheme="majorHAnsi"/>
                <w:color w:val="000000"/>
                <w:sz w:val="18"/>
              </w:rPr>
              <w:t>Moldes</w:t>
            </w:r>
            <w:proofErr w:type="spellEnd"/>
            <w:r w:rsidRPr="008933B1">
              <w:rPr>
                <w:rFonts w:asciiTheme="majorHAnsi" w:eastAsia="Times New Roman" w:hAnsiTheme="majorHAnsi" w:cstheme="majorHAnsi"/>
                <w:color w:val="000000"/>
                <w:sz w:val="18"/>
              </w:rPr>
              <w:t xml:space="preserve"> </w:t>
            </w:r>
            <w:proofErr w:type="spellStart"/>
            <w:r w:rsidRPr="008933B1">
              <w:rPr>
                <w:rFonts w:asciiTheme="majorHAnsi" w:eastAsia="Times New Roman" w:hAnsiTheme="majorHAnsi" w:cstheme="majorHAnsi"/>
                <w:color w:val="000000"/>
                <w:sz w:val="18"/>
              </w:rPr>
              <w:t>individualizados</w:t>
            </w:r>
            <w:proofErr w:type="spellEnd"/>
            <w:r w:rsidRPr="008933B1">
              <w:rPr>
                <w:rFonts w:asciiTheme="majorHAnsi" w:eastAsia="Times New Roman" w:hAnsiTheme="majorHAnsi" w:cstheme="majorHAnsi"/>
                <w:color w:val="000000"/>
                <w:sz w:val="18"/>
              </w:rPr>
              <w:t xml:space="preserve"> para </w:t>
            </w:r>
            <w:proofErr w:type="spellStart"/>
            <w:r w:rsidRPr="008933B1">
              <w:rPr>
                <w:rFonts w:asciiTheme="majorHAnsi" w:eastAsia="Times New Roman" w:hAnsiTheme="majorHAnsi" w:cstheme="majorHAnsi"/>
                <w:color w:val="000000"/>
                <w:sz w:val="18"/>
              </w:rPr>
              <w:t>alineación</w:t>
            </w:r>
            <w:proofErr w:type="spellEnd"/>
            <w:r w:rsidRPr="008933B1">
              <w:rPr>
                <w:rFonts w:asciiTheme="majorHAnsi" w:eastAsia="Times New Roman" w:hAnsiTheme="majorHAnsi" w:cstheme="majorHAnsi"/>
                <w:color w:val="000000"/>
                <w:sz w:val="18"/>
              </w:rPr>
              <w:t xml:space="preserve"> de la </w:t>
            </w:r>
            <w:proofErr w:type="spellStart"/>
            <w:r w:rsidRPr="008933B1">
              <w:rPr>
                <w:rFonts w:asciiTheme="majorHAnsi" w:eastAsia="Times New Roman" w:hAnsiTheme="majorHAnsi" w:cstheme="majorHAnsi"/>
                <w:color w:val="000000"/>
                <w:sz w:val="18"/>
              </w:rPr>
              <w:t>artroplastía</w:t>
            </w:r>
            <w:proofErr w:type="spellEnd"/>
            <w:r w:rsidRPr="008933B1">
              <w:rPr>
                <w:rFonts w:asciiTheme="majorHAnsi" w:eastAsia="Times New Roman" w:hAnsiTheme="majorHAnsi" w:cstheme="majorHAnsi"/>
                <w:color w:val="000000"/>
                <w:sz w:val="18"/>
              </w:rPr>
              <w:t xml:space="preserve"> </w:t>
            </w:r>
            <w:proofErr w:type="spellStart"/>
            <w:r w:rsidRPr="008933B1">
              <w:rPr>
                <w:rFonts w:asciiTheme="majorHAnsi" w:eastAsia="Times New Roman" w:hAnsiTheme="majorHAnsi" w:cstheme="majorHAnsi"/>
                <w:color w:val="000000"/>
                <w:sz w:val="18"/>
              </w:rPr>
              <w:t>primaria</w:t>
            </w:r>
            <w:proofErr w:type="spellEnd"/>
            <w:r w:rsidRPr="008933B1">
              <w:rPr>
                <w:rFonts w:asciiTheme="majorHAnsi" w:eastAsia="Times New Roman" w:hAnsiTheme="majorHAnsi" w:cstheme="majorHAnsi"/>
                <w:color w:val="000000"/>
                <w:sz w:val="18"/>
              </w:rPr>
              <w:t xml:space="preserve"> de </w:t>
            </w:r>
            <w:proofErr w:type="spellStart"/>
            <w:r w:rsidRPr="008933B1">
              <w:rPr>
                <w:rFonts w:asciiTheme="majorHAnsi" w:eastAsia="Times New Roman" w:hAnsiTheme="majorHAnsi" w:cstheme="majorHAnsi"/>
                <w:color w:val="000000"/>
                <w:sz w:val="18"/>
              </w:rPr>
              <w:t>rodilla</w:t>
            </w:r>
            <w:proofErr w:type="spellEnd"/>
          </w:p>
        </w:tc>
        <w:tc>
          <w:tcPr>
            <w:tcW w:w="6559" w:type="dxa"/>
            <w:tcBorders>
              <w:top w:val="nil"/>
              <w:left w:val="nil"/>
              <w:bottom w:val="nil"/>
              <w:right w:val="nil"/>
            </w:tcBorders>
            <w:shd w:val="clear" w:color="auto" w:fill="auto"/>
            <w:vAlign w:val="center"/>
            <w:hideMark/>
          </w:tcPr>
          <w:p w14:paraId="2C0A29A6"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no English</w:t>
            </w:r>
          </w:p>
        </w:tc>
      </w:tr>
      <w:tr w:rsidR="00D12264" w:rsidRPr="008933B1" w14:paraId="446393D2" w14:textId="77777777" w:rsidTr="009C1F61">
        <w:trPr>
          <w:trHeight w:val="800"/>
        </w:trPr>
        <w:tc>
          <w:tcPr>
            <w:tcW w:w="1230" w:type="dxa"/>
            <w:tcBorders>
              <w:top w:val="nil"/>
              <w:left w:val="nil"/>
              <w:bottom w:val="single" w:sz="4" w:space="0" w:color="auto"/>
              <w:right w:val="nil"/>
            </w:tcBorders>
            <w:shd w:val="clear" w:color="auto" w:fill="auto"/>
            <w:noWrap/>
            <w:vAlign w:val="center"/>
            <w:hideMark/>
          </w:tcPr>
          <w:p w14:paraId="39FBBEA3" w14:textId="77777777" w:rsidR="00D12264" w:rsidRPr="008933B1" w:rsidRDefault="00D12264" w:rsidP="009C1F61">
            <w:pPr>
              <w:spacing w:line="240" w:lineRule="auto"/>
              <w:jc w:val="center"/>
              <w:rPr>
                <w:rFonts w:asciiTheme="majorHAnsi" w:eastAsia="Times New Roman" w:hAnsiTheme="majorHAnsi" w:cstheme="majorHAnsi"/>
                <w:color w:val="000000"/>
              </w:rPr>
            </w:pPr>
            <w:r w:rsidRPr="008933B1">
              <w:rPr>
                <w:rFonts w:asciiTheme="majorHAnsi" w:eastAsia="Times New Roman" w:hAnsiTheme="majorHAnsi" w:cstheme="majorHAnsi"/>
                <w:color w:val="000000"/>
              </w:rPr>
              <w:t>Koster G.</w:t>
            </w:r>
          </w:p>
        </w:tc>
        <w:tc>
          <w:tcPr>
            <w:tcW w:w="4671" w:type="dxa"/>
            <w:tcBorders>
              <w:top w:val="nil"/>
              <w:left w:val="nil"/>
              <w:bottom w:val="single" w:sz="4" w:space="0" w:color="auto"/>
              <w:right w:val="nil"/>
            </w:tcBorders>
            <w:shd w:val="clear" w:color="auto" w:fill="auto"/>
            <w:vAlign w:val="center"/>
            <w:hideMark/>
          </w:tcPr>
          <w:p w14:paraId="09CD33BB"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proofErr w:type="spellStart"/>
            <w:r w:rsidRPr="008933B1">
              <w:rPr>
                <w:rFonts w:asciiTheme="majorHAnsi" w:eastAsia="Times New Roman" w:hAnsiTheme="majorHAnsi" w:cstheme="majorHAnsi"/>
                <w:color w:val="000000"/>
                <w:sz w:val="18"/>
              </w:rPr>
              <w:t>Uni</w:t>
            </w:r>
            <w:proofErr w:type="spellEnd"/>
            <w:r w:rsidRPr="008933B1">
              <w:rPr>
                <w:rFonts w:asciiTheme="majorHAnsi" w:eastAsia="Times New Roman" w:hAnsiTheme="majorHAnsi" w:cstheme="majorHAnsi"/>
                <w:color w:val="000000"/>
                <w:sz w:val="18"/>
              </w:rPr>
              <w:t xml:space="preserve">- und </w:t>
            </w:r>
            <w:proofErr w:type="spellStart"/>
            <w:r w:rsidRPr="008933B1">
              <w:rPr>
                <w:rFonts w:asciiTheme="majorHAnsi" w:eastAsia="Times New Roman" w:hAnsiTheme="majorHAnsi" w:cstheme="majorHAnsi"/>
                <w:color w:val="000000"/>
                <w:sz w:val="18"/>
              </w:rPr>
              <w:t>bikondylärer</w:t>
            </w:r>
            <w:proofErr w:type="spellEnd"/>
            <w:r w:rsidRPr="008933B1">
              <w:rPr>
                <w:rFonts w:asciiTheme="majorHAnsi" w:eastAsia="Times New Roman" w:hAnsiTheme="majorHAnsi" w:cstheme="majorHAnsi"/>
                <w:color w:val="000000"/>
                <w:sz w:val="18"/>
              </w:rPr>
              <w:t xml:space="preserve"> </w:t>
            </w:r>
            <w:proofErr w:type="spellStart"/>
            <w:r w:rsidRPr="008933B1">
              <w:rPr>
                <w:rFonts w:asciiTheme="majorHAnsi" w:eastAsia="Times New Roman" w:hAnsiTheme="majorHAnsi" w:cstheme="majorHAnsi"/>
                <w:color w:val="000000"/>
                <w:sz w:val="18"/>
              </w:rPr>
              <w:t>Oberflächenersatz</w:t>
            </w:r>
            <w:proofErr w:type="spellEnd"/>
          </w:p>
        </w:tc>
        <w:tc>
          <w:tcPr>
            <w:tcW w:w="6559" w:type="dxa"/>
            <w:tcBorders>
              <w:top w:val="nil"/>
              <w:left w:val="nil"/>
              <w:bottom w:val="single" w:sz="4" w:space="0" w:color="auto"/>
              <w:right w:val="nil"/>
            </w:tcBorders>
            <w:shd w:val="clear" w:color="auto" w:fill="auto"/>
            <w:vAlign w:val="center"/>
            <w:hideMark/>
          </w:tcPr>
          <w:p w14:paraId="20464F79" w14:textId="77777777" w:rsidR="00D12264" w:rsidRPr="008933B1" w:rsidRDefault="00D12264" w:rsidP="009C1F61">
            <w:pPr>
              <w:spacing w:line="240" w:lineRule="auto"/>
              <w:jc w:val="center"/>
              <w:rPr>
                <w:rFonts w:asciiTheme="majorHAnsi" w:eastAsia="Times New Roman" w:hAnsiTheme="majorHAnsi" w:cstheme="majorHAnsi"/>
                <w:color w:val="000000"/>
                <w:sz w:val="18"/>
              </w:rPr>
            </w:pPr>
            <w:r w:rsidRPr="008933B1">
              <w:rPr>
                <w:rFonts w:asciiTheme="majorHAnsi" w:eastAsia="Times New Roman" w:hAnsiTheme="majorHAnsi" w:cstheme="majorHAnsi"/>
                <w:color w:val="000000"/>
                <w:sz w:val="18"/>
              </w:rPr>
              <w:t>no English</w:t>
            </w:r>
          </w:p>
        </w:tc>
      </w:tr>
    </w:tbl>
    <w:p w14:paraId="3B2AC857" w14:textId="77777777" w:rsidR="00D12264" w:rsidRDefault="00D12264" w:rsidP="00D12264">
      <w:pPr>
        <w:spacing w:line="480" w:lineRule="auto"/>
        <w:rPr>
          <w:sz w:val="24"/>
          <w:szCs w:val="24"/>
        </w:rPr>
      </w:pPr>
    </w:p>
    <w:p w14:paraId="73547E67" w14:textId="77777777" w:rsidR="00D12264" w:rsidRPr="001E456B" w:rsidRDefault="00D12264" w:rsidP="00D12264">
      <w:pPr>
        <w:spacing w:line="480" w:lineRule="auto"/>
        <w:rPr>
          <w:sz w:val="24"/>
          <w:szCs w:val="24"/>
        </w:rPr>
      </w:pPr>
    </w:p>
    <w:p w14:paraId="0B823C98" w14:textId="77777777" w:rsidR="00D12264" w:rsidRPr="003571EB" w:rsidRDefault="00D12264" w:rsidP="00D12264">
      <w:pPr>
        <w:spacing w:line="480" w:lineRule="auto"/>
        <w:rPr>
          <w:b/>
          <w:sz w:val="24"/>
          <w:szCs w:val="24"/>
        </w:rPr>
      </w:pPr>
      <w:r w:rsidRPr="003571EB">
        <w:rPr>
          <w:b/>
          <w:sz w:val="24"/>
          <w:szCs w:val="24"/>
        </w:rPr>
        <w:lastRenderedPageBreak/>
        <w:t xml:space="preserve">Appendix </w:t>
      </w:r>
      <w:r>
        <w:rPr>
          <w:b/>
          <w:sz w:val="24"/>
          <w:szCs w:val="24"/>
        </w:rPr>
        <w:t>D</w:t>
      </w:r>
      <w:r w:rsidRPr="003571EB">
        <w:rPr>
          <w:b/>
          <w:sz w:val="24"/>
          <w:szCs w:val="24"/>
        </w:rPr>
        <w:t xml:space="preserve">: Unpublished ongoing studies </w:t>
      </w:r>
    </w:p>
    <w:tbl>
      <w:tblPr>
        <w:tblW w:w="13040" w:type="dxa"/>
        <w:tblLook w:val="04A0" w:firstRow="1" w:lastRow="0" w:firstColumn="1" w:lastColumn="0" w:noHBand="0" w:noVBand="1"/>
      </w:tblPr>
      <w:tblGrid>
        <w:gridCol w:w="1800"/>
        <w:gridCol w:w="1900"/>
        <w:gridCol w:w="9340"/>
      </w:tblGrid>
      <w:tr w:rsidR="00D12264" w:rsidRPr="00D81242" w14:paraId="3D034BD3" w14:textId="77777777" w:rsidTr="009C1F61">
        <w:trPr>
          <w:trHeight w:val="600"/>
        </w:trPr>
        <w:tc>
          <w:tcPr>
            <w:tcW w:w="1800" w:type="dxa"/>
            <w:tcBorders>
              <w:top w:val="nil"/>
              <w:left w:val="nil"/>
              <w:bottom w:val="single" w:sz="4" w:space="0" w:color="auto"/>
              <w:right w:val="nil"/>
            </w:tcBorders>
            <w:shd w:val="clear" w:color="auto" w:fill="auto"/>
            <w:vAlign w:val="center"/>
            <w:hideMark/>
          </w:tcPr>
          <w:p w14:paraId="1E5B3A69"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Author</w:t>
            </w:r>
          </w:p>
        </w:tc>
        <w:tc>
          <w:tcPr>
            <w:tcW w:w="1900" w:type="dxa"/>
            <w:tcBorders>
              <w:top w:val="nil"/>
              <w:left w:val="nil"/>
              <w:bottom w:val="single" w:sz="4" w:space="0" w:color="auto"/>
              <w:right w:val="nil"/>
            </w:tcBorders>
            <w:shd w:val="clear" w:color="auto" w:fill="auto"/>
            <w:vAlign w:val="center"/>
            <w:hideMark/>
          </w:tcPr>
          <w:p w14:paraId="2CDC818C"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Insti</w:t>
            </w:r>
            <w:r>
              <w:rPr>
                <w:rFonts w:ascii="Calibri Light" w:eastAsia="Times New Roman" w:hAnsi="Calibri Light" w:cs="Calibri Light"/>
                <w:color w:val="000000"/>
                <w:sz w:val="20"/>
                <w:szCs w:val="20"/>
              </w:rPr>
              <w:t>t</w:t>
            </w:r>
            <w:r w:rsidRPr="00D81242">
              <w:rPr>
                <w:rFonts w:ascii="Calibri Light" w:eastAsia="Times New Roman" w:hAnsi="Calibri Light" w:cs="Calibri Light"/>
                <w:color w:val="000000"/>
                <w:sz w:val="20"/>
                <w:szCs w:val="20"/>
              </w:rPr>
              <w:t>ution</w:t>
            </w:r>
          </w:p>
        </w:tc>
        <w:tc>
          <w:tcPr>
            <w:tcW w:w="9340" w:type="dxa"/>
            <w:tcBorders>
              <w:top w:val="nil"/>
              <w:left w:val="nil"/>
              <w:bottom w:val="single" w:sz="4" w:space="0" w:color="auto"/>
              <w:right w:val="nil"/>
            </w:tcBorders>
            <w:shd w:val="clear" w:color="auto" w:fill="auto"/>
            <w:vAlign w:val="center"/>
            <w:hideMark/>
          </w:tcPr>
          <w:p w14:paraId="2262A291"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Protocol title</w:t>
            </w:r>
          </w:p>
        </w:tc>
      </w:tr>
      <w:tr w:rsidR="00D12264" w:rsidRPr="00D81242" w14:paraId="4733209E" w14:textId="77777777" w:rsidTr="009C1F61">
        <w:trPr>
          <w:trHeight w:val="600"/>
        </w:trPr>
        <w:tc>
          <w:tcPr>
            <w:tcW w:w="1800" w:type="dxa"/>
            <w:tcBorders>
              <w:top w:val="nil"/>
              <w:left w:val="nil"/>
              <w:bottom w:val="nil"/>
              <w:right w:val="nil"/>
            </w:tcBorders>
            <w:shd w:val="clear" w:color="auto" w:fill="auto"/>
            <w:vAlign w:val="center"/>
            <w:hideMark/>
          </w:tcPr>
          <w:p w14:paraId="4280AB81"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Michael Dunbar</w:t>
            </w:r>
          </w:p>
        </w:tc>
        <w:tc>
          <w:tcPr>
            <w:tcW w:w="1900" w:type="dxa"/>
            <w:tcBorders>
              <w:top w:val="nil"/>
              <w:left w:val="nil"/>
              <w:bottom w:val="nil"/>
              <w:right w:val="nil"/>
            </w:tcBorders>
            <w:shd w:val="clear" w:color="auto" w:fill="auto"/>
            <w:vAlign w:val="center"/>
            <w:hideMark/>
          </w:tcPr>
          <w:p w14:paraId="5D404323"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Dalhousie University</w:t>
            </w:r>
          </w:p>
        </w:tc>
        <w:tc>
          <w:tcPr>
            <w:tcW w:w="9340" w:type="dxa"/>
            <w:tcBorders>
              <w:top w:val="nil"/>
              <w:left w:val="nil"/>
              <w:bottom w:val="nil"/>
              <w:right w:val="nil"/>
            </w:tcBorders>
            <w:shd w:val="clear" w:color="auto" w:fill="auto"/>
            <w:vAlign w:val="center"/>
            <w:hideMark/>
          </w:tcPr>
          <w:p w14:paraId="055C764D"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 xml:space="preserve">Application of </w:t>
            </w:r>
            <w:proofErr w:type="spellStart"/>
            <w:r w:rsidRPr="00D81242">
              <w:rPr>
                <w:rFonts w:ascii="Calibri Light" w:eastAsia="Times New Roman" w:hAnsi="Calibri Light" w:cs="Calibri Light"/>
                <w:color w:val="000000"/>
                <w:sz w:val="20"/>
                <w:szCs w:val="20"/>
              </w:rPr>
              <w:t>Radiostereometric</w:t>
            </w:r>
            <w:proofErr w:type="spellEnd"/>
            <w:r w:rsidRPr="00D81242">
              <w:rPr>
                <w:rFonts w:ascii="Calibri Light" w:eastAsia="Times New Roman" w:hAnsi="Calibri Light" w:cs="Calibri Light"/>
                <w:color w:val="000000"/>
                <w:sz w:val="20"/>
                <w:szCs w:val="20"/>
              </w:rPr>
              <w:t xml:space="preserve"> Analysis (RSA) to Triathlon Knee Components Inserted Using the </w:t>
            </w:r>
            <w:proofErr w:type="spellStart"/>
            <w:r w:rsidRPr="00D81242">
              <w:rPr>
                <w:rFonts w:ascii="Calibri Light" w:eastAsia="Times New Roman" w:hAnsi="Calibri Light" w:cs="Calibri Light"/>
                <w:color w:val="000000"/>
                <w:sz w:val="20"/>
                <w:szCs w:val="20"/>
              </w:rPr>
              <w:t>OtisMed</w:t>
            </w:r>
            <w:proofErr w:type="spellEnd"/>
            <w:r w:rsidRPr="00D81242">
              <w:rPr>
                <w:rFonts w:ascii="Calibri Light" w:eastAsia="Times New Roman" w:hAnsi="Calibri Light" w:cs="Calibri Light"/>
                <w:color w:val="000000"/>
                <w:sz w:val="20"/>
                <w:szCs w:val="20"/>
              </w:rPr>
              <w:t xml:space="preserve"> Custom-fit Total Knee Replacement System</w:t>
            </w:r>
          </w:p>
        </w:tc>
      </w:tr>
      <w:tr w:rsidR="00D12264" w:rsidRPr="00D81242" w14:paraId="0A530920" w14:textId="77777777" w:rsidTr="009C1F61">
        <w:trPr>
          <w:trHeight w:val="600"/>
        </w:trPr>
        <w:tc>
          <w:tcPr>
            <w:tcW w:w="1800" w:type="dxa"/>
            <w:tcBorders>
              <w:top w:val="nil"/>
              <w:left w:val="nil"/>
              <w:bottom w:val="nil"/>
              <w:right w:val="nil"/>
            </w:tcBorders>
            <w:shd w:val="clear" w:color="auto" w:fill="auto"/>
            <w:vAlign w:val="center"/>
            <w:hideMark/>
          </w:tcPr>
          <w:p w14:paraId="0F773387"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David W. Manning</w:t>
            </w:r>
          </w:p>
        </w:tc>
        <w:tc>
          <w:tcPr>
            <w:tcW w:w="1900" w:type="dxa"/>
            <w:tcBorders>
              <w:top w:val="nil"/>
              <w:left w:val="nil"/>
              <w:bottom w:val="nil"/>
              <w:right w:val="nil"/>
            </w:tcBorders>
            <w:shd w:val="clear" w:color="auto" w:fill="auto"/>
            <w:vAlign w:val="center"/>
            <w:hideMark/>
          </w:tcPr>
          <w:p w14:paraId="6B008B9F"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Northwestern University</w:t>
            </w:r>
          </w:p>
        </w:tc>
        <w:tc>
          <w:tcPr>
            <w:tcW w:w="9340" w:type="dxa"/>
            <w:tcBorders>
              <w:top w:val="nil"/>
              <w:left w:val="nil"/>
              <w:bottom w:val="nil"/>
              <w:right w:val="nil"/>
            </w:tcBorders>
            <w:shd w:val="clear" w:color="auto" w:fill="auto"/>
            <w:vAlign w:val="center"/>
            <w:hideMark/>
          </w:tcPr>
          <w:p w14:paraId="0EF93AD7"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Total Knee Replacement Component Alignment Using Manual Versus Custom Instrumentation</w:t>
            </w:r>
          </w:p>
        </w:tc>
      </w:tr>
      <w:tr w:rsidR="00D12264" w:rsidRPr="00D81242" w14:paraId="63FDD72A" w14:textId="77777777" w:rsidTr="009C1F61">
        <w:trPr>
          <w:trHeight w:val="600"/>
        </w:trPr>
        <w:tc>
          <w:tcPr>
            <w:tcW w:w="1800" w:type="dxa"/>
            <w:tcBorders>
              <w:top w:val="nil"/>
              <w:left w:val="nil"/>
              <w:bottom w:val="nil"/>
              <w:right w:val="nil"/>
            </w:tcBorders>
            <w:shd w:val="clear" w:color="auto" w:fill="auto"/>
            <w:vAlign w:val="center"/>
            <w:hideMark/>
          </w:tcPr>
          <w:p w14:paraId="2E91BAE3"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Washington University School of Medicine</w:t>
            </w:r>
          </w:p>
        </w:tc>
        <w:tc>
          <w:tcPr>
            <w:tcW w:w="1900" w:type="dxa"/>
            <w:tcBorders>
              <w:top w:val="nil"/>
              <w:left w:val="nil"/>
              <w:bottom w:val="nil"/>
              <w:right w:val="nil"/>
            </w:tcBorders>
            <w:shd w:val="clear" w:color="auto" w:fill="auto"/>
            <w:vAlign w:val="center"/>
            <w:hideMark/>
          </w:tcPr>
          <w:p w14:paraId="27BB5B07"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Washington University School of Medicine</w:t>
            </w:r>
          </w:p>
        </w:tc>
        <w:tc>
          <w:tcPr>
            <w:tcW w:w="9340" w:type="dxa"/>
            <w:tcBorders>
              <w:top w:val="nil"/>
              <w:left w:val="nil"/>
              <w:bottom w:val="nil"/>
              <w:right w:val="nil"/>
            </w:tcBorders>
            <w:shd w:val="clear" w:color="auto" w:fill="auto"/>
            <w:vAlign w:val="center"/>
            <w:hideMark/>
          </w:tcPr>
          <w:p w14:paraId="599FD6BC"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A Randomized Prospective Trial of Total Knee Arthroplasty Options Comparing Standard Knee Cutting Guides and MRI Generated Patient Specific Custom Cutting Guides</w:t>
            </w:r>
          </w:p>
        </w:tc>
      </w:tr>
      <w:tr w:rsidR="00D12264" w:rsidRPr="00D81242" w14:paraId="4DE133FF" w14:textId="77777777" w:rsidTr="009C1F61">
        <w:trPr>
          <w:trHeight w:val="600"/>
        </w:trPr>
        <w:tc>
          <w:tcPr>
            <w:tcW w:w="1800" w:type="dxa"/>
            <w:tcBorders>
              <w:top w:val="nil"/>
              <w:left w:val="nil"/>
              <w:bottom w:val="nil"/>
              <w:right w:val="nil"/>
            </w:tcBorders>
            <w:shd w:val="clear" w:color="auto" w:fill="auto"/>
            <w:vAlign w:val="center"/>
            <w:hideMark/>
          </w:tcPr>
          <w:p w14:paraId="1C34638A"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Douglas Naudie</w:t>
            </w:r>
          </w:p>
        </w:tc>
        <w:tc>
          <w:tcPr>
            <w:tcW w:w="1900" w:type="dxa"/>
            <w:tcBorders>
              <w:top w:val="nil"/>
              <w:left w:val="nil"/>
              <w:bottom w:val="nil"/>
              <w:right w:val="nil"/>
            </w:tcBorders>
            <w:shd w:val="clear" w:color="auto" w:fill="auto"/>
            <w:vAlign w:val="center"/>
            <w:hideMark/>
          </w:tcPr>
          <w:p w14:paraId="20DB7396"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Lawson Health Research Institute</w:t>
            </w:r>
          </w:p>
        </w:tc>
        <w:tc>
          <w:tcPr>
            <w:tcW w:w="9340" w:type="dxa"/>
            <w:tcBorders>
              <w:top w:val="nil"/>
              <w:left w:val="nil"/>
              <w:bottom w:val="nil"/>
              <w:right w:val="nil"/>
            </w:tcBorders>
            <w:shd w:val="clear" w:color="auto" w:fill="auto"/>
            <w:vAlign w:val="center"/>
            <w:hideMark/>
          </w:tcPr>
          <w:p w14:paraId="1DEDFBCA"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Assessment of Conventional and Patient-specific Instrumentation in Total Knee Arthroplasty</w:t>
            </w:r>
          </w:p>
        </w:tc>
      </w:tr>
      <w:tr w:rsidR="00D12264" w:rsidRPr="00D81242" w14:paraId="0777A717" w14:textId="77777777" w:rsidTr="009C1F61">
        <w:trPr>
          <w:trHeight w:val="600"/>
        </w:trPr>
        <w:tc>
          <w:tcPr>
            <w:tcW w:w="1800" w:type="dxa"/>
            <w:tcBorders>
              <w:top w:val="nil"/>
              <w:left w:val="nil"/>
              <w:bottom w:val="nil"/>
              <w:right w:val="nil"/>
            </w:tcBorders>
            <w:shd w:val="clear" w:color="auto" w:fill="auto"/>
            <w:vAlign w:val="center"/>
            <w:hideMark/>
          </w:tcPr>
          <w:p w14:paraId="53949FA4"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 xml:space="preserve">Stephan M </w:t>
            </w:r>
            <w:proofErr w:type="spellStart"/>
            <w:r w:rsidRPr="00D81242">
              <w:rPr>
                <w:rFonts w:ascii="Calibri Light" w:eastAsia="Times New Roman" w:hAnsi="Calibri Light" w:cs="Calibri Light"/>
                <w:color w:val="000000"/>
                <w:sz w:val="20"/>
                <w:szCs w:val="20"/>
              </w:rPr>
              <w:t>Rohrl</w:t>
            </w:r>
            <w:proofErr w:type="spellEnd"/>
          </w:p>
        </w:tc>
        <w:tc>
          <w:tcPr>
            <w:tcW w:w="1900" w:type="dxa"/>
            <w:tcBorders>
              <w:top w:val="nil"/>
              <w:left w:val="nil"/>
              <w:bottom w:val="nil"/>
              <w:right w:val="nil"/>
            </w:tcBorders>
            <w:shd w:val="clear" w:color="auto" w:fill="auto"/>
            <w:vAlign w:val="center"/>
            <w:hideMark/>
          </w:tcPr>
          <w:p w14:paraId="07BD46E6"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Oslo University Hospital</w:t>
            </w:r>
          </w:p>
        </w:tc>
        <w:tc>
          <w:tcPr>
            <w:tcW w:w="9340" w:type="dxa"/>
            <w:tcBorders>
              <w:top w:val="nil"/>
              <w:left w:val="nil"/>
              <w:bottom w:val="nil"/>
              <w:right w:val="nil"/>
            </w:tcBorders>
            <w:shd w:val="clear" w:color="auto" w:fill="auto"/>
            <w:vAlign w:val="center"/>
            <w:hideMark/>
          </w:tcPr>
          <w:p w14:paraId="0355A3C0"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Patient-specific Positioning Guides (PSPG) Technique Versus Conventional Technique in Total Knee Arthroplasty</w:t>
            </w:r>
          </w:p>
        </w:tc>
      </w:tr>
      <w:tr w:rsidR="00D12264" w:rsidRPr="00D81242" w14:paraId="4C8BE108" w14:textId="77777777" w:rsidTr="009C1F61">
        <w:trPr>
          <w:trHeight w:val="600"/>
        </w:trPr>
        <w:tc>
          <w:tcPr>
            <w:tcW w:w="1800" w:type="dxa"/>
            <w:tcBorders>
              <w:top w:val="nil"/>
              <w:left w:val="nil"/>
              <w:bottom w:val="nil"/>
              <w:right w:val="nil"/>
            </w:tcBorders>
            <w:shd w:val="clear" w:color="auto" w:fill="auto"/>
            <w:vAlign w:val="center"/>
            <w:hideMark/>
          </w:tcPr>
          <w:p w14:paraId="1451C286"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Zimmer Biomet</w:t>
            </w:r>
          </w:p>
        </w:tc>
        <w:tc>
          <w:tcPr>
            <w:tcW w:w="1900" w:type="dxa"/>
            <w:tcBorders>
              <w:top w:val="nil"/>
              <w:left w:val="nil"/>
              <w:bottom w:val="nil"/>
              <w:right w:val="nil"/>
            </w:tcBorders>
            <w:shd w:val="clear" w:color="auto" w:fill="auto"/>
            <w:vAlign w:val="center"/>
            <w:hideMark/>
          </w:tcPr>
          <w:p w14:paraId="1FA045C1"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Zimmer Biomet</w:t>
            </w:r>
          </w:p>
        </w:tc>
        <w:tc>
          <w:tcPr>
            <w:tcW w:w="9340" w:type="dxa"/>
            <w:tcBorders>
              <w:top w:val="nil"/>
              <w:left w:val="nil"/>
              <w:bottom w:val="nil"/>
              <w:right w:val="nil"/>
            </w:tcBorders>
            <w:shd w:val="clear" w:color="auto" w:fill="auto"/>
            <w:vAlign w:val="center"/>
            <w:hideMark/>
          </w:tcPr>
          <w:p w14:paraId="62A0C3FE"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A Comparison Between Signature Total Knee Arthroplasty (TKA) to Conventional TKA and Computer Assisted TKA</w:t>
            </w:r>
          </w:p>
        </w:tc>
      </w:tr>
      <w:tr w:rsidR="00D12264" w:rsidRPr="00D81242" w14:paraId="4AE60591" w14:textId="77777777" w:rsidTr="009C1F61">
        <w:trPr>
          <w:trHeight w:val="600"/>
        </w:trPr>
        <w:tc>
          <w:tcPr>
            <w:tcW w:w="1800" w:type="dxa"/>
            <w:tcBorders>
              <w:top w:val="nil"/>
              <w:left w:val="nil"/>
              <w:bottom w:val="nil"/>
              <w:right w:val="nil"/>
            </w:tcBorders>
            <w:shd w:val="clear" w:color="auto" w:fill="auto"/>
            <w:vAlign w:val="center"/>
            <w:hideMark/>
          </w:tcPr>
          <w:p w14:paraId="2D44D01E"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Sheffield Teaching Hospitals NHS Foundation Trust</w:t>
            </w:r>
          </w:p>
        </w:tc>
        <w:tc>
          <w:tcPr>
            <w:tcW w:w="1900" w:type="dxa"/>
            <w:tcBorders>
              <w:top w:val="nil"/>
              <w:left w:val="nil"/>
              <w:bottom w:val="nil"/>
              <w:right w:val="nil"/>
            </w:tcBorders>
            <w:shd w:val="clear" w:color="auto" w:fill="auto"/>
            <w:vAlign w:val="center"/>
            <w:hideMark/>
          </w:tcPr>
          <w:p w14:paraId="43F0CB11"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Sheffield Teaching Hospitals NHS Foundation Trust</w:t>
            </w:r>
          </w:p>
        </w:tc>
        <w:tc>
          <w:tcPr>
            <w:tcW w:w="9340" w:type="dxa"/>
            <w:tcBorders>
              <w:top w:val="nil"/>
              <w:left w:val="nil"/>
              <w:bottom w:val="nil"/>
              <w:right w:val="nil"/>
            </w:tcBorders>
            <w:shd w:val="clear" w:color="auto" w:fill="auto"/>
            <w:vAlign w:val="center"/>
            <w:hideMark/>
          </w:tcPr>
          <w:p w14:paraId="07AB1F8C"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Patient Specific Instrumentation in TKR</w:t>
            </w:r>
          </w:p>
        </w:tc>
      </w:tr>
      <w:tr w:rsidR="00D12264" w:rsidRPr="00D81242" w14:paraId="2D8DF57C" w14:textId="77777777" w:rsidTr="009C1F61">
        <w:trPr>
          <w:trHeight w:val="600"/>
        </w:trPr>
        <w:tc>
          <w:tcPr>
            <w:tcW w:w="1800" w:type="dxa"/>
            <w:tcBorders>
              <w:top w:val="nil"/>
              <w:left w:val="nil"/>
              <w:bottom w:val="nil"/>
              <w:right w:val="nil"/>
            </w:tcBorders>
            <w:shd w:val="clear" w:color="auto" w:fill="auto"/>
            <w:vAlign w:val="center"/>
            <w:hideMark/>
          </w:tcPr>
          <w:p w14:paraId="75705EFE"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Yong In</w:t>
            </w:r>
          </w:p>
        </w:tc>
        <w:tc>
          <w:tcPr>
            <w:tcW w:w="1900" w:type="dxa"/>
            <w:tcBorders>
              <w:top w:val="nil"/>
              <w:left w:val="nil"/>
              <w:bottom w:val="nil"/>
              <w:right w:val="nil"/>
            </w:tcBorders>
            <w:shd w:val="clear" w:color="auto" w:fill="auto"/>
            <w:vAlign w:val="center"/>
            <w:hideMark/>
          </w:tcPr>
          <w:p w14:paraId="72F935E0"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The Catholic University of Korea</w:t>
            </w:r>
          </w:p>
        </w:tc>
        <w:tc>
          <w:tcPr>
            <w:tcW w:w="9340" w:type="dxa"/>
            <w:tcBorders>
              <w:top w:val="nil"/>
              <w:left w:val="nil"/>
              <w:bottom w:val="nil"/>
              <w:right w:val="nil"/>
            </w:tcBorders>
            <w:shd w:val="clear" w:color="auto" w:fill="auto"/>
            <w:vAlign w:val="center"/>
            <w:hideMark/>
          </w:tcPr>
          <w:p w14:paraId="5D94B91A"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Conventional Versus Patient-specific Instruments in Total Knee Arthroplasty</w:t>
            </w:r>
          </w:p>
        </w:tc>
      </w:tr>
      <w:tr w:rsidR="00D12264" w:rsidRPr="00D81242" w14:paraId="5E2F9333" w14:textId="77777777" w:rsidTr="009C1F61">
        <w:trPr>
          <w:trHeight w:val="600"/>
        </w:trPr>
        <w:tc>
          <w:tcPr>
            <w:tcW w:w="1800" w:type="dxa"/>
            <w:tcBorders>
              <w:top w:val="nil"/>
              <w:left w:val="nil"/>
              <w:bottom w:val="nil"/>
              <w:right w:val="nil"/>
            </w:tcBorders>
            <w:shd w:val="clear" w:color="auto" w:fill="auto"/>
            <w:vAlign w:val="center"/>
            <w:hideMark/>
          </w:tcPr>
          <w:p w14:paraId="3A0F641F"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Andrew Price</w:t>
            </w:r>
          </w:p>
        </w:tc>
        <w:tc>
          <w:tcPr>
            <w:tcW w:w="1900" w:type="dxa"/>
            <w:tcBorders>
              <w:top w:val="nil"/>
              <w:left w:val="nil"/>
              <w:bottom w:val="nil"/>
              <w:right w:val="nil"/>
            </w:tcBorders>
            <w:shd w:val="clear" w:color="auto" w:fill="auto"/>
            <w:vAlign w:val="center"/>
            <w:hideMark/>
          </w:tcPr>
          <w:p w14:paraId="7B80DD70"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Oxford University Hospitals NHS Trust</w:t>
            </w:r>
          </w:p>
        </w:tc>
        <w:tc>
          <w:tcPr>
            <w:tcW w:w="9340" w:type="dxa"/>
            <w:tcBorders>
              <w:top w:val="nil"/>
              <w:left w:val="nil"/>
              <w:bottom w:val="nil"/>
              <w:right w:val="nil"/>
            </w:tcBorders>
            <w:shd w:val="clear" w:color="auto" w:fill="auto"/>
            <w:vAlign w:val="center"/>
            <w:hideMark/>
          </w:tcPr>
          <w:p w14:paraId="19BC0C46" w14:textId="77777777" w:rsidR="00D12264" w:rsidRPr="00D81242" w:rsidRDefault="00D12264" w:rsidP="009C1F61">
            <w:pPr>
              <w:spacing w:line="240" w:lineRule="auto"/>
              <w:rPr>
                <w:rFonts w:ascii="Calibri Light" w:eastAsia="Times New Roman" w:hAnsi="Calibri Light" w:cs="Calibri Light"/>
                <w:sz w:val="20"/>
                <w:szCs w:val="20"/>
              </w:rPr>
            </w:pPr>
            <w:r w:rsidRPr="00D81242">
              <w:rPr>
                <w:rFonts w:ascii="Calibri Light" w:eastAsia="Times New Roman" w:hAnsi="Calibri Light" w:cs="Calibri Light"/>
                <w:sz w:val="20"/>
                <w:szCs w:val="20"/>
              </w:rPr>
              <w:t xml:space="preserve">The Assessment of Patient Specific Instrumentation for </w:t>
            </w:r>
            <w:proofErr w:type="spellStart"/>
            <w:r w:rsidRPr="00D81242">
              <w:rPr>
                <w:rFonts w:ascii="Calibri Light" w:eastAsia="Times New Roman" w:hAnsi="Calibri Light" w:cs="Calibri Light"/>
                <w:sz w:val="20"/>
                <w:szCs w:val="20"/>
              </w:rPr>
              <w:t>Unicompartmental</w:t>
            </w:r>
            <w:proofErr w:type="spellEnd"/>
            <w:r w:rsidRPr="00D81242">
              <w:rPr>
                <w:rFonts w:ascii="Calibri Light" w:eastAsia="Times New Roman" w:hAnsi="Calibri Light" w:cs="Calibri Light"/>
                <w:sz w:val="20"/>
                <w:szCs w:val="20"/>
              </w:rPr>
              <w:t xml:space="preserve"> Knee Replacement</w:t>
            </w:r>
          </w:p>
        </w:tc>
      </w:tr>
      <w:tr w:rsidR="00D12264" w:rsidRPr="00D81242" w14:paraId="249E5B1A" w14:textId="77777777" w:rsidTr="009C1F61">
        <w:trPr>
          <w:trHeight w:val="600"/>
        </w:trPr>
        <w:tc>
          <w:tcPr>
            <w:tcW w:w="1800" w:type="dxa"/>
            <w:tcBorders>
              <w:top w:val="nil"/>
              <w:left w:val="nil"/>
              <w:bottom w:val="nil"/>
              <w:right w:val="nil"/>
            </w:tcBorders>
            <w:shd w:val="clear" w:color="auto" w:fill="auto"/>
            <w:vAlign w:val="center"/>
            <w:hideMark/>
          </w:tcPr>
          <w:p w14:paraId="622EE717"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Nantes University Hospital</w:t>
            </w:r>
          </w:p>
        </w:tc>
        <w:tc>
          <w:tcPr>
            <w:tcW w:w="1900" w:type="dxa"/>
            <w:tcBorders>
              <w:top w:val="nil"/>
              <w:left w:val="nil"/>
              <w:bottom w:val="nil"/>
              <w:right w:val="nil"/>
            </w:tcBorders>
            <w:shd w:val="clear" w:color="auto" w:fill="auto"/>
            <w:vAlign w:val="center"/>
            <w:hideMark/>
          </w:tcPr>
          <w:p w14:paraId="3C6435D9"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Nantes University Hospital</w:t>
            </w:r>
          </w:p>
        </w:tc>
        <w:tc>
          <w:tcPr>
            <w:tcW w:w="9340" w:type="dxa"/>
            <w:tcBorders>
              <w:top w:val="nil"/>
              <w:left w:val="nil"/>
              <w:bottom w:val="nil"/>
              <w:right w:val="nil"/>
            </w:tcBorders>
            <w:shd w:val="clear" w:color="auto" w:fill="auto"/>
            <w:vAlign w:val="center"/>
            <w:hideMark/>
          </w:tcPr>
          <w:p w14:paraId="6B728D29"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 xml:space="preserve">Medico-economic Study of Patient Matched Cutting Blocks (Ancillary) </w:t>
            </w:r>
            <w:proofErr w:type="spellStart"/>
            <w:r w:rsidRPr="00D81242">
              <w:rPr>
                <w:rFonts w:ascii="Calibri Light" w:eastAsia="Times New Roman" w:hAnsi="Calibri Light" w:cs="Calibri Light"/>
                <w:color w:val="000000"/>
                <w:sz w:val="20"/>
                <w:szCs w:val="20"/>
              </w:rPr>
              <w:t>MyKnee</w:t>
            </w:r>
            <w:proofErr w:type="spellEnd"/>
            <w:r w:rsidRPr="00D81242">
              <w:rPr>
                <w:rFonts w:ascii="Calibri Light" w:eastAsia="Times New Roman" w:hAnsi="Calibri Light" w:cs="Calibri Light"/>
                <w:color w:val="000000"/>
                <w:sz w:val="20"/>
                <w:szCs w:val="20"/>
              </w:rPr>
              <w:t xml:space="preserve"> ® LBS During Knee Arthroplasty GMK ®</w:t>
            </w:r>
          </w:p>
        </w:tc>
      </w:tr>
      <w:tr w:rsidR="00D12264" w:rsidRPr="00D81242" w14:paraId="5F45D9A0" w14:textId="77777777" w:rsidTr="009C1F61">
        <w:trPr>
          <w:trHeight w:val="600"/>
        </w:trPr>
        <w:tc>
          <w:tcPr>
            <w:tcW w:w="1800" w:type="dxa"/>
            <w:tcBorders>
              <w:top w:val="nil"/>
              <w:left w:val="nil"/>
              <w:bottom w:val="nil"/>
              <w:right w:val="nil"/>
            </w:tcBorders>
            <w:shd w:val="clear" w:color="auto" w:fill="auto"/>
            <w:vAlign w:val="center"/>
            <w:hideMark/>
          </w:tcPr>
          <w:p w14:paraId="6A19BC00"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Smith &amp; Nephew, Inc.</w:t>
            </w:r>
          </w:p>
        </w:tc>
        <w:tc>
          <w:tcPr>
            <w:tcW w:w="1900" w:type="dxa"/>
            <w:tcBorders>
              <w:top w:val="nil"/>
              <w:left w:val="nil"/>
              <w:bottom w:val="nil"/>
              <w:right w:val="nil"/>
            </w:tcBorders>
            <w:shd w:val="clear" w:color="auto" w:fill="auto"/>
            <w:vAlign w:val="center"/>
            <w:hideMark/>
          </w:tcPr>
          <w:p w14:paraId="784E37BE"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Smith &amp; Nephew, Inc.</w:t>
            </w:r>
          </w:p>
        </w:tc>
        <w:tc>
          <w:tcPr>
            <w:tcW w:w="9340" w:type="dxa"/>
            <w:tcBorders>
              <w:top w:val="nil"/>
              <w:left w:val="nil"/>
              <w:bottom w:val="nil"/>
              <w:right w:val="nil"/>
            </w:tcBorders>
            <w:shd w:val="clear" w:color="auto" w:fill="auto"/>
            <w:vAlign w:val="center"/>
            <w:hideMark/>
          </w:tcPr>
          <w:p w14:paraId="6BBD7BDE" w14:textId="77777777" w:rsidR="00D12264" w:rsidRPr="00D81242" w:rsidRDefault="00D12264" w:rsidP="009C1F61">
            <w:pPr>
              <w:spacing w:line="240" w:lineRule="auto"/>
              <w:rPr>
                <w:rFonts w:ascii="Calibri Light" w:eastAsia="Times New Roman" w:hAnsi="Calibri Light" w:cs="Calibri Light"/>
                <w:color w:val="000000"/>
                <w:sz w:val="20"/>
                <w:szCs w:val="20"/>
              </w:rPr>
            </w:pPr>
            <w:proofErr w:type="spellStart"/>
            <w:r w:rsidRPr="00D81242">
              <w:rPr>
                <w:rFonts w:ascii="Calibri Light" w:eastAsia="Times New Roman" w:hAnsi="Calibri Light" w:cs="Calibri Light"/>
                <w:color w:val="000000"/>
                <w:sz w:val="20"/>
                <w:szCs w:val="20"/>
              </w:rPr>
              <w:t>Visionaire</w:t>
            </w:r>
            <w:proofErr w:type="spellEnd"/>
            <w:r w:rsidRPr="00D81242">
              <w:rPr>
                <w:rFonts w:ascii="Calibri Light" w:eastAsia="Times New Roman" w:hAnsi="Calibri Light" w:cs="Calibri Light"/>
                <w:color w:val="000000"/>
                <w:sz w:val="20"/>
                <w:szCs w:val="20"/>
              </w:rPr>
              <w:t>™ Versus Standard Instrumentation Safety and Efficacy in Total Knee Arthroplasty (TKA)</w:t>
            </w:r>
          </w:p>
        </w:tc>
      </w:tr>
      <w:tr w:rsidR="00D12264" w:rsidRPr="00D81242" w14:paraId="5932F6BA" w14:textId="77777777" w:rsidTr="009C1F61">
        <w:trPr>
          <w:trHeight w:val="600"/>
        </w:trPr>
        <w:tc>
          <w:tcPr>
            <w:tcW w:w="1800" w:type="dxa"/>
            <w:tcBorders>
              <w:top w:val="nil"/>
              <w:left w:val="nil"/>
              <w:bottom w:val="nil"/>
              <w:right w:val="nil"/>
            </w:tcBorders>
            <w:shd w:val="clear" w:color="auto" w:fill="auto"/>
            <w:vAlign w:val="center"/>
            <w:hideMark/>
          </w:tcPr>
          <w:p w14:paraId="15BAB136"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Thomas Turgeon</w:t>
            </w:r>
          </w:p>
        </w:tc>
        <w:tc>
          <w:tcPr>
            <w:tcW w:w="1900" w:type="dxa"/>
            <w:tcBorders>
              <w:top w:val="nil"/>
              <w:left w:val="nil"/>
              <w:bottom w:val="nil"/>
              <w:right w:val="nil"/>
            </w:tcBorders>
            <w:shd w:val="clear" w:color="auto" w:fill="auto"/>
            <w:vAlign w:val="center"/>
            <w:hideMark/>
          </w:tcPr>
          <w:p w14:paraId="362D0F2D"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proofErr w:type="spellStart"/>
            <w:r w:rsidRPr="00D81242">
              <w:rPr>
                <w:rFonts w:ascii="Calibri Light" w:eastAsia="Times New Roman" w:hAnsi="Calibri Light" w:cs="Calibri Light"/>
                <w:color w:val="000000"/>
                <w:sz w:val="20"/>
                <w:szCs w:val="20"/>
              </w:rPr>
              <w:t>Orthopaedic</w:t>
            </w:r>
            <w:proofErr w:type="spellEnd"/>
            <w:r w:rsidRPr="00D81242">
              <w:rPr>
                <w:rFonts w:ascii="Calibri Light" w:eastAsia="Times New Roman" w:hAnsi="Calibri Light" w:cs="Calibri Light"/>
                <w:color w:val="000000"/>
                <w:sz w:val="20"/>
                <w:szCs w:val="20"/>
              </w:rPr>
              <w:t xml:space="preserve"> Innovation Centre</w:t>
            </w:r>
          </w:p>
        </w:tc>
        <w:tc>
          <w:tcPr>
            <w:tcW w:w="9340" w:type="dxa"/>
            <w:tcBorders>
              <w:top w:val="nil"/>
              <w:left w:val="nil"/>
              <w:bottom w:val="nil"/>
              <w:right w:val="nil"/>
            </w:tcBorders>
            <w:shd w:val="clear" w:color="auto" w:fill="auto"/>
            <w:vAlign w:val="center"/>
            <w:hideMark/>
          </w:tcPr>
          <w:p w14:paraId="79AC11C7"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Custom Cutting Block Instrument vs Regular Instrumentation Total Knee Replacement (TKR)</w:t>
            </w:r>
          </w:p>
        </w:tc>
      </w:tr>
      <w:tr w:rsidR="00D12264" w:rsidRPr="00D81242" w14:paraId="0E39309E" w14:textId="77777777" w:rsidTr="009C1F61">
        <w:trPr>
          <w:trHeight w:val="600"/>
        </w:trPr>
        <w:tc>
          <w:tcPr>
            <w:tcW w:w="1800" w:type="dxa"/>
            <w:tcBorders>
              <w:top w:val="nil"/>
              <w:left w:val="nil"/>
              <w:bottom w:val="nil"/>
              <w:right w:val="nil"/>
            </w:tcBorders>
            <w:shd w:val="clear" w:color="auto" w:fill="auto"/>
            <w:vAlign w:val="center"/>
            <w:hideMark/>
          </w:tcPr>
          <w:p w14:paraId="13302C18"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 xml:space="preserve">Moussa </w:t>
            </w:r>
            <w:proofErr w:type="spellStart"/>
            <w:r w:rsidRPr="00D81242">
              <w:rPr>
                <w:rFonts w:ascii="Calibri Light" w:eastAsia="Times New Roman" w:hAnsi="Calibri Light" w:cs="Calibri Light"/>
                <w:color w:val="000000"/>
                <w:sz w:val="20"/>
                <w:szCs w:val="20"/>
              </w:rPr>
              <w:t>Hamadouche</w:t>
            </w:r>
            <w:proofErr w:type="spellEnd"/>
          </w:p>
        </w:tc>
        <w:tc>
          <w:tcPr>
            <w:tcW w:w="1900" w:type="dxa"/>
            <w:tcBorders>
              <w:top w:val="nil"/>
              <w:left w:val="nil"/>
              <w:bottom w:val="nil"/>
              <w:right w:val="nil"/>
            </w:tcBorders>
            <w:shd w:val="clear" w:color="auto" w:fill="auto"/>
            <w:vAlign w:val="center"/>
            <w:hideMark/>
          </w:tcPr>
          <w:p w14:paraId="3A184520"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Cochin Hospital</w:t>
            </w:r>
          </w:p>
        </w:tc>
        <w:tc>
          <w:tcPr>
            <w:tcW w:w="9340" w:type="dxa"/>
            <w:tcBorders>
              <w:top w:val="nil"/>
              <w:left w:val="nil"/>
              <w:bottom w:val="nil"/>
              <w:right w:val="nil"/>
            </w:tcBorders>
            <w:shd w:val="clear" w:color="auto" w:fill="auto"/>
            <w:vAlign w:val="center"/>
            <w:hideMark/>
          </w:tcPr>
          <w:p w14:paraId="50209D23"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Patient-Specific Versus Conventional Instrumentation in TKA</w:t>
            </w:r>
          </w:p>
        </w:tc>
      </w:tr>
      <w:tr w:rsidR="00D12264" w:rsidRPr="00D81242" w14:paraId="3681EECC" w14:textId="77777777" w:rsidTr="009C1F61">
        <w:trPr>
          <w:trHeight w:val="600"/>
        </w:trPr>
        <w:tc>
          <w:tcPr>
            <w:tcW w:w="1800" w:type="dxa"/>
            <w:tcBorders>
              <w:top w:val="nil"/>
              <w:left w:val="nil"/>
              <w:bottom w:val="nil"/>
              <w:right w:val="nil"/>
            </w:tcBorders>
            <w:shd w:val="clear" w:color="auto" w:fill="auto"/>
            <w:vAlign w:val="center"/>
            <w:hideMark/>
          </w:tcPr>
          <w:p w14:paraId="430ADC43"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lastRenderedPageBreak/>
              <w:t>Smith &amp; Nephew, Inc.</w:t>
            </w:r>
          </w:p>
        </w:tc>
        <w:tc>
          <w:tcPr>
            <w:tcW w:w="1900" w:type="dxa"/>
            <w:tcBorders>
              <w:top w:val="nil"/>
              <w:left w:val="nil"/>
              <w:bottom w:val="nil"/>
              <w:right w:val="nil"/>
            </w:tcBorders>
            <w:shd w:val="clear" w:color="auto" w:fill="auto"/>
            <w:vAlign w:val="center"/>
            <w:hideMark/>
          </w:tcPr>
          <w:p w14:paraId="12B0DF64"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Smith &amp; Nephew, Inc.</w:t>
            </w:r>
          </w:p>
        </w:tc>
        <w:tc>
          <w:tcPr>
            <w:tcW w:w="9340" w:type="dxa"/>
            <w:tcBorders>
              <w:top w:val="nil"/>
              <w:left w:val="nil"/>
              <w:bottom w:val="nil"/>
              <w:right w:val="nil"/>
            </w:tcBorders>
            <w:shd w:val="clear" w:color="auto" w:fill="auto"/>
            <w:vAlign w:val="center"/>
            <w:hideMark/>
          </w:tcPr>
          <w:p w14:paraId="2676CC22"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 xml:space="preserve">Axial Alignment in Patients Operated Using the </w:t>
            </w:r>
            <w:proofErr w:type="spellStart"/>
            <w:r w:rsidRPr="00D81242">
              <w:rPr>
                <w:rFonts w:ascii="Calibri Light" w:eastAsia="Times New Roman" w:hAnsi="Calibri Light" w:cs="Calibri Light"/>
                <w:color w:val="000000"/>
                <w:sz w:val="20"/>
                <w:szCs w:val="20"/>
              </w:rPr>
              <w:t>Visionaire</w:t>
            </w:r>
            <w:proofErr w:type="spellEnd"/>
            <w:r w:rsidRPr="00D81242">
              <w:rPr>
                <w:rFonts w:ascii="Calibri Light" w:eastAsia="Times New Roman" w:hAnsi="Calibri Light" w:cs="Calibri Light"/>
                <w:color w:val="000000"/>
                <w:sz w:val="20"/>
                <w:szCs w:val="20"/>
              </w:rPr>
              <w:t xml:space="preserve"> Patient Matched Cutting Blocks</w:t>
            </w:r>
          </w:p>
        </w:tc>
      </w:tr>
      <w:tr w:rsidR="00D12264" w:rsidRPr="00D81242" w14:paraId="11971C18" w14:textId="77777777" w:rsidTr="009C1F61">
        <w:trPr>
          <w:trHeight w:val="600"/>
        </w:trPr>
        <w:tc>
          <w:tcPr>
            <w:tcW w:w="1800" w:type="dxa"/>
            <w:tcBorders>
              <w:top w:val="nil"/>
              <w:left w:val="nil"/>
              <w:bottom w:val="nil"/>
              <w:right w:val="nil"/>
            </w:tcBorders>
            <w:shd w:val="clear" w:color="auto" w:fill="auto"/>
            <w:vAlign w:val="center"/>
            <w:hideMark/>
          </w:tcPr>
          <w:p w14:paraId="31B2D5A9"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Gavin Wood</w:t>
            </w:r>
          </w:p>
        </w:tc>
        <w:tc>
          <w:tcPr>
            <w:tcW w:w="1900" w:type="dxa"/>
            <w:tcBorders>
              <w:top w:val="nil"/>
              <w:left w:val="nil"/>
              <w:bottom w:val="nil"/>
              <w:right w:val="nil"/>
            </w:tcBorders>
            <w:shd w:val="clear" w:color="auto" w:fill="auto"/>
            <w:vAlign w:val="center"/>
            <w:hideMark/>
          </w:tcPr>
          <w:p w14:paraId="34BB8E29"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Queen's University</w:t>
            </w:r>
          </w:p>
        </w:tc>
        <w:tc>
          <w:tcPr>
            <w:tcW w:w="9340" w:type="dxa"/>
            <w:tcBorders>
              <w:top w:val="nil"/>
              <w:left w:val="nil"/>
              <w:bottom w:val="nil"/>
              <w:right w:val="nil"/>
            </w:tcBorders>
            <w:shd w:val="clear" w:color="auto" w:fill="auto"/>
            <w:vAlign w:val="center"/>
            <w:hideMark/>
          </w:tcPr>
          <w:p w14:paraId="1A49859A"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TKA Using Patient-Specific Instrumentation</w:t>
            </w:r>
          </w:p>
        </w:tc>
      </w:tr>
      <w:tr w:rsidR="00D12264" w:rsidRPr="00D81242" w14:paraId="6FD1ABB0" w14:textId="77777777" w:rsidTr="009C1F61">
        <w:trPr>
          <w:trHeight w:val="600"/>
        </w:trPr>
        <w:tc>
          <w:tcPr>
            <w:tcW w:w="1800" w:type="dxa"/>
            <w:tcBorders>
              <w:top w:val="nil"/>
              <w:left w:val="nil"/>
              <w:bottom w:val="nil"/>
              <w:right w:val="nil"/>
            </w:tcBorders>
            <w:shd w:val="clear" w:color="auto" w:fill="auto"/>
            <w:vAlign w:val="center"/>
            <w:hideMark/>
          </w:tcPr>
          <w:p w14:paraId="6D1D9291"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proofErr w:type="spellStart"/>
            <w:r w:rsidRPr="00D81242">
              <w:rPr>
                <w:rFonts w:ascii="Calibri Light" w:eastAsia="Times New Roman" w:hAnsi="Calibri Light" w:cs="Calibri Light"/>
                <w:color w:val="000000"/>
                <w:sz w:val="20"/>
                <w:szCs w:val="20"/>
              </w:rPr>
              <w:t>Medacta</w:t>
            </w:r>
            <w:proofErr w:type="spellEnd"/>
            <w:r w:rsidRPr="00D81242">
              <w:rPr>
                <w:rFonts w:ascii="Calibri Light" w:eastAsia="Times New Roman" w:hAnsi="Calibri Light" w:cs="Calibri Light"/>
                <w:color w:val="000000"/>
                <w:sz w:val="20"/>
                <w:szCs w:val="20"/>
              </w:rPr>
              <w:t xml:space="preserve"> USA</w:t>
            </w:r>
          </w:p>
        </w:tc>
        <w:tc>
          <w:tcPr>
            <w:tcW w:w="1900" w:type="dxa"/>
            <w:tcBorders>
              <w:top w:val="nil"/>
              <w:left w:val="nil"/>
              <w:bottom w:val="nil"/>
              <w:right w:val="nil"/>
            </w:tcBorders>
            <w:shd w:val="clear" w:color="auto" w:fill="auto"/>
            <w:vAlign w:val="center"/>
            <w:hideMark/>
          </w:tcPr>
          <w:p w14:paraId="228CBA51"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proofErr w:type="spellStart"/>
            <w:r w:rsidRPr="00D81242">
              <w:rPr>
                <w:rFonts w:ascii="Calibri Light" w:eastAsia="Times New Roman" w:hAnsi="Calibri Light" w:cs="Calibri Light"/>
                <w:color w:val="000000"/>
                <w:sz w:val="20"/>
                <w:szCs w:val="20"/>
              </w:rPr>
              <w:t>Medacta</w:t>
            </w:r>
            <w:proofErr w:type="spellEnd"/>
            <w:r w:rsidRPr="00D81242">
              <w:rPr>
                <w:rFonts w:ascii="Calibri Light" w:eastAsia="Times New Roman" w:hAnsi="Calibri Light" w:cs="Calibri Light"/>
                <w:color w:val="000000"/>
                <w:sz w:val="20"/>
                <w:szCs w:val="20"/>
              </w:rPr>
              <w:t xml:space="preserve"> USA</w:t>
            </w:r>
          </w:p>
        </w:tc>
        <w:tc>
          <w:tcPr>
            <w:tcW w:w="9340" w:type="dxa"/>
            <w:tcBorders>
              <w:top w:val="nil"/>
              <w:left w:val="nil"/>
              <w:bottom w:val="nil"/>
              <w:right w:val="nil"/>
            </w:tcBorders>
            <w:shd w:val="clear" w:color="auto" w:fill="auto"/>
            <w:vAlign w:val="center"/>
            <w:hideMark/>
          </w:tcPr>
          <w:p w14:paraId="0BD46FCC"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Single-use Efficiency Instruments With Patient Specific Technique (</w:t>
            </w:r>
            <w:proofErr w:type="spellStart"/>
            <w:r w:rsidRPr="00D81242">
              <w:rPr>
                <w:rFonts w:ascii="Calibri Light" w:eastAsia="Times New Roman" w:hAnsi="Calibri Light" w:cs="Calibri Light"/>
                <w:color w:val="000000"/>
                <w:sz w:val="20"/>
                <w:szCs w:val="20"/>
              </w:rPr>
              <w:t>MyKnee</w:t>
            </w:r>
            <w:proofErr w:type="spellEnd"/>
            <w:r w:rsidRPr="00D81242">
              <w:rPr>
                <w:rFonts w:ascii="Calibri Light" w:eastAsia="Times New Roman" w:hAnsi="Calibri Light" w:cs="Calibri Light"/>
                <w:color w:val="000000"/>
                <w:sz w:val="20"/>
                <w:szCs w:val="20"/>
              </w:rPr>
              <w:t>®) Versus Traditional Metal Instruments With Conventional Surgical Technique</w:t>
            </w:r>
          </w:p>
        </w:tc>
      </w:tr>
      <w:tr w:rsidR="00D12264" w:rsidRPr="00D81242" w14:paraId="35132C25" w14:textId="77777777" w:rsidTr="009C1F61">
        <w:trPr>
          <w:trHeight w:val="830"/>
        </w:trPr>
        <w:tc>
          <w:tcPr>
            <w:tcW w:w="1800" w:type="dxa"/>
            <w:tcBorders>
              <w:top w:val="nil"/>
              <w:left w:val="nil"/>
              <w:bottom w:val="nil"/>
              <w:right w:val="nil"/>
            </w:tcBorders>
            <w:shd w:val="clear" w:color="auto" w:fill="auto"/>
            <w:vAlign w:val="center"/>
            <w:hideMark/>
          </w:tcPr>
          <w:p w14:paraId="59B4832F"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Nantes University Hospital</w:t>
            </w:r>
          </w:p>
        </w:tc>
        <w:tc>
          <w:tcPr>
            <w:tcW w:w="1900" w:type="dxa"/>
            <w:tcBorders>
              <w:top w:val="nil"/>
              <w:left w:val="nil"/>
              <w:bottom w:val="nil"/>
              <w:right w:val="nil"/>
            </w:tcBorders>
            <w:shd w:val="clear" w:color="auto" w:fill="auto"/>
            <w:vAlign w:val="center"/>
            <w:hideMark/>
          </w:tcPr>
          <w:p w14:paraId="7D1992D7"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Nantes University Hospital</w:t>
            </w:r>
          </w:p>
        </w:tc>
        <w:tc>
          <w:tcPr>
            <w:tcW w:w="9340" w:type="dxa"/>
            <w:tcBorders>
              <w:top w:val="nil"/>
              <w:left w:val="nil"/>
              <w:bottom w:val="nil"/>
              <w:right w:val="nil"/>
            </w:tcBorders>
            <w:shd w:val="clear" w:color="auto" w:fill="auto"/>
            <w:vAlign w:val="center"/>
            <w:hideMark/>
          </w:tcPr>
          <w:p w14:paraId="59232A1B" w14:textId="77777777" w:rsidR="00D12264" w:rsidRPr="00D81242" w:rsidRDefault="00D12264" w:rsidP="009C1F61">
            <w:pPr>
              <w:spacing w:line="240" w:lineRule="auto"/>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 xml:space="preserve">Medico-economic Interest of the Patient Matched Cutting Blocks (Ancillary) </w:t>
            </w:r>
            <w:proofErr w:type="spellStart"/>
            <w:r w:rsidRPr="00D81242">
              <w:rPr>
                <w:rFonts w:ascii="Calibri Light" w:eastAsia="Times New Roman" w:hAnsi="Calibri Light" w:cs="Calibri Light"/>
                <w:color w:val="000000"/>
                <w:sz w:val="20"/>
                <w:szCs w:val="20"/>
              </w:rPr>
              <w:t>MyKnee</w:t>
            </w:r>
            <w:proofErr w:type="spellEnd"/>
            <w:r w:rsidRPr="00D81242">
              <w:rPr>
                <w:rFonts w:ascii="Calibri Light" w:eastAsia="Times New Roman" w:hAnsi="Calibri Light" w:cs="Calibri Light"/>
                <w:color w:val="000000"/>
                <w:sz w:val="20"/>
                <w:szCs w:val="20"/>
              </w:rPr>
              <w:t xml:space="preserve"> ® LBS During the Poses of Complete Prosthesis of Knee GMK ®. Multicentric, Prospective, Controlled, Opened, </w:t>
            </w:r>
            <w:proofErr w:type="spellStart"/>
            <w:r w:rsidRPr="00D81242">
              <w:rPr>
                <w:rFonts w:ascii="Calibri Light" w:eastAsia="Times New Roman" w:hAnsi="Calibri Light" w:cs="Calibri Light"/>
                <w:color w:val="000000"/>
                <w:sz w:val="20"/>
                <w:szCs w:val="20"/>
              </w:rPr>
              <w:t>Randomised</w:t>
            </w:r>
            <w:proofErr w:type="spellEnd"/>
            <w:r w:rsidRPr="00D81242">
              <w:rPr>
                <w:rFonts w:ascii="Calibri Light" w:eastAsia="Times New Roman" w:hAnsi="Calibri Light" w:cs="Calibri Light"/>
                <w:color w:val="000000"/>
                <w:sz w:val="20"/>
                <w:szCs w:val="20"/>
              </w:rPr>
              <w:t xml:space="preserve"> Study About a Medical Device. (My Knee)</w:t>
            </w:r>
          </w:p>
        </w:tc>
      </w:tr>
      <w:tr w:rsidR="00D12264" w:rsidRPr="00D81242" w14:paraId="0F5DF15D" w14:textId="77777777" w:rsidTr="009C1F61">
        <w:trPr>
          <w:trHeight w:val="600"/>
        </w:trPr>
        <w:tc>
          <w:tcPr>
            <w:tcW w:w="1800" w:type="dxa"/>
            <w:tcBorders>
              <w:top w:val="nil"/>
              <w:left w:val="nil"/>
              <w:bottom w:val="single" w:sz="4" w:space="0" w:color="auto"/>
              <w:right w:val="nil"/>
            </w:tcBorders>
            <w:shd w:val="clear" w:color="auto" w:fill="auto"/>
            <w:vAlign w:val="center"/>
            <w:hideMark/>
          </w:tcPr>
          <w:p w14:paraId="3B915538"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Smith &amp; Nephew, Inc.</w:t>
            </w:r>
          </w:p>
        </w:tc>
        <w:tc>
          <w:tcPr>
            <w:tcW w:w="1900" w:type="dxa"/>
            <w:tcBorders>
              <w:top w:val="nil"/>
              <w:left w:val="nil"/>
              <w:bottom w:val="single" w:sz="4" w:space="0" w:color="auto"/>
              <w:right w:val="nil"/>
            </w:tcBorders>
            <w:shd w:val="clear" w:color="auto" w:fill="auto"/>
            <w:vAlign w:val="center"/>
            <w:hideMark/>
          </w:tcPr>
          <w:p w14:paraId="517F0DA6" w14:textId="77777777" w:rsidR="00D12264" w:rsidRPr="00D81242" w:rsidRDefault="00D12264" w:rsidP="009C1F61">
            <w:pPr>
              <w:spacing w:line="240" w:lineRule="auto"/>
              <w:jc w:val="center"/>
              <w:rPr>
                <w:rFonts w:ascii="Calibri Light" w:eastAsia="Times New Roman" w:hAnsi="Calibri Light" w:cs="Calibri Light"/>
                <w:color w:val="000000"/>
                <w:sz w:val="20"/>
                <w:szCs w:val="20"/>
              </w:rPr>
            </w:pPr>
            <w:r w:rsidRPr="00D81242">
              <w:rPr>
                <w:rFonts w:ascii="Calibri Light" w:eastAsia="Times New Roman" w:hAnsi="Calibri Light" w:cs="Calibri Light"/>
                <w:color w:val="000000"/>
                <w:sz w:val="20"/>
                <w:szCs w:val="20"/>
              </w:rPr>
              <w:t>Smith &amp; Nephew, Inc.</w:t>
            </w:r>
          </w:p>
        </w:tc>
        <w:tc>
          <w:tcPr>
            <w:tcW w:w="9340" w:type="dxa"/>
            <w:tcBorders>
              <w:top w:val="nil"/>
              <w:left w:val="nil"/>
              <w:bottom w:val="single" w:sz="4" w:space="0" w:color="auto"/>
              <w:right w:val="nil"/>
            </w:tcBorders>
            <w:shd w:val="clear" w:color="auto" w:fill="auto"/>
            <w:vAlign w:val="center"/>
            <w:hideMark/>
          </w:tcPr>
          <w:p w14:paraId="123B7E03" w14:textId="77777777" w:rsidR="00D12264" w:rsidRPr="00D81242" w:rsidRDefault="00D12264" w:rsidP="009C1F61">
            <w:pPr>
              <w:spacing w:line="240" w:lineRule="auto"/>
              <w:rPr>
                <w:rFonts w:ascii="Calibri Light" w:eastAsia="Times New Roman" w:hAnsi="Calibri Light" w:cs="Calibri Light"/>
                <w:color w:val="000000"/>
                <w:sz w:val="20"/>
                <w:szCs w:val="20"/>
              </w:rPr>
            </w:pPr>
            <w:proofErr w:type="spellStart"/>
            <w:r w:rsidRPr="00D81242">
              <w:rPr>
                <w:rFonts w:ascii="Calibri Light" w:eastAsia="Times New Roman" w:hAnsi="Calibri Light" w:cs="Calibri Light"/>
                <w:color w:val="000000"/>
                <w:sz w:val="20"/>
                <w:szCs w:val="20"/>
              </w:rPr>
              <w:t>Visionaire</w:t>
            </w:r>
            <w:proofErr w:type="spellEnd"/>
            <w:r w:rsidRPr="00D81242">
              <w:rPr>
                <w:rFonts w:ascii="Calibri Light" w:eastAsia="Times New Roman" w:hAnsi="Calibri Light" w:cs="Calibri Light"/>
                <w:color w:val="000000"/>
                <w:sz w:val="20"/>
                <w:szCs w:val="20"/>
              </w:rPr>
              <w:t xml:space="preserve"> Health Economics Study Comparing Economic Outcomes Between </w:t>
            </w:r>
            <w:proofErr w:type="spellStart"/>
            <w:r w:rsidRPr="00D81242">
              <w:rPr>
                <w:rFonts w:ascii="Calibri Light" w:eastAsia="Times New Roman" w:hAnsi="Calibri Light" w:cs="Calibri Light"/>
                <w:color w:val="000000"/>
                <w:sz w:val="20"/>
                <w:szCs w:val="20"/>
              </w:rPr>
              <w:t>Visionaire</w:t>
            </w:r>
            <w:proofErr w:type="spellEnd"/>
            <w:r w:rsidRPr="00D81242">
              <w:rPr>
                <w:rFonts w:ascii="Calibri Light" w:eastAsia="Times New Roman" w:hAnsi="Calibri Light" w:cs="Calibri Light"/>
                <w:color w:val="000000"/>
                <w:sz w:val="20"/>
                <w:szCs w:val="20"/>
              </w:rPr>
              <w:t xml:space="preserve"> and Standard Instrumentation</w:t>
            </w:r>
          </w:p>
        </w:tc>
      </w:tr>
    </w:tbl>
    <w:p w14:paraId="22014013" w14:textId="77777777" w:rsidR="00D12264" w:rsidRDefault="00D12264" w:rsidP="00D12264">
      <w:pPr>
        <w:spacing w:line="480" w:lineRule="auto"/>
        <w:rPr>
          <w:sz w:val="24"/>
          <w:szCs w:val="24"/>
        </w:rPr>
      </w:pPr>
    </w:p>
    <w:p w14:paraId="2503D0BA" w14:textId="77777777" w:rsidR="00D12264" w:rsidRDefault="00D12264" w:rsidP="00D12264">
      <w:pPr>
        <w:spacing w:line="480" w:lineRule="auto"/>
        <w:rPr>
          <w:sz w:val="24"/>
          <w:szCs w:val="24"/>
        </w:rPr>
      </w:pPr>
    </w:p>
    <w:p w14:paraId="1E6B2F69" w14:textId="77777777" w:rsidR="00D12264" w:rsidRDefault="00D12264" w:rsidP="00D12264">
      <w:pPr>
        <w:spacing w:line="480" w:lineRule="auto"/>
        <w:rPr>
          <w:sz w:val="24"/>
          <w:szCs w:val="24"/>
        </w:rPr>
      </w:pPr>
    </w:p>
    <w:p w14:paraId="11069FB2" w14:textId="77777777" w:rsidR="00D12264" w:rsidRDefault="00D12264" w:rsidP="00D12264">
      <w:pPr>
        <w:spacing w:line="480" w:lineRule="auto"/>
        <w:rPr>
          <w:sz w:val="24"/>
          <w:szCs w:val="24"/>
        </w:rPr>
      </w:pPr>
    </w:p>
    <w:p w14:paraId="46292D41" w14:textId="77777777" w:rsidR="00D12264" w:rsidRDefault="00D12264" w:rsidP="00D12264">
      <w:pPr>
        <w:spacing w:line="480" w:lineRule="auto"/>
        <w:rPr>
          <w:sz w:val="24"/>
          <w:szCs w:val="24"/>
        </w:rPr>
      </w:pPr>
    </w:p>
    <w:p w14:paraId="34B9FC4B" w14:textId="77777777" w:rsidR="00D12264" w:rsidRDefault="00D12264" w:rsidP="00D12264">
      <w:pPr>
        <w:spacing w:line="480" w:lineRule="auto"/>
        <w:rPr>
          <w:sz w:val="24"/>
          <w:szCs w:val="24"/>
        </w:rPr>
      </w:pPr>
    </w:p>
    <w:p w14:paraId="5E108F61" w14:textId="77777777" w:rsidR="00D12264" w:rsidRDefault="00D12264" w:rsidP="00D12264">
      <w:pPr>
        <w:spacing w:line="480" w:lineRule="auto"/>
        <w:rPr>
          <w:sz w:val="24"/>
          <w:szCs w:val="24"/>
        </w:rPr>
      </w:pPr>
    </w:p>
    <w:p w14:paraId="3C5956AD" w14:textId="77777777" w:rsidR="00D12264" w:rsidRDefault="00D12264" w:rsidP="00D12264">
      <w:pPr>
        <w:spacing w:line="480" w:lineRule="auto"/>
        <w:rPr>
          <w:sz w:val="24"/>
          <w:szCs w:val="24"/>
        </w:rPr>
      </w:pPr>
    </w:p>
    <w:p w14:paraId="4A5F0DE7" w14:textId="77777777" w:rsidR="00D12264" w:rsidRDefault="00D12264" w:rsidP="00D12264">
      <w:pPr>
        <w:spacing w:line="480" w:lineRule="auto"/>
        <w:rPr>
          <w:sz w:val="24"/>
          <w:szCs w:val="24"/>
        </w:rPr>
      </w:pPr>
    </w:p>
    <w:p w14:paraId="3BA535B4" w14:textId="77777777" w:rsidR="00D12264" w:rsidRDefault="00D12264" w:rsidP="00D12264">
      <w:pPr>
        <w:spacing w:line="480" w:lineRule="auto"/>
        <w:rPr>
          <w:sz w:val="24"/>
          <w:szCs w:val="24"/>
        </w:rPr>
      </w:pPr>
    </w:p>
    <w:p w14:paraId="4C0A0B9D" w14:textId="77777777" w:rsidR="00D12264" w:rsidRDefault="00D12264" w:rsidP="00D12264">
      <w:pPr>
        <w:spacing w:line="480" w:lineRule="auto"/>
        <w:rPr>
          <w:sz w:val="24"/>
          <w:szCs w:val="24"/>
        </w:rPr>
      </w:pPr>
    </w:p>
    <w:p w14:paraId="386C5BFB" w14:textId="77777777" w:rsidR="00D12264" w:rsidRPr="00BB047D" w:rsidRDefault="00D12264" w:rsidP="00D12264">
      <w:pPr>
        <w:spacing w:line="480" w:lineRule="auto"/>
        <w:rPr>
          <w:b/>
          <w:sz w:val="24"/>
          <w:szCs w:val="24"/>
        </w:rPr>
      </w:pPr>
      <w:r w:rsidRPr="00BB047D">
        <w:rPr>
          <w:b/>
          <w:sz w:val="24"/>
          <w:szCs w:val="24"/>
        </w:rPr>
        <w:lastRenderedPageBreak/>
        <w:t xml:space="preserve">Appendix </w:t>
      </w:r>
      <w:r>
        <w:rPr>
          <w:b/>
          <w:sz w:val="24"/>
          <w:szCs w:val="24"/>
        </w:rPr>
        <w:t>E</w:t>
      </w:r>
      <w:r w:rsidRPr="00BB047D">
        <w:rPr>
          <w:b/>
          <w:sz w:val="24"/>
          <w:szCs w:val="24"/>
        </w:rPr>
        <w:t>: MINORS scores in non-RCTs</w:t>
      </w:r>
    </w:p>
    <w:tbl>
      <w:tblPr>
        <w:tblW w:w="11300" w:type="dxa"/>
        <w:tblLook w:val="04A0" w:firstRow="1" w:lastRow="0" w:firstColumn="1" w:lastColumn="0" w:noHBand="0" w:noVBand="1"/>
      </w:tblPr>
      <w:tblGrid>
        <w:gridCol w:w="4540"/>
        <w:gridCol w:w="520"/>
        <w:gridCol w:w="520"/>
        <w:gridCol w:w="520"/>
        <w:gridCol w:w="520"/>
        <w:gridCol w:w="520"/>
        <w:gridCol w:w="520"/>
        <w:gridCol w:w="520"/>
        <w:gridCol w:w="520"/>
        <w:gridCol w:w="520"/>
        <w:gridCol w:w="520"/>
        <w:gridCol w:w="520"/>
        <w:gridCol w:w="520"/>
        <w:gridCol w:w="520"/>
      </w:tblGrid>
      <w:tr w:rsidR="00D12264" w:rsidRPr="007C5074" w14:paraId="6339DBFA" w14:textId="77777777" w:rsidTr="009C1F61">
        <w:trPr>
          <w:trHeight w:val="2050"/>
        </w:trPr>
        <w:tc>
          <w:tcPr>
            <w:tcW w:w="4540" w:type="dxa"/>
            <w:tcBorders>
              <w:top w:val="nil"/>
              <w:left w:val="nil"/>
              <w:bottom w:val="single" w:sz="4" w:space="0" w:color="auto"/>
              <w:right w:val="nil"/>
            </w:tcBorders>
            <w:shd w:val="clear" w:color="auto" w:fill="F2F2F2" w:themeFill="background1" w:themeFillShade="F2"/>
            <w:vAlign w:val="bottom"/>
            <w:hideMark/>
          </w:tcPr>
          <w:p w14:paraId="30116CC6"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 </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2786B170" w14:textId="77777777" w:rsidR="00D12264" w:rsidRPr="007C5074" w:rsidRDefault="00D12264" w:rsidP="009C1F61">
            <w:pPr>
              <w:spacing w:line="240" w:lineRule="auto"/>
              <w:jc w:val="center"/>
              <w:rPr>
                <w:rFonts w:ascii="Calibri Light" w:eastAsia="Times New Roman" w:hAnsi="Calibri Light" w:cs="Calibri Light"/>
                <w:color w:val="000000"/>
              </w:rPr>
            </w:pPr>
            <w:proofErr w:type="spellStart"/>
            <w:r w:rsidRPr="007C5074">
              <w:rPr>
                <w:rFonts w:ascii="Calibri Light" w:eastAsia="Times New Roman" w:hAnsi="Calibri Light" w:cs="Calibri Light"/>
                <w:color w:val="000000"/>
              </w:rPr>
              <w:t>Anderl</w:t>
            </w:r>
            <w:proofErr w:type="spellEnd"/>
            <w:r w:rsidRPr="007C5074">
              <w:rPr>
                <w:rFonts w:ascii="Calibri Light" w:eastAsia="Times New Roman" w:hAnsi="Calibri Light" w:cs="Calibri Light"/>
                <w:color w:val="000000"/>
              </w:rPr>
              <w:t xml:space="preserve"> 2016</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7551D06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Culler 2017</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5EB5F56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Kwon 2017</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0593A053" w14:textId="77777777" w:rsidR="00D12264" w:rsidRPr="007C5074" w:rsidRDefault="00D12264" w:rsidP="009C1F61">
            <w:pPr>
              <w:spacing w:line="240" w:lineRule="auto"/>
              <w:jc w:val="center"/>
              <w:rPr>
                <w:rFonts w:ascii="Calibri Light" w:eastAsia="Times New Roman" w:hAnsi="Calibri Light" w:cs="Calibri Light"/>
                <w:color w:val="000000"/>
              </w:rPr>
            </w:pPr>
            <w:proofErr w:type="spellStart"/>
            <w:r w:rsidRPr="007C5074">
              <w:rPr>
                <w:rFonts w:ascii="Calibri Light" w:eastAsia="Times New Roman" w:hAnsi="Calibri Light" w:cs="Calibri Light"/>
                <w:color w:val="000000"/>
              </w:rPr>
              <w:t>Nabavi</w:t>
            </w:r>
            <w:proofErr w:type="spellEnd"/>
            <w:r w:rsidRPr="007C5074">
              <w:rPr>
                <w:rFonts w:ascii="Calibri Light" w:eastAsia="Times New Roman" w:hAnsi="Calibri Light" w:cs="Calibri Light"/>
                <w:color w:val="000000"/>
              </w:rPr>
              <w:t xml:space="preserve"> 2015</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0B7A3CF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Ng 2014</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6B8174AB" w14:textId="77777777" w:rsidR="00D12264" w:rsidRPr="007C5074" w:rsidRDefault="00D12264" w:rsidP="009C1F61">
            <w:pPr>
              <w:spacing w:line="240" w:lineRule="auto"/>
              <w:jc w:val="center"/>
              <w:rPr>
                <w:rFonts w:ascii="Calibri Light" w:eastAsia="Times New Roman" w:hAnsi="Calibri Light" w:cs="Calibri Light"/>
                <w:color w:val="000000"/>
              </w:rPr>
            </w:pPr>
            <w:proofErr w:type="spellStart"/>
            <w:r w:rsidRPr="007C5074">
              <w:rPr>
                <w:rFonts w:ascii="Calibri Light" w:eastAsia="Times New Roman" w:hAnsi="Calibri Light" w:cs="Calibri Light"/>
                <w:color w:val="000000"/>
              </w:rPr>
              <w:t>Pourgiezis</w:t>
            </w:r>
            <w:proofErr w:type="spellEnd"/>
            <w:r w:rsidRPr="007C5074">
              <w:rPr>
                <w:rFonts w:ascii="Calibri Light" w:eastAsia="Times New Roman" w:hAnsi="Calibri Light" w:cs="Calibri Light"/>
                <w:color w:val="000000"/>
              </w:rPr>
              <w:t xml:space="preserve"> 2016</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6065B303" w14:textId="77777777" w:rsidR="00D12264" w:rsidRPr="007C5074" w:rsidRDefault="00D12264" w:rsidP="009C1F61">
            <w:pPr>
              <w:spacing w:line="240" w:lineRule="auto"/>
              <w:jc w:val="center"/>
              <w:rPr>
                <w:rFonts w:ascii="Calibri Light" w:eastAsia="Times New Roman" w:hAnsi="Calibri Light" w:cs="Calibri Light"/>
                <w:color w:val="000000"/>
              </w:rPr>
            </w:pPr>
            <w:proofErr w:type="spellStart"/>
            <w:r w:rsidRPr="007C5074">
              <w:rPr>
                <w:rFonts w:ascii="Calibri Light" w:eastAsia="Times New Roman" w:hAnsi="Calibri Light" w:cs="Calibri Light"/>
                <w:color w:val="000000"/>
              </w:rPr>
              <w:t>Steimle</w:t>
            </w:r>
            <w:proofErr w:type="spellEnd"/>
            <w:r w:rsidRPr="007C5074">
              <w:rPr>
                <w:rFonts w:ascii="Calibri Light" w:eastAsia="Times New Roman" w:hAnsi="Calibri Light" w:cs="Calibri Light"/>
                <w:color w:val="000000"/>
              </w:rPr>
              <w:t xml:space="preserve"> 2018</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389173B3" w14:textId="77777777" w:rsidR="00D12264" w:rsidRPr="007C5074" w:rsidRDefault="00D12264" w:rsidP="009C1F61">
            <w:pPr>
              <w:spacing w:line="240" w:lineRule="auto"/>
              <w:jc w:val="center"/>
              <w:rPr>
                <w:rFonts w:ascii="Calibri Light" w:eastAsia="Times New Roman" w:hAnsi="Calibri Light" w:cs="Calibri Light"/>
                <w:color w:val="000000"/>
              </w:rPr>
            </w:pPr>
            <w:proofErr w:type="spellStart"/>
            <w:r w:rsidRPr="007C5074">
              <w:rPr>
                <w:rFonts w:ascii="Calibri Light" w:eastAsia="Times New Roman" w:hAnsi="Calibri Light" w:cs="Calibri Light"/>
                <w:color w:val="000000"/>
              </w:rPr>
              <w:t>Thienpont</w:t>
            </w:r>
            <w:proofErr w:type="spellEnd"/>
            <w:r w:rsidRPr="007C5074">
              <w:rPr>
                <w:rFonts w:ascii="Calibri Light" w:eastAsia="Times New Roman" w:hAnsi="Calibri Light" w:cs="Calibri Light"/>
                <w:color w:val="000000"/>
              </w:rPr>
              <w:t xml:space="preserve"> 2015</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3F106C4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Zhu 2017</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74178A6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Chen 2015</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4624A539"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Rathod 2015</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06E34A76" w14:textId="77777777" w:rsidR="00D12264" w:rsidRPr="007C5074" w:rsidRDefault="00D12264" w:rsidP="009C1F61">
            <w:pPr>
              <w:spacing w:line="240" w:lineRule="auto"/>
              <w:jc w:val="center"/>
              <w:rPr>
                <w:rFonts w:ascii="Calibri Light" w:eastAsia="Times New Roman" w:hAnsi="Calibri Light" w:cs="Calibri Light"/>
                <w:color w:val="000000"/>
              </w:rPr>
            </w:pPr>
            <w:proofErr w:type="spellStart"/>
            <w:r w:rsidRPr="007C5074">
              <w:rPr>
                <w:rFonts w:ascii="Calibri Light" w:eastAsia="Times New Roman" w:hAnsi="Calibri Light" w:cs="Calibri Light"/>
                <w:color w:val="000000"/>
              </w:rPr>
              <w:t>Renson</w:t>
            </w:r>
            <w:proofErr w:type="spellEnd"/>
            <w:r w:rsidRPr="007C5074">
              <w:rPr>
                <w:rFonts w:ascii="Calibri Light" w:eastAsia="Times New Roman" w:hAnsi="Calibri Light" w:cs="Calibri Light"/>
                <w:color w:val="000000"/>
              </w:rPr>
              <w:t xml:space="preserve"> 2014</w:t>
            </w:r>
          </w:p>
        </w:tc>
        <w:tc>
          <w:tcPr>
            <w:tcW w:w="520" w:type="dxa"/>
            <w:tcBorders>
              <w:top w:val="nil"/>
              <w:left w:val="nil"/>
              <w:bottom w:val="single" w:sz="4" w:space="0" w:color="auto"/>
              <w:right w:val="nil"/>
            </w:tcBorders>
            <w:shd w:val="clear" w:color="auto" w:fill="F2F2F2" w:themeFill="background1" w:themeFillShade="F2"/>
            <w:noWrap/>
            <w:textDirection w:val="btLr"/>
            <w:vAlign w:val="bottom"/>
            <w:hideMark/>
          </w:tcPr>
          <w:p w14:paraId="58AC40AC" w14:textId="77777777" w:rsidR="00D12264" w:rsidRPr="007C5074" w:rsidRDefault="00D12264" w:rsidP="009C1F61">
            <w:pPr>
              <w:spacing w:line="240" w:lineRule="auto"/>
              <w:jc w:val="center"/>
              <w:rPr>
                <w:rFonts w:ascii="Calibri Light" w:eastAsia="Times New Roman" w:hAnsi="Calibri Light" w:cs="Calibri Light"/>
              </w:rPr>
            </w:pPr>
            <w:r w:rsidRPr="007C5074">
              <w:rPr>
                <w:rFonts w:ascii="Calibri Light" w:eastAsia="Times New Roman" w:hAnsi="Calibri Light" w:cs="Calibri Light"/>
              </w:rPr>
              <w:t>White 115</w:t>
            </w:r>
          </w:p>
        </w:tc>
      </w:tr>
      <w:tr w:rsidR="00D12264" w:rsidRPr="007C5074" w14:paraId="202F52FC" w14:textId="77777777" w:rsidTr="009C1F61">
        <w:trPr>
          <w:trHeight w:val="300"/>
        </w:trPr>
        <w:tc>
          <w:tcPr>
            <w:tcW w:w="4540" w:type="dxa"/>
            <w:tcBorders>
              <w:top w:val="nil"/>
              <w:left w:val="nil"/>
              <w:bottom w:val="nil"/>
              <w:right w:val="nil"/>
            </w:tcBorders>
            <w:shd w:val="clear" w:color="auto" w:fill="FFFFFF" w:themeFill="background1"/>
            <w:noWrap/>
            <w:vAlign w:val="bottom"/>
            <w:hideMark/>
          </w:tcPr>
          <w:p w14:paraId="3DB8E953"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A clearly stated aim</w:t>
            </w:r>
          </w:p>
        </w:tc>
        <w:tc>
          <w:tcPr>
            <w:tcW w:w="520" w:type="dxa"/>
            <w:tcBorders>
              <w:top w:val="nil"/>
              <w:left w:val="nil"/>
              <w:bottom w:val="nil"/>
              <w:right w:val="nil"/>
            </w:tcBorders>
            <w:shd w:val="clear" w:color="auto" w:fill="FFFFFF" w:themeFill="background1"/>
            <w:noWrap/>
            <w:vAlign w:val="center"/>
            <w:hideMark/>
          </w:tcPr>
          <w:p w14:paraId="79DBF76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06AE497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67450C3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5EF22D03"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0BB5AB2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5374A414"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3CC77F1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4C63577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1A1E6BD6"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1C1BA5C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6BB4274C"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7954848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3A6DC51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r>
      <w:tr w:rsidR="00D12264" w:rsidRPr="007C5074" w14:paraId="305515AA" w14:textId="77777777" w:rsidTr="009C1F61">
        <w:trPr>
          <w:trHeight w:val="300"/>
        </w:trPr>
        <w:tc>
          <w:tcPr>
            <w:tcW w:w="4540" w:type="dxa"/>
            <w:tcBorders>
              <w:top w:val="nil"/>
              <w:left w:val="nil"/>
              <w:bottom w:val="nil"/>
              <w:right w:val="nil"/>
            </w:tcBorders>
            <w:shd w:val="clear" w:color="auto" w:fill="F2F2F2" w:themeFill="background1" w:themeFillShade="F2"/>
            <w:noWrap/>
            <w:vAlign w:val="bottom"/>
            <w:hideMark/>
          </w:tcPr>
          <w:p w14:paraId="528F4D89"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Inclusion of consecutive patients</w:t>
            </w:r>
          </w:p>
        </w:tc>
        <w:tc>
          <w:tcPr>
            <w:tcW w:w="520" w:type="dxa"/>
            <w:tcBorders>
              <w:top w:val="nil"/>
              <w:left w:val="nil"/>
              <w:bottom w:val="nil"/>
              <w:right w:val="nil"/>
            </w:tcBorders>
            <w:shd w:val="clear" w:color="auto" w:fill="F2F2F2" w:themeFill="background1" w:themeFillShade="F2"/>
            <w:noWrap/>
            <w:vAlign w:val="center"/>
            <w:hideMark/>
          </w:tcPr>
          <w:p w14:paraId="5E9E5F4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7CB91C5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64808294"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311E4D4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728814C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69930584"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48477B5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795358AC"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0D7DB4C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2A8DC8C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1C5B7B5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7C988429"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02130FE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r>
      <w:tr w:rsidR="00D12264" w:rsidRPr="007C5074" w14:paraId="0316BFE7" w14:textId="77777777" w:rsidTr="009C1F61">
        <w:trPr>
          <w:trHeight w:val="300"/>
        </w:trPr>
        <w:tc>
          <w:tcPr>
            <w:tcW w:w="4540" w:type="dxa"/>
            <w:tcBorders>
              <w:top w:val="nil"/>
              <w:left w:val="nil"/>
              <w:bottom w:val="nil"/>
              <w:right w:val="nil"/>
            </w:tcBorders>
            <w:shd w:val="clear" w:color="auto" w:fill="FFFFFF" w:themeFill="background1"/>
            <w:noWrap/>
            <w:vAlign w:val="bottom"/>
            <w:hideMark/>
          </w:tcPr>
          <w:p w14:paraId="4B2CD5F4"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Prospective collection of data</w:t>
            </w:r>
          </w:p>
        </w:tc>
        <w:tc>
          <w:tcPr>
            <w:tcW w:w="520" w:type="dxa"/>
            <w:tcBorders>
              <w:top w:val="nil"/>
              <w:left w:val="nil"/>
              <w:bottom w:val="nil"/>
              <w:right w:val="nil"/>
            </w:tcBorders>
            <w:shd w:val="clear" w:color="auto" w:fill="FFFFFF" w:themeFill="background1"/>
            <w:noWrap/>
            <w:vAlign w:val="center"/>
            <w:hideMark/>
          </w:tcPr>
          <w:p w14:paraId="1218CF2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5CCFD904"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2CC56418"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2B9DA6F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5A1A243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37EB784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5F729ED3"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4B43ECB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07DD80E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57A5DB0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10D08A9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2B617DA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561F1FE0"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r>
      <w:tr w:rsidR="00D12264" w:rsidRPr="007C5074" w14:paraId="05EEBF48" w14:textId="77777777" w:rsidTr="009C1F61">
        <w:trPr>
          <w:trHeight w:val="300"/>
        </w:trPr>
        <w:tc>
          <w:tcPr>
            <w:tcW w:w="4540" w:type="dxa"/>
            <w:tcBorders>
              <w:top w:val="nil"/>
              <w:left w:val="nil"/>
              <w:bottom w:val="nil"/>
              <w:right w:val="nil"/>
            </w:tcBorders>
            <w:shd w:val="clear" w:color="auto" w:fill="F2F2F2" w:themeFill="background1" w:themeFillShade="F2"/>
            <w:noWrap/>
            <w:vAlign w:val="bottom"/>
            <w:hideMark/>
          </w:tcPr>
          <w:p w14:paraId="1ACCA722"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Endpoints appropriate to the aim of the study</w:t>
            </w:r>
          </w:p>
        </w:tc>
        <w:tc>
          <w:tcPr>
            <w:tcW w:w="520" w:type="dxa"/>
            <w:tcBorders>
              <w:top w:val="nil"/>
              <w:left w:val="nil"/>
              <w:bottom w:val="nil"/>
              <w:right w:val="nil"/>
            </w:tcBorders>
            <w:shd w:val="clear" w:color="auto" w:fill="F2F2F2" w:themeFill="background1" w:themeFillShade="F2"/>
            <w:noWrap/>
            <w:vAlign w:val="center"/>
            <w:hideMark/>
          </w:tcPr>
          <w:p w14:paraId="38348F4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5368A188"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7009ADF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3E644C4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28CF0E6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2A6800E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72F83B78"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380E4D5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17BA38C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5E2033C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146E65A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6A3F93A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240F9C5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r>
      <w:tr w:rsidR="00D12264" w:rsidRPr="007C5074" w14:paraId="74A919AF" w14:textId="77777777" w:rsidTr="009C1F61">
        <w:trPr>
          <w:trHeight w:val="300"/>
        </w:trPr>
        <w:tc>
          <w:tcPr>
            <w:tcW w:w="4540" w:type="dxa"/>
            <w:tcBorders>
              <w:top w:val="nil"/>
              <w:left w:val="nil"/>
              <w:bottom w:val="nil"/>
              <w:right w:val="nil"/>
            </w:tcBorders>
            <w:shd w:val="clear" w:color="auto" w:fill="FFFFFF" w:themeFill="background1"/>
            <w:noWrap/>
            <w:vAlign w:val="bottom"/>
            <w:hideMark/>
          </w:tcPr>
          <w:p w14:paraId="332CEDAC"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Unbiased assessment of the study endpoint</w:t>
            </w:r>
          </w:p>
        </w:tc>
        <w:tc>
          <w:tcPr>
            <w:tcW w:w="520" w:type="dxa"/>
            <w:tcBorders>
              <w:top w:val="nil"/>
              <w:left w:val="nil"/>
              <w:bottom w:val="nil"/>
              <w:right w:val="nil"/>
            </w:tcBorders>
            <w:shd w:val="clear" w:color="auto" w:fill="FFFFFF" w:themeFill="background1"/>
            <w:noWrap/>
            <w:vAlign w:val="center"/>
            <w:hideMark/>
          </w:tcPr>
          <w:p w14:paraId="5DA6A20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5CA27F0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60F0B20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0CEB432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387C5CB4"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15FD32F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2D98215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4042EB2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62432E7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465BB25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46D5F5F8"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194A0BA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48AECAD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r>
      <w:tr w:rsidR="00D12264" w:rsidRPr="007C5074" w14:paraId="29C35C73" w14:textId="77777777" w:rsidTr="009C1F61">
        <w:trPr>
          <w:trHeight w:val="300"/>
        </w:trPr>
        <w:tc>
          <w:tcPr>
            <w:tcW w:w="4540" w:type="dxa"/>
            <w:tcBorders>
              <w:top w:val="nil"/>
              <w:left w:val="nil"/>
              <w:bottom w:val="nil"/>
              <w:right w:val="nil"/>
            </w:tcBorders>
            <w:shd w:val="clear" w:color="auto" w:fill="F2F2F2" w:themeFill="background1" w:themeFillShade="F2"/>
            <w:noWrap/>
            <w:vAlign w:val="bottom"/>
            <w:hideMark/>
          </w:tcPr>
          <w:p w14:paraId="164B3E85"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Follow-up period appropriate to the aim of the study</w:t>
            </w:r>
          </w:p>
        </w:tc>
        <w:tc>
          <w:tcPr>
            <w:tcW w:w="520" w:type="dxa"/>
            <w:tcBorders>
              <w:top w:val="nil"/>
              <w:left w:val="nil"/>
              <w:bottom w:val="nil"/>
              <w:right w:val="nil"/>
            </w:tcBorders>
            <w:shd w:val="clear" w:color="auto" w:fill="F2F2F2" w:themeFill="background1" w:themeFillShade="F2"/>
            <w:noWrap/>
            <w:vAlign w:val="center"/>
            <w:hideMark/>
          </w:tcPr>
          <w:p w14:paraId="5FAA362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1FED4F9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6E131544"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6D23C17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0FC2FF4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46C80E0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03CFD89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57B5312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5D2CBC7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18477D73"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09A45230"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7FF1B1C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763D53C3"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r>
      <w:tr w:rsidR="00D12264" w:rsidRPr="007C5074" w14:paraId="7CC8AB3F" w14:textId="77777777" w:rsidTr="009C1F61">
        <w:trPr>
          <w:trHeight w:val="300"/>
        </w:trPr>
        <w:tc>
          <w:tcPr>
            <w:tcW w:w="4540" w:type="dxa"/>
            <w:tcBorders>
              <w:top w:val="nil"/>
              <w:left w:val="nil"/>
              <w:bottom w:val="nil"/>
              <w:right w:val="nil"/>
            </w:tcBorders>
            <w:shd w:val="clear" w:color="auto" w:fill="FFFFFF" w:themeFill="background1"/>
            <w:noWrap/>
            <w:vAlign w:val="bottom"/>
            <w:hideMark/>
          </w:tcPr>
          <w:p w14:paraId="46BE5DF3"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Loss to follow up less than 5%</w:t>
            </w:r>
          </w:p>
        </w:tc>
        <w:tc>
          <w:tcPr>
            <w:tcW w:w="520" w:type="dxa"/>
            <w:tcBorders>
              <w:top w:val="nil"/>
              <w:left w:val="nil"/>
              <w:bottom w:val="nil"/>
              <w:right w:val="nil"/>
            </w:tcBorders>
            <w:shd w:val="clear" w:color="auto" w:fill="FFFFFF" w:themeFill="background1"/>
            <w:noWrap/>
            <w:vAlign w:val="center"/>
            <w:hideMark/>
          </w:tcPr>
          <w:p w14:paraId="102719A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470F13F9"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287E132C"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07B23F0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5C2994D0"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423EC72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7D6B09F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0E6A510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1FB33C9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3A28CF9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4AB0A00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74F92ED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16880F89"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r>
      <w:tr w:rsidR="00D12264" w:rsidRPr="007C5074" w14:paraId="14A0E7C6" w14:textId="77777777" w:rsidTr="009C1F61">
        <w:trPr>
          <w:trHeight w:val="300"/>
        </w:trPr>
        <w:tc>
          <w:tcPr>
            <w:tcW w:w="4540" w:type="dxa"/>
            <w:tcBorders>
              <w:top w:val="nil"/>
              <w:left w:val="nil"/>
              <w:bottom w:val="nil"/>
              <w:right w:val="nil"/>
            </w:tcBorders>
            <w:shd w:val="clear" w:color="auto" w:fill="F2F2F2" w:themeFill="background1" w:themeFillShade="F2"/>
            <w:noWrap/>
            <w:vAlign w:val="bottom"/>
            <w:hideMark/>
          </w:tcPr>
          <w:p w14:paraId="395E7DBB"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Prospective calculation of the study</w:t>
            </w:r>
          </w:p>
        </w:tc>
        <w:tc>
          <w:tcPr>
            <w:tcW w:w="520" w:type="dxa"/>
            <w:tcBorders>
              <w:top w:val="nil"/>
              <w:left w:val="nil"/>
              <w:bottom w:val="nil"/>
              <w:right w:val="nil"/>
            </w:tcBorders>
            <w:shd w:val="clear" w:color="auto" w:fill="F2F2F2" w:themeFill="background1" w:themeFillShade="F2"/>
            <w:noWrap/>
            <w:vAlign w:val="center"/>
            <w:hideMark/>
          </w:tcPr>
          <w:p w14:paraId="790A53DC"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1C40127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6111164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6791753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524AB8B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179E0AD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2513C92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0319BE16"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0D9DF35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7F8CFD90"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5EE86D8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15BFBE53"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2F2F2" w:themeFill="background1" w:themeFillShade="F2"/>
            <w:noWrap/>
            <w:vAlign w:val="center"/>
            <w:hideMark/>
          </w:tcPr>
          <w:p w14:paraId="77F5328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r>
      <w:tr w:rsidR="00D12264" w:rsidRPr="007C5074" w14:paraId="0F3930B0" w14:textId="77777777" w:rsidTr="009C1F61">
        <w:trPr>
          <w:trHeight w:val="300"/>
        </w:trPr>
        <w:tc>
          <w:tcPr>
            <w:tcW w:w="4540" w:type="dxa"/>
            <w:tcBorders>
              <w:top w:val="nil"/>
              <w:left w:val="nil"/>
              <w:bottom w:val="nil"/>
              <w:right w:val="nil"/>
            </w:tcBorders>
            <w:shd w:val="clear" w:color="auto" w:fill="FFFFFF" w:themeFill="background1"/>
            <w:noWrap/>
            <w:vAlign w:val="bottom"/>
            <w:hideMark/>
          </w:tcPr>
          <w:p w14:paraId="7BE85258"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An adequate control group</w:t>
            </w:r>
          </w:p>
        </w:tc>
        <w:tc>
          <w:tcPr>
            <w:tcW w:w="520" w:type="dxa"/>
            <w:tcBorders>
              <w:top w:val="nil"/>
              <w:left w:val="nil"/>
              <w:bottom w:val="nil"/>
              <w:right w:val="nil"/>
            </w:tcBorders>
            <w:shd w:val="clear" w:color="auto" w:fill="FFFFFF" w:themeFill="background1"/>
            <w:noWrap/>
            <w:vAlign w:val="center"/>
            <w:hideMark/>
          </w:tcPr>
          <w:p w14:paraId="1AABFBB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52E598F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4D292520"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3E8212B8"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1F14EB5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00965CC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2371F9C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66887666"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1C331F5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70469E4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6032064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7A284DA0"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7736DFE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r>
      <w:tr w:rsidR="00D12264" w:rsidRPr="007C5074" w14:paraId="3A916EF0" w14:textId="77777777" w:rsidTr="009C1F61">
        <w:trPr>
          <w:trHeight w:val="300"/>
        </w:trPr>
        <w:tc>
          <w:tcPr>
            <w:tcW w:w="4540" w:type="dxa"/>
            <w:tcBorders>
              <w:top w:val="nil"/>
              <w:left w:val="nil"/>
              <w:bottom w:val="nil"/>
              <w:right w:val="nil"/>
            </w:tcBorders>
            <w:shd w:val="clear" w:color="auto" w:fill="F2F2F2" w:themeFill="background1" w:themeFillShade="F2"/>
            <w:noWrap/>
            <w:vAlign w:val="bottom"/>
            <w:hideMark/>
          </w:tcPr>
          <w:p w14:paraId="200D7C39"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Contemporary groups</w:t>
            </w:r>
          </w:p>
        </w:tc>
        <w:tc>
          <w:tcPr>
            <w:tcW w:w="520" w:type="dxa"/>
            <w:tcBorders>
              <w:top w:val="nil"/>
              <w:left w:val="nil"/>
              <w:bottom w:val="nil"/>
              <w:right w:val="nil"/>
            </w:tcBorders>
            <w:shd w:val="clear" w:color="auto" w:fill="F2F2F2" w:themeFill="background1" w:themeFillShade="F2"/>
            <w:noWrap/>
            <w:vAlign w:val="center"/>
            <w:hideMark/>
          </w:tcPr>
          <w:p w14:paraId="40635798"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3E244799"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10DB893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512B7AD0"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2F2F2" w:themeFill="background1" w:themeFillShade="F2"/>
            <w:noWrap/>
            <w:vAlign w:val="center"/>
            <w:hideMark/>
          </w:tcPr>
          <w:p w14:paraId="0C135F1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5E34EEC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2FB8D27C"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606FAD7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375FC1CC"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6F9A6EB9"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1296913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354DB4F0"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2F2F2" w:themeFill="background1" w:themeFillShade="F2"/>
            <w:noWrap/>
            <w:vAlign w:val="center"/>
            <w:hideMark/>
          </w:tcPr>
          <w:p w14:paraId="0123196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r>
      <w:tr w:rsidR="00D12264" w:rsidRPr="007C5074" w14:paraId="288864A5" w14:textId="77777777" w:rsidTr="009C1F61">
        <w:trPr>
          <w:trHeight w:val="300"/>
        </w:trPr>
        <w:tc>
          <w:tcPr>
            <w:tcW w:w="4540" w:type="dxa"/>
            <w:tcBorders>
              <w:top w:val="nil"/>
              <w:left w:val="nil"/>
              <w:bottom w:val="nil"/>
              <w:right w:val="nil"/>
            </w:tcBorders>
            <w:shd w:val="clear" w:color="auto" w:fill="FFFFFF" w:themeFill="background1"/>
            <w:noWrap/>
            <w:vAlign w:val="bottom"/>
            <w:hideMark/>
          </w:tcPr>
          <w:p w14:paraId="7859B8B7"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Baseline equivalence of groups</w:t>
            </w:r>
          </w:p>
        </w:tc>
        <w:tc>
          <w:tcPr>
            <w:tcW w:w="520" w:type="dxa"/>
            <w:tcBorders>
              <w:top w:val="nil"/>
              <w:left w:val="nil"/>
              <w:bottom w:val="nil"/>
              <w:right w:val="nil"/>
            </w:tcBorders>
            <w:shd w:val="clear" w:color="auto" w:fill="FFFFFF" w:themeFill="background1"/>
            <w:noWrap/>
            <w:vAlign w:val="center"/>
            <w:hideMark/>
          </w:tcPr>
          <w:p w14:paraId="25102D6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78A9C777"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24560948"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13AEDC1C"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363EE68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0</w:t>
            </w:r>
          </w:p>
        </w:tc>
        <w:tc>
          <w:tcPr>
            <w:tcW w:w="520" w:type="dxa"/>
            <w:tcBorders>
              <w:top w:val="nil"/>
              <w:left w:val="nil"/>
              <w:bottom w:val="nil"/>
              <w:right w:val="nil"/>
            </w:tcBorders>
            <w:shd w:val="clear" w:color="auto" w:fill="FFFFFF" w:themeFill="background1"/>
            <w:noWrap/>
            <w:vAlign w:val="center"/>
            <w:hideMark/>
          </w:tcPr>
          <w:p w14:paraId="261F9AE6"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w:t>
            </w:r>
          </w:p>
        </w:tc>
        <w:tc>
          <w:tcPr>
            <w:tcW w:w="520" w:type="dxa"/>
            <w:tcBorders>
              <w:top w:val="nil"/>
              <w:left w:val="nil"/>
              <w:bottom w:val="nil"/>
              <w:right w:val="nil"/>
            </w:tcBorders>
            <w:shd w:val="clear" w:color="auto" w:fill="FFFFFF" w:themeFill="background1"/>
            <w:noWrap/>
            <w:vAlign w:val="center"/>
            <w:hideMark/>
          </w:tcPr>
          <w:p w14:paraId="25861DB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252E6C6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0101F92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43C0DE9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5927CC8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66DF1B08"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nil"/>
              <w:right w:val="nil"/>
            </w:tcBorders>
            <w:shd w:val="clear" w:color="auto" w:fill="FFFFFF" w:themeFill="background1"/>
            <w:noWrap/>
            <w:vAlign w:val="center"/>
            <w:hideMark/>
          </w:tcPr>
          <w:p w14:paraId="181CEBA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r>
      <w:tr w:rsidR="00D12264" w:rsidRPr="007C5074" w14:paraId="1C8A4B49" w14:textId="77777777" w:rsidTr="009C1F61">
        <w:trPr>
          <w:trHeight w:val="300"/>
        </w:trPr>
        <w:tc>
          <w:tcPr>
            <w:tcW w:w="4540" w:type="dxa"/>
            <w:tcBorders>
              <w:top w:val="nil"/>
              <w:left w:val="nil"/>
              <w:bottom w:val="single" w:sz="4" w:space="0" w:color="auto"/>
              <w:right w:val="nil"/>
            </w:tcBorders>
            <w:shd w:val="clear" w:color="auto" w:fill="F2F2F2" w:themeFill="background1" w:themeFillShade="F2"/>
            <w:noWrap/>
            <w:vAlign w:val="bottom"/>
            <w:hideMark/>
          </w:tcPr>
          <w:p w14:paraId="1389C9AA"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Adequate statistical analysis</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280A2952"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28DFE8DC"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30F510FF"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4499CEA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5B9958C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24EF6CB0"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10295DB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1DFD6E7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1E842A38"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4F546F66"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754279B6"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12443D4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c>
          <w:tcPr>
            <w:tcW w:w="520" w:type="dxa"/>
            <w:tcBorders>
              <w:top w:val="nil"/>
              <w:left w:val="nil"/>
              <w:bottom w:val="single" w:sz="4" w:space="0" w:color="auto"/>
              <w:right w:val="nil"/>
            </w:tcBorders>
            <w:shd w:val="clear" w:color="auto" w:fill="F2F2F2" w:themeFill="background1" w:themeFillShade="F2"/>
            <w:noWrap/>
            <w:vAlign w:val="center"/>
            <w:hideMark/>
          </w:tcPr>
          <w:p w14:paraId="5EEF472C"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w:t>
            </w:r>
          </w:p>
        </w:tc>
      </w:tr>
      <w:tr w:rsidR="00D12264" w:rsidRPr="007C5074" w14:paraId="626E78A0" w14:textId="77777777" w:rsidTr="009C1F61">
        <w:trPr>
          <w:trHeight w:val="400"/>
        </w:trPr>
        <w:tc>
          <w:tcPr>
            <w:tcW w:w="4540" w:type="dxa"/>
            <w:tcBorders>
              <w:top w:val="nil"/>
              <w:left w:val="nil"/>
              <w:bottom w:val="nil"/>
              <w:right w:val="nil"/>
            </w:tcBorders>
            <w:shd w:val="clear" w:color="auto" w:fill="FFFFFF" w:themeFill="background1"/>
            <w:noWrap/>
            <w:vAlign w:val="bottom"/>
            <w:hideMark/>
          </w:tcPr>
          <w:p w14:paraId="0077035E" w14:textId="77777777" w:rsidR="00D12264" w:rsidRPr="007C5074" w:rsidRDefault="00D12264" w:rsidP="009C1F61">
            <w:pPr>
              <w:spacing w:line="240" w:lineRule="auto"/>
              <w:rPr>
                <w:rFonts w:ascii="Calibri Light" w:eastAsia="Times New Roman" w:hAnsi="Calibri Light" w:cs="Calibri Light"/>
                <w:color w:val="000000"/>
                <w:sz w:val="20"/>
                <w:szCs w:val="20"/>
              </w:rPr>
            </w:pPr>
            <w:r w:rsidRPr="007C5074">
              <w:rPr>
                <w:rFonts w:ascii="Calibri Light" w:eastAsia="Times New Roman" w:hAnsi="Calibri Light" w:cs="Calibri Light"/>
                <w:color w:val="000000"/>
                <w:sz w:val="20"/>
                <w:szCs w:val="20"/>
              </w:rPr>
              <w:t>Total</w:t>
            </w:r>
          </w:p>
        </w:tc>
        <w:tc>
          <w:tcPr>
            <w:tcW w:w="520" w:type="dxa"/>
            <w:tcBorders>
              <w:top w:val="nil"/>
              <w:left w:val="nil"/>
              <w:bottom w:val="nil"/>
              <w:right w:val="nil"/>
            </w:tcBorders>
            <w:shd w:val="clear" w:color="auto" w:fill="FFFFFF" w:themeFill="background1"/>
            <w:noWrap/>
            <w:vAlign w:val="center"/>
            <w:hideMark/>
          </w:tcPr>
          <w:p w14:paraId="70C8EA70"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20</w:t>
            </w:r>
          </w:p>
        </w:tc>
        <w:tc>
          <w:tcPr>
            <w:tcW w:w="520" w:type="dxa"/>
            <w:tcBorders>
              <w:top w:val="nil"/>
              <w:left w:val="nil"/>
              <w:bottom w:val="nil"/>
              <w:right w:val="nil"/>
            </w:tcBorders>
            <w:shd w:val="clear" w:color="auto" w:fill="FFFFFF" w:themeFill="background1"/>
            <w:noWrap/>
            <w:vAlign w:val="center"/>
            <w:hideMark/>
          </w:tcPr>
          <w:p w14:paraId="66D6BADB"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9</w:t>
            </w:r>
          </w:p>
        </w:tc>
        <w:tc>
          <w:tcPr>
            <w:tcW w:w="520" w:type="dxa"/>
            <w:tcBorders>
              <w:top w:val="nil"/>
              <w:left w:val="nil"/>
              <w:bottom w:val="nil"/>
              <w:right w:val="nil"/>
            </w:tcBorders>
            <w:shd w:val="clear" w:color="auto" w:fill="FFFFFF" w:themeFill="background1"/>
            <w:noWrap/>
            <w:vAlign w:val="center"/>
            <w:hideMark/>
          </w:tcPr>
          <w:p w14:paraId="56CB45C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13</w:t>
            </w:r>
          </w:p>
        </w:tc>
        <w:tc>
          <w:tcPr>
            <w:tcW w:w="520" w:type="dxa"/>
            <w:tcBorders>
              <w:top w:val="nil"/>
              <w:left w:val="nil"/>
              <w:bottom w:val="nil"/>
              <w:right w:val="nil"/>
            </w:tcBorders>
            <w:shd w:val="clear" w:color="auto" w:fill="FFFFFF" w:themeFill="background1"/>
            <w:noWrap/>
            <w:vAlign w:val="center"/>
            <w:hideMark/>
          </w:tcPr>
          <w:p w14:paraId="4F41353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13</w:t>
            </w:r>
          </w:p>
        </w:tc>
        <w:tc>
          <w:tcPr>
            <w:tcW w:w="520" w:type="dxa"/>
            <w:tcBorders>
              <w:top w:val="nil"/>
              <w:left w:val="nil"/>
              <w:bottom w:val="nil"/>
              <w:right w:val="nil"/>
            </w:tcBorders>
            <w:shd w:val="clear" w:color="auto" w:fill="FFFFFF" w:themeFill="background1"/>
            <w:noWrap/>
            <w:vAlign w:val="center"/>
            <w:hideMark/>
          </w:tcPr>
          <w:p w14:paraId="13A463B8"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16</w:t>
            </w:r>
          </w:p>
        </w:tc>
        <w:tc>
          <w:tcPr>
            <w:tcW w:w="520" w:type="dxa"/>
            <w:tcBorders>
              <w:top w:val="nil"/>
              <w:left w:val="nil"/>
              <w:bottom w:val="nil"/>
              <w:right w:val="nil"/>
            </w:tcBorders>
            <w:shd w:val="clear" w:color="auto" w:fill="FFFFFF" w:themeFill="background1"/>
            <w:noWrap/>
            <w:vAlign w:val="center"/>
            <w:hideMark/>
          </w:tcPr>
          <w:p w14:paraId="2492354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15</w:t>
            </w:r>
          </w:p>
        </w:tc>
        <w:tc>
          <w:tcPr>
            <w:tcW w:w="520" w:type="dxa"/>
            <w:tcBorders>
              <w:top w:val="nil"/>
              <w:left w:val="nil"/>
              <w:bottom w:val="nil"/>
              <w:right w:val="nil"/>
            </w:tcBorders>
            <w:shd w:val="clear" w:color="auto" w:fill="FFFFFF" w:themeFill="background1"/>
            <w:noWrap/>
            <w:vAlign w:val="center"/>
            <w:hideMark/>
          </w:tcPr>
          <w:p w14:paraId="1813B24D"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14</w:t>
            </w:r>
          </w:p>
        </w:tc>
        <w:tc>
          <w:tcPr>
            <w:tcW w:w="520" w:type="dxa"/>
            <w:tcBorders>
              <w:top w:val="nil"/>
              <w:left w:val="nil"/>
              <w:bottom w:val="nil"/>
              <w:right w:val="nil"/>
            </w:tcBorders>
            <w:shd w:val="clear" w:color="auto" w:fill="FFFFFF" w:themeFill="background1"/>
            <w:noWrap/>
            <w:vAlign w:val="center"/>
            <w:hideMark/>
          </w:tcPr>
          <w:p w14:paraId="46ABF9F5"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16</w:t>
            </w:r>
          </w:p>
        </w:tc>
        <w:tc>
          <w:tcPr>
            <w:tcW w:w="520" w:type="dxa"/>
            <w:tcBorders>
              <w:top w:val="nil"/>
              <w:left w:val="nil"/>
              <w:bottom w:val="nil"/>
              <w:right w:val="nil"/>
            </w:tcBorders>
            <w:shd w:val="clear" w:color="auto" w:fill="FFFFFF" w:themeFill="background1"/>
            <w:noWrap/>
            <w:vAlign w:val="center"/>
            <w:hideMark/>
          </w:tcPr>
          <w:p w14:paraId="4EA0F881"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22</w:t>
            </w:r>
          </w:p>
        </w:tc>
        <w:tc>
          <w:tcPr>
            <w:tcW w:w="520" w:type="dxa"/>
            <w:tcBorders>
              <w:top w:val="nil"/>
              <w:left w:val="nil"/>
              <w:bottom w:val="nil"/>
              <w:right w:val="nil"/>
            </w:tcBorders>
            <w:shd w:val="clear" w:color="auto" w:fill="FFFFFF" w:themeFill="background1"/>
            <w:noWrap/>
            <w:vAlign w:val="center"/>
            <w:hideMark/>
          </w:tcPr>
          <w:p w14:paraId="106A582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22</w:t>
            </w:r>
          </w:p>
        </w:tc>
        <w:tc>
          <w:tcPr>
            <w:tcW w:w="520" w:type="dxa"/>
            <w:tcBorders>
              <w:top w:val="nil"/>
              <w:left w:val="nil"/>
              <w:bottom w:val="nil"/>
              <w:right w:val="nil"/>
            </w:tcBorders>
            <w:shd w:val="clear" w:color="auto" w:fill="FFFFFF" w:themeFill="background1"/>
            <w:noWrap/>
            <w:vAlign w:val="center"/>
            <w:hideMark/>
          </w:tcPr>
          <w:p w14:paraId="5AC4FAEE"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19</w:t>
            </w:r>
          </w:p>
        </w:tc>
        <w:tc>
          <w:tcPr>
            <w:tcW w:w="520" w:type="dxa"/>
            <w:tcBorders>
              <w:top w:val="nil"/>
              <w:left w:val="nil"/>
              <w:bottom w:val="nil"/>
              <w:right w:val="nil"/>
            </w:tcBorders>
            <w:shd w:val="clear" w:color="auto" w:fill="FFFFFF" w:themeFill="background1"/>
            <w:noWrap/>
            <w:vAlign w:val="center"/>
            <w:hideMark/>
          </w:tcPr>
          <w:p w14:paraId="51DB54BA"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20</w:t>
            </w:r>
          </w:p>
        </w:tc>
        <w:tc>
          <w:tcPr>
            <w:tcW w:w="520" w:type="dxa"/>
            <w:tcBorders>
              <w:top w:val="nil"/>
              <w:left w:val="nil"/>
              <w:bottom w:val="nil"/>
              <w:right w:val="nil"/>
            </w:tcBorders>
            <w:shd w:val="clear" w:color="auto" w:fill="FFFFFF" w:themeFill="background1"/>
            <w:noWrap/>
            <w:vAlign w:val="center"/>
            <w:hideMark/>
          </w:tcPr>
          <w:p w14:paraId="664E3C5C" w14:textId="77777777" w:rsidR="00D12264" w:rsidRPr="007C5074" w:rsidRDefault="00D12264" w:rsidP="009C1F61">
            <w:pPr>
              <w:spacing w:line="240" w:lineRule="auto"/>
              <w:jc w:val="center"/>
              <w:rPr>
                <w:rFonts w:ascii="Calibri Light" w:eastAsia="Times New Roman" w:hAnsi="Calibri Light" w:cs="Calibri Light"/>
                <w:color w:val="000000"/>
              </w:rPr>
            </w:pPr>
            <w:r w:rsidRPr="007C5074">
              <w:rPr>
                <w:rFonts w:ascii="Calibri Light" w:eastAsia="Times New Roman" w:hAnsi="Calibri Light" w:cs="Calibri Light"/>
                <w:color w:val="000000"/>
              </w:rPr>
              <w:t>19</w:t>
            </w:r>
          </w:p>
        </w:tc>
      </w:tr>
    </w:tbl>
    <w:p w14:paraId="43167ED9" w14:textId="77777777" w:rsidR="00D12264" w:rsidRDefault="00D12264" w:rsidP="00D12264">
      <w:pPr>
        <w:spacing w:line="480" w:lineRule="auto"/>
        <w:rPr>
          <w:sz w:val="24"/>
          <w:szCs w:val="24"/>
        </w:rPr>
      </w:pPr>
    </w:p>
    <w:p w14:paraId="510D13D0" w14:textId="77777777" w:rsidR="00D12264" w:rsidRDefault="00D12264" w:rsidP="00D12264">
      <w:pPr>
        <w:spacing w:line="480" w:lineRule="auto"/>
        <w:rPr>
          <w:sz w:val="24"/>
          <w:szCs w:val="24"/>
        </w:rPr>
      </w:pPr>
    </w:p>
    <w:p w14:paraId="7DBDE940" w14:textId="77777777" w:rsidR="00D12264" w:rsidRDefault="00D12264" w:rsidP="00D12264">
      <w:pPr>
        <w:spacing w:line="480" w:lineRule="auto"/>
        <w:rPr>
          <w:sz w:val="24"/>
          <w:szCs w:val="24"/>
        </w:rPr>
        <w:sectPr w:rsidR="00D12264" w:rsidSect="003571EB">
          <w:pgSz w:w="15840" w:h="12240" w:orient="landscape"/>
          <w:pgMar w:top="1440" w:right="1080" w:bottom="1440" w:left="1080" w:header="708" w:footer="708" w:gutter="0"/>
          <w:cols w:space="708"/>
          <w:docGrid w:linePitch="360"/>
        </w:sectPr>
      </w:pPr>
    </w:p>
    <w:p w14:paraId="79AA4285" w14:textId="31F6D533" w:rsidR="00D12264" w:rsidRPr="00AE087E" w:rsidRDefault="00D12264" w:rsidP="00D12264">
      <w:pPr>
        <w:rPr>
          <w:b/>
        </w:rPr>
      </w:pPr>
      <w:r w:rsidRPr="00AE087E">
        <w:rPr>
          <w:b/>
        </w:rPr>
        <w:lastRenderedPageBreak/>
        <w:t xml:space="preserve">Appendix </w:t>
      </w:r>
      <w:r>
        <w:rPr>
          <w:b/>
        </w:rPr>
        <w:t>F.1</w:t>
      </w:r>
      <w:r w:rsidRPr="00AE087E">
        <w:rPr>
          <w:b/>
        </w:rPr>
        <w:t>: Forest plot in surgical site infection (RCTs and non-RCTs)</w:t>
      </w:r>
    </w:p>
    <w:p w14:paraId="13C6D557" w14:textId="77777777" w:rsidR="00D12264" w:rsidRDefault="00D12264" w:rsidP="00D12264">
      <w:r w:rsidRPr="00864A7E">
        <w:rPr>
          <w:noProof/>
          <w:lang w:val="en-US" w:eastAsia="en-US"/>
        </w:rPr>
        <w:drawing>
          <wp:inline distT="0" distB="0" distL="0" distR="0" wp14:anchorId="30FF659F" wp14:editId="50EA4FB0">
            <wp:extent cx="5943600" cy="297878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43600" cy="2978785"/>
                    </a:xfrm>
                    <a:prstGeom prst="rect">
                      <a:avLst/>
                    </a:prstGeom>
                  </pic:spPr>
                </pic:pic>
              </a:graphicData>
            </a:graphic>
          </wp:inline>
        </w:drawing>
      </w:r>
    </w:p>
    <w:p w14:paraId="4DF3292C" w14:textId="77777777" w:rsidR="00D12264" w:rsidRDefault="00D12264" w:rsidP="00D12264"/>
    <w:p w14:paraId="047F4A2A" w14:textId="77777777" w:rsidR="00D12264" w:rsidRDefault="00D12264" w:rsidP="00D12264"/>
    <w:p w14:paraId="224CE42F" w14:textId="2EC40B6B" w:rsidR="00D12264" w:rsidRPr="00AE087E" w:rsidRDefault="00D12264" w:rsidP="00D12264">
      <w:pPr>
        <w:rPr>
          <w:b/>
        </w:rPr>
      </w:pPr>
      <w:r w:rsidRPr="00AE087E">
        <w:rPr>
          <w:b/>
        </w:rPr>
        <w:t xml:space="preserve">Appendix </w:t>
      </w:r>
      <w:r>
        <w:rPr>
          <w:b/>
        </w:rPr>
        <w:t>F.2</w:t>
      </w:r>
      <w:r w:rsidRPr="00AE087E">
        <w:rPr>
          <w:b/>
        </w:rPr>
        <w:t>: Forest plot in surgical site infection (RCTs)</w:t>
      </w:r>
    </w:p>
    <w:p w14:paraId="7ADA9804" w14:textId="77777777" w:rsidR="00D12264" w:rsidRDefault="00D12264" w:rsidP="00D12264">
      <w:r w:rsidRPr="00864A7E">
        <w:rPr>
          <w:noProof/>
          <w:lang w:val="en-US" w:eastAsia="en-US"/>
        </w:rPr>
        <w:drawing>
          <wp:inline distT="0" distB="0" distL="0" distR="0" wp14:anchorId="4800055A" wp14:editId="43DA358C">
            <wp:extent cx="5943600" cy="2656205"/>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3600" cy="2656205"/>
                    </a:xfrm>
                    <a:prstGeom prst="rect">
                      <a:avLst/>
                    </a:prstGeom>
                  </pic:spPr>
                </pic:pic>
              </a:graphicData>
            </a:graphic>
          </wp:inline>
        </w:drawing>
      </w:r>
    </w:p>
    <w:p w14:paraId="2F06D374" w14:textId="77777777" w:rsidR="00D12264" w:rsidRDefault="00D12264" w:rsidP="00D12264"/>
    <w:p w14:paraId="33EAE8AD" w14:textId="77777777" w:rsidR="00D12264" w:rsidRDefault="00D12264" w:rsidP="00D12264"/>
    <w:p w14:paraId="55ECFF07" w14:textId="77777777" w:rsidR="00D12264" w:rsidRDefault="00D12264" w:rsidP="00D12264"/>
    <w:p w14:paraId="000082A5" w14:textId="77777777" w:rsidR="00D12264" w:rsidRDefault="00D12264" w:rsidP="00D12264"/>
    <w:p w14:paraId="2EA091EA" w14:textId="77777777" w:rsidR="00D12264" w:rsidRDefault="00D12264" w:rsidP="00D12264"/>
    <w:p w14:paraId="610A8AA9" w14:textId="77777777" w:rsidR="00D12264" w:rsidRDefault="00D12264" w:rsidP="00D12264"/>
    <w:p w14:paraId="6C76560D" w14:textId="77777777" w:rsidR="00D12264" w:rsidRDefault="00D12264" w:rsidP="00D12264"/>
    <w:p w14:paraId="12D016B4" w14:textId="77777777" w:rsidR="00D12264" w:rsidRDefault="00D12264" w:rsidP="00D12264"/>
    <w:p w14:paraId="5403B31C" w14:textId="77777777" w:rsidR="00D12264" w:rsidRDefault="00D12264" w:rsidP="00D12264"/>
    <w:p w14:paraId="2CFB0A19" w14:textId="77777777" w:rsidR="00D12264" w:rsidRDefault="00D12264" w:rsidP="00D12264"/>
    <w:p w14:paraId="35BF1B27" w14:textId="77777777" w:rsidR="00D12264" w:rsidRDefault="00D12264" w:rsidP="00D12264"/>
    <w:p w14:paraId="7F81783D" w14:textId="655DCA62" w:rsidR="00D12264" w:rsidRPr="00AE087E" w:rsidRDefault="00D12264" w:rsidP="00D12264">
      <w:pPr>
        <w:rPr>
          <w:b/>
        </w:rPr>
      </w:pPr>
      <w:r w:rsidRPr="00AE087E">
        <w:rPr>
          <w:b/>
        </w:rPr>
        <w:lastRenderedPageBreak/>
        <w:t xml:space="preserve">Appendix </w:t>
      </w:r>
      <w:r>
        <w:rPr>
          <w:b/>
        </w:rPr>
        <w:t>G.1</w:t>
      </w:r>
      <w:r w:rsidRPr="00AE087E">
        <w:rPr>
          <w:b/>
        </w:rPr>
        <w:t xml:space="preserve">: Forest plot in </w:t>
      </w:r>
      <w:r>
        <w:rPr>
          <w:b/>
        </w:rPr>
        <w:t>DVT</w:t>
      </w:r>
      <w:r w:rsidRPr="00AE087E">
        <w:rPr>
          <w:b/>
        </w:rPr>
        <w:t xml:space="preserve"> (RCTs and non-RCT</w:t>
      </w:r>
      <w:r>
        <w:rPr>
          <w:b/>
        </w:rPr>
        <w:t>s)</w:t>
      </w:r>
      <w:r w:rsidRPr="00864A7E">
        <w:rPr>
          <w:noProof/>
          <w:lang w:val="en-US" w:eastAsia="en-US"/>
        </w:rPr>
        <w:drawing>
          <wp:inline distT="0" distB="0" distL="0" distR="0" wp14:anchorId="25450C42" wp14:editId="64F415FE">
            <wp:extent cx="5943600" cy="274955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749550"/>
                    </a:xfrm>
                    <a:prstGeom prst="rect">
                      <a:avLst/>
                    </a:prstGeom>
                  </pic:spPr>
                </pic:pic>
              </a:graphicData>
            </a:graphic>
          </wp:inline>
        </w:drawing>
      </w:r>
    </w:p>
    <w:p w14:paraId="24EEAA88" w14:textId="77777777" w:rsidR="00D12264" w:rsidRDefault="00D12264" w:rsidP="00D12264"/>
    <w:p w14:paraId="7310EC4F" w14:textId="5A2A0F08" w:rsidR="00D12264" w:rsidRDefault="00D12264" w:rsidP="00D12264">
      <w:r w:rsidRPr="00AE087E">
        <w:rPr>
          <w:b/>
        </w:rPr>
        <w:t xml:space="preserve">Appendix </w:t>
      </w:r>
      <w:r>
        <w:rPr>
          <w:b/>
        </w:rPr>
        <w:t>G.2</w:t>
      </w:r>
      <w:r w:rsidRPr="00AE087E">
        <w:rPr>
          <w:b/>
        </w:rPr>
        <w:t xml:space="preserve">: Forest plot in </w:t>
      </w:r>
      <w:r>
        <w:rPr>
          <w:b/>
        </w:rPr>
        <w:t>DVT</w:t>
      </w:r>
      <w:r w:rsidRPr="00AE087E">
        <w:rPr>
          <w:b/>
        </w:rPr>
        <w:t xml:space="preserve"> (RCTs</w:t>
      </w:r>
      <w:r>
        <w:rPr>
          <w:b/>
        </w:rPr>
        <w:t>)</w:t>
      </w:r>
    </w:p>
    <w:p w14:paraId="6B4688C9" w14:textId="77777777" w:rsidR="00D12264" w:rsidRDefault="00D12264" w:rsidP="00D12264">
      <w:r w:rsidRPr="00864A7E">
        <w:rPr>
          <w:noProof/>
          <w:lang w:val="en-US" w:eastAsia="en-US"/>
        </w:rPr>
        <w:drawing>
          <wp:inline distT="0" distB="0" distL="0" distR="0" wp14:anchorId="02FC9F33" wp14:editId="3074068D">
            <wp:extent cx="5943600" cy="2550160"/>
            <wp:effectExtent l="0" t="0" r="0" b="254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2550160"/>
                    </a:xfrm>
                    <a:prstGeom prst="rect">
                      <a:avLst/>
                    </a:prstGeom>
                  </pic:spPr>
                </pic:pic>
              </a:graphicData>
            </a:graphic>
          </wp:inline>
        </w:drawing>
      </w:r>
    </w:p>
    <w:p w14:paraId="0BFA6B0D" w14:textId="77777777" w:rsidR="00D12264" w:rsidRDefault="00D12264" w:rsidP="00D12264"/>
    <w:p w14:paraId="20E99815" w14:textId="77777777" w:rsidR="00D12264" w:rsidRDefault="00D12264" w:rsidP="00D12264"/>
    <w:p w14:paraId="3C7C269C" w14:textId="77777777" w:rsidR="00D12264" w:rsidRDefault="00D12264" w:rsidP="00D12264"/>
    <w:p w14:paraId="01E2055E" w14:textId="77777777" w:rsidR="00D12264" w:rsidRDefault="00D12264" w:rsidP="00D12264"/>
    <w:p w14:paraId="56F4A0B1" w14:textId="77777777" w:rsidR="00D12264" w:rsidRDefault="00D12264" w:rsidP="00D12264"/>
    <w:p w14:paraId="01C59354" w14:textId="77777777" w:rsidR="00D12264" w:rsidRDefault="00D12264" w:rsidP="00D12264"/>
    <w:p w14:paraId="13B1ACA6" w14:textId="77777777" w:rsidR="00D12264" w:rsidRDefault="00D12264" w:rsidP="00D12264"/>
    <w:p w14:paraId="22391973" w14:textId="77777777" w:rsidR="00D12264" w:rsidRDefault="00D12264" w:rsidP="00D12264"/>
    <w:p w14:paraId="039223A7" w14:textId="77777777" w:rsidR="00D12264" w:rsidRDefault="00D12264" w:rsidP="00D12264"/>
    <w:p w14:paraId="186E6D1A" w14:textId="77777777" w:rsidR="00D12264" w:rsidRDefault="00D12264" w:rsidP="00D12264"/>
    <w:p w14:paraId="5F5C3118" w14:textId="77777777" w:rsidR="00D12264" w:rsidRDefault="00D12264" w:rsidP="00D12264"/>
    <w:p w14:paraId="6ED45DD4" w14:textId="77777777" w:rsidR="00D12264" w:rsidRDefault="00D12264" w:rsidP="00D12264"/>
    <w:p w14:paraId="64206E5F" w14:textId="77777777" w:rsidR="00D12264" w:rsidRDefault="00D12264" w:rsidP="00D12264"/>
    <w:p w14:paraId="4B372321" w14:textId="77777777" w:rsidR="00D12264" w:rsidRDefault="00D12264" w:rsidP="00D12264"/>
    <w:p w14:paraId="1D4B830E" w14:textId="77777777" w:rsidR="00D12264" w:rsidRDefault="00D12264" w:rsidP="00D12264"/>
    <w:p w14:paraId="74EF704C" w14:textId="1A8F824C" w:rsidR="00D12264" w:rsidRDefault="00D12264" w:rsidP="00D12264">
      <w:r w:rsidRPr="00AE087E">
        <w:rPr>
          <w:b/>
        </w:rPr>
        <w:lastRenderedPageBreak/>
        <w:t xml:space="preserve">Appendix </w:t>
      </w:r>
      <w:r>
        <w:rPr>
          <w:b/>
        </w:rPr>
        <w:t>H.1</w:t>
      </w:r>
      <w:r w:rsidRPr="00AE087E">
        <w:rPr>
          <w:b/>
        </w:rPr>
        <w:t xml:space="preserve">: Forest plot in </w:t>
      </w:r>
      <w:r>
        <w:rPr>
          <w:b/>
        </w:rPr>
        <w:t xml:space="preserve">revision TKA </w:t>
      </w:r>
      <w:r w:rsidRPr="00AE087E">
        <w:rPr>
          <w:b/>
        </w:rPr>
        <w:t>(RCTs and non-RCT</w:t>
      </w:r>
      <w:r>
        <w:rPr>
          <w:b/>
        </w:rPr>
        <w:t>s)</w:t>
      </w:r>
    </w:p>
    <w:p w14:paraId="20B40700" w14:textId="77777777" w:rsidR="00D12264" w:rsidRDefault="00D12264" w:rsidP="00D12264">
      <w:r w:rsidRPr="00D34C32">
        <w:rPr>
          <w:noProof/>
          <w:lang w:val="en-US" w:eastAsia="en-US"/>
        </w:rPr>
        <w:drawing>
          <wp:inline distT="0" distB="0" distL="0" distR="0" wp14:anchorId="6E2C0A57" wp14:editId="2A95A883">
            <wp:extent cx="5943600" cy="2291715"/>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2291715"/>
                    </a:xfrm>
                    <a:prstGeom prst="rect">
                      <a:avLst/>
                    </a:prstGeom>
                  </pic:spPr>
                </pic:pic>
              </a:graphicData>
            </a:graphic>
          </wp:inline>
        </w:drawing>
      </w:r>
    </w:p>
    <w:p w14:paraId="357D5A5A" w14:textId="77777777" w:rsidR="00D12264" w:rsidRDefault="00D12264" w:rsidP="00D12264"/>
    <w:p w14:paraId="24FFEFE3" w14:textId="77777777" w:rsidR="00D12264" w:rsidRDefault="00D12264" w:rsidP="00D12264"/>
    <w:p w14:paraId="09A28BFE" w14:textId="0E864FAA" w:rsidR="00D12264" w:rsidRDefault="00D12264" w:rsidP="00D12264">
      <w:r w:rsidRPr="00AE087E">
        <w:rPr>
          <w:b/>
        </w:rPr>
        <w:t xml:space="preserve">Appendix </w:t>
      </w:r>
      <w:r>
        <w:rPr>
          <w:b/>
        </w:rPr>
        <w:t>H.2</w:t>
      </w:r>
      <w:r w:rsidRPr="00AE087E">
        <w:rPr>
          <w:b/>
        </w:rPr>
        <w:t xml:space="preserve">: Forest plot in </w:t>
      </w:r>
      <w:r>
        <w:rPr>
          <w:b/>
        </w:rPr>
        <w:t xml:space="preserve">revision TKA </w:t>
      </w:r>
      <w:r w:rsidRPr="00AE087E">
        <w:rPr>
          <w:b/>
        </w:rPr>
        <w:t>(RCTs</w:t>
      </w:r>
      <w:r>
        <w:rPr>
          <w:b/>
        </w:rPr>
        <w:t>)</w:t>
      </w:r>
    </w:p>
    <w:p w14:paraId="3BE14F6A" w14:textId="77777777" w:rsidR="00D12264" w:rsidRDefault="00D12264" w:rsidP="00D12264">
      <w:r w:rsidRPr="00D34C32">
        <w:rPr>
          <w:noProof/>
          <w:lang w:val="en-US" w:eastAsia="en-US"/>
        </w:rPr>
        <w:drawing>
          <wp:inline distT="0" distB="0" distL="0" distR="0" wp14:anchorId="4A6E7BA3" wp14:editId="0B89F216">
            <wp:extent cx="5943600" cy="2231390"/>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231390"/>
                    </a:xfrm>
                    <a:prstGeom prst="rect">
                      <a:avLst/>
                    </a:prstGeom>
                  </pic:spPr>
                </pic:pic>
              </a:graphicData>
            </a:graphic>
          </wp:inline>
        </w:drawing>
      </w:r>
    </w:p>
    <w:p w14:paraId="4DB05B91" w14:textId="77777777" w:rsidR="00D12264" w:rsidRDefault="00D12264" w:rsidP="00D12264"/>
    <w:p w14:paraId="01B59D26" w14:textId="15235FC6" w:rsidR="00D12264" w:rsidRDefault="00D12264" w:rsidP="00D12264"/>
    <w:p w14:paraId="091DDE83" w14:textId="59EE082D" w:rsidR="00026837" w:rsidRDefault="00026837" w:rsidP="00D12264"/>
    <w:p w14:paraId="1BBC9638" w14:textId="2CDB9D17" w:rsidR="00026837" w:rsidRDefault="00026837" w:rsidP="00D12264"/>
    <w:p w14:paraId="00263E6C" w14:textId="56355826" w:rsidR="00026837" w:rsidRDefault="00026837" w:rsidP="00D12264"/>
    <w:p w14:paraId="57839C5F" w14:textId="6F12C652" w:rsidR="00026837" w:rsidRDefault="00026837" w:rsidP="00D12264"/>
    <w:p w14:paraId="3E4F2183" w14:textId="7CC583D1" w:rsidR="00026837" w:rsidRDefault="00026837" w:rsidP="00D12264"/>
    <w:p w14:paraId="405ED1FA" w14:textId="10AA30C6" w:rsidR="00026837" w:rsidRDefault="00026837" w:rsidP="00D12264"/>
    <w:p w14:paraId="6C1DE44F" w14:textId="51CC965F" w:rsidR="00026837" w:rsidRDefault="00026837" w:rsidP="00D12264"/>
    <w:p w14:paraId="30B1951A" w14:textId="27B1D113" w:rsidR="00026837" w:rsidRDefault="00026837" w:rsidP="00D12264"/>
    <w:p w14:paraId="6BAE9C71" w14:textId="24B49363" w:rsidR="00026837" w:rsidRDefault="00026837" w:rsidP="00D12264"/>
    <w:p w14:paraId="3E870C04" w14:textId="5DE4C121" w:rsidR="00026837" w:rsidRDefault="00026837" w:rsidP="00D12264"/>
    <w:p w14:paraId="2BD1FA5D" w14:textId="317E806D" w:rsidR="00026837" w:rsidRDefault="00026837" w:rsidP="00D12264"/>
    <w:p w14:paraId="5D11A9BE" w14:textId="09A9B731" w:rsidR="00026837" w:rsidRDefault="00026837" w:rsidP="00D12264"/>
    <w:p w14:paraId="4EE58C1F" w14:textId="573D5960" w:rsidR="00026837" w:rsidRDefault="00026837" w:rsidP="00D12264"/>
    <w:p w14:paraId="679AA917" w14:textId="3355C2CE" w:rsidR="00026837" w:rsidRDefault="00026837" w:rsidP="00D12264"/>
    <w:p w14:paraId="7C1F1E71" w14:textId="50DFCB70" w:rsidR="00026837" w:rsidRDefault="00026837" w:rsidP="00D12264"/>
    <w:p w14:paraId="348C613A" w14:textId="087ACA3C" w:rsidR="00026837" w:rsidRDefault="00026837" w:rsidP="00D12264"/>
    <w:p w14:paraId="69AD234E" w14:textId="4243083D" w:rsidR="00026837" w:rsidRPr="0040231B" w:rsidRDefault="00026837" w:rsidP="00D12264">
      <w:pPr>
        <w:rPr>
          <w:b/>
          <w:bCs/>
        </w:rPr>
      </w:pPr>
      <w:r w:rsidRPr="0040231B">
        <w:rPr>
          <w:b/>
          <w:bCs/>
        </w:rPr>
        <w:lastRenderedPageBreak/>
        <w:t xml:space="preserve">Appendix I.1: Forest plot in </w:t>
      </w:r>
      <w:r w:rsidR="007703BF" w:rsidRPr="0040231B">
        <w:rPr>
          <w:b/>
          <w:bCs/>
        </w:rPr>
        <w:t>HKA</w:t>
      </w:r>
    </w:p>
    <w:p w14:paraId="209FE51A" w14:textId="748D83FA" w:rsidR="007703BF" w:rsidRDefault="006808DE" w:rsidP="00D12264">
      <w:r w:rsidRPr="00664F28">
        <w:rPr>
          <w:noProof/>
          <w:lang w:val="en-US" w:eastAsia="en-US"/>
        </w:rPr>
        <w:drawing>
          <wp:inline distT="0" distB="0" distL="0" distR="0" wp14:anchorId="30B52EDC" wp14:editId="562C177A">
            <wp:extent cx="5943600" cy="2231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2231390"/>
                    </a:xfrm>
                    <a:prstGeom prst="rect">
                      <a:avLst/>
                    </a:prstGeom>
                  </pic:spPr>
                </pic:pic>
              </a:graphicData>
            </a:graphic>
          </wp:inline>
        </w:drawing>
      </w:r>
    </w:p>
    <w:p w14:paraId="740CF3CB" w14:textId="2FF1BB31" w:rsidR="006808DE" w:rsidRDefault="006808DE" w:rsidP="00D12264"/>
    <w:p w14:paraId="67A717CC" w14:textId="251C9693" w:rsidR="006808DE" w:rsidRPr="0040231B" w:rsidRDefault="006808DE" w:rsidP="00D12264">
      <w:pPr>
        <w:rPr>
          <w:b/>
          <w:bCs/>
        </w:rPr>
      </w:pPr>
      <w:r w:rsidRPr="0040231B">
        <w:rPr>
          <w:b/>
          <w:bCs/>
        </w:rPr>
        <w:t>Appendix I.2: Forest plot in mechanical axis</w:t>
      </w:r>
    </w:p>
    <w:p w14:paraId="54C94B9C" w14:textId="1C089A4E" w:rsidR="006808DE" w:rsidRDefault="00836C2F" w:rsidP="00D12264">
      <w:r w:rsidRPr="00664F28">
        <w:rPr>
          <w:noProof/>
          <w:lang w:val="en-US" w:eastAsia="en-US"/>
        </w:rPr>
        <w:drawing>
          <wp:inline distT="0" distB="0" distL="0" distR="0" wp14:anchorId="0C514CB5" wp14:editId="17D68713">
            <wp:extent cx="5943600" cy="21894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189480"/>
                    </a:xfrm>
                    <a:prstGeom prst="rect">
                      <a:avLst/>
                    </a:prstGeom>
                  </pic:spPr>
                </pic:pic>
              </a:graphicData>
            </a:graphic>
          </wp:inline>
        </w:drawing>
      </w:r>
    </w:p>
    <w:p w14:paraId="111450DF" w14:textId="536F26C5" w:rsidR="00836C2F" w:rsidRDefault="00836C2F" w:rsidP="00D12264"/>
    <w:p w14:paraId="6A2F3066" w14:textId="03DFBFFF" w:rsidR="00836C2F" w:rsidRPr="0040231B" w:rsidRDefault="00836C2F" w:rsidP="00D12264">
      <w:pPr>
        <w:rPr>
          <w:b/>
          <w:bCs/>
        </w:rPr>
      </w:pPr>
      <w:r w:rsidRPr="0040231B">
        <w:rPr>
          <w:b/>
          <w:bCs/>
        </w:rPr>
        <w:t xml:space="preserve">Appendix I.3: Forest plot in </w:t>
      </w:r>
      <w:r w:rsidR="00C37F27" w:rsidRPr="0040231B">
        <w:rPr>
          <w:b/>
          <w:bCs/>
        </w:rPr>
        <w:t xml:space="preserve">femoral coronal alignment </w:t>
      </w:r>
    </w:p>
    <w:p w14:paraId="39D54612" w14:textId="78C48ED0" w:rsidR="00C37F27" w:rsidRDefault="0077248F" w:rsidP="00D12264">
      <w:r w:rsidRPr="00664F28">
        <w:rPr>
          <w:noProof/>
          <w:lang w:val="en-US" w:eastAsia="en-US"/>
        </w:rPr>
        <w:drawing>
          <wp:inline distT="0" distB="0" distL="0" distR="0" wp14:anchorId="2CAFC428" wp14:editId="76676CC4">
            <wp:extent cx="5943600" cy="25501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550160"/>
                    </a:xfrm>
                    <a:prstGeom prst="rect">
                      <a:avLst/>
                    </a:prstGeom>
                  </pic:spPr>
                </pic:pic>
              </a:graphicData>
            </a:graphic>
          </wp:inline>
        </w:drawing>
      </w:r>
    </w:p>
    <w:p w14:paraId="27A7CC42" w14:textId="6B53BBD8" w:rsidR="0077248F" w:rsidRDefault="0077248F" w:rsidP="00D12264"/>
    <w:p w14:paraId="065A2C55" w14:textId="4C636ADB" w:rsidR="0077248F" w:rsidRDefault="0077248F" w:rsidP="00D12264"/>
    <w:p w14:paraId="1D073352" w14:textId="38488983" w:rsidR="0077248F" w:rsidRDefault="0077248F" w:rsidP="00D12264"/>
    <w:p w14:paraId="51D02D52" w14:textId="3A678E9D" w:rsidR="0077248F" w:rsidRDefault="0077248F" w:rsidP="00D12264"/>
    <w:p w14:paraId="31D6DF20" w14:textId="2A43982F" w:rsidR="0077248F" w:rsidRPr="0040231B" w:rsidRDefault="0077248F" w:rsidP="00D12264">
      <w:pPr>
        <w:rPr>
          <w:b/>
          <w:bCs/>
        </w:rPr>
      </w:pPr>
      <w:r w:rsidRPr="0040231B">
        <w:rPr>
          <w:b/>
          <w:bCs/>
        </w:rPr>
        <w:lastRenderedPageBreak/>
        <w:t>Appendix I.4: Forest plot in femoral sagittal alignment</w:t>
      </w:r>
    </w:p>
    <w:p w14:paraId="7E321EE5" w14:textId="19B79FFF" w:rsidR="0077248F" w:rsidRDefault="008715F0" w:rsidP="00D12264">
      <w:r w:rsidRPr="008715F0">
        <w:rPr>
          <w:noProof/>
          <w:lang w:val="en-US" w:eastAsia="en-US"/>
        </w:rPr>
        <w:drawing>
          <wp:inline distT="0" distB="0" distL="0" distR="0" wp14:anchorId="3481BD4C" wp14:editId="2CB1E5F3">
            <wp:extent cx="5943600" cy="22942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294255"/>
                    </a:xfrm>
                    <a:prstGeom prst="rect">
                      <a:avLst/>
                    </a:prstGeom>
                  </pic:spPr>
                </pic:pic>
              </a:graphicData>
            </a:graphic>
          </wp:inline>
        </w:drawing>
      </w:r>
    </w:p>
    <w:p w14:paraId="5A74DB96" w14:textId="5018F35D" w:rsidR="0006282F" w:rsidRDefault="0006282F" w:rsidP="00D12264"/>
    <w:p w14:paraId="683D29DF" w14:textId="7C022D69" w:rsidR="0006282F" w:rsidRPr="0040231B" w:rsidRDefault="0006282F" w:rsidP="00D12264">
      <w:pPr>
        <w:rPr>
          <w:b/>
          <w:bCs/>
        </w:rPr>
      </w:pPr>
      <w:r w:rsidRPr="0040231B">
        <w:rPr>
          <w:b/>
          <w:bCs/>
        </w:rPr>
        <w:t>Appendix I.5: Forest plot in femoral rotational alignment</w:t>
      </w:r>
    </w:p>
    <w:p w14:paraId="7A951DBC" w14:textId="28940531" w:rsidR="0006282F" w:rsidRDefault="00961560" w:rsidP="00D12264">
      <w:r w:rsidRPr="00961560">
        <w:rPr>
          <w:noProof/>
          <w:lang w:val="en-US" w:eastAsia="en-US"/>
        </w:rPr>
        <w:drawing>
          <wp:inline distT="0" distB="0" distL="0" distR="0" wp14:anchorId="5197E4BE" wp14:editId="184EC670">
            <wp:extent cx="5943600" cy="208534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085340"/>
                    </a:xfrm>
                    <a:prstGeom prst="rect">
                      <a:avLst/>
                    </a:prstGeom>
                  </pic:spPr>
                </pic:pic>
              </a:graphicData>
            </a:graphic>
          </wp:inline>
        </w:drawing>
      </w:r>
    </w:p>
    <w:p w14:paraId="09A22EDA" w14:textId="2DEC1E90" w:rsidR="00CA3732" w:rsidRDefault="00CA3732" w:rsidP="00D12264"/>
    <w:p w14:paraId="1CF6DF1B" w14:textId="77777777" w:rsidR="0040231B" w:rsidRDefault="0040231B" w:rsidP="00D12264"/>
    <w:p w14:paraId="51BF50FF" w14:textId="77777777" w:rsidR="0040231B" w:rsidRDefault="0040231B" w:rsidP="00D12264"/>
    <w:p w14:paraId="2EF2B2C0" w14:textId="77777777" w:rsidR="0040231B" w:rsidRDefault="0040231B" w:rsidP="00D12264"/>
    <w:p w14:paraId="7EABB956" w14:textId="77777777" w:rsidR="0040231B" w:rsidRDefault="0040231B" w:rsidP="00D12264"/>
    <w:p w14:paraId="0BB540CA" w14:textId="77777777" w:rsidR="0040231B" w:rsidRDefault="0040231B" w:rsidP="00D12264"/>
    <w:p w14:paraId="1CBBBB00" w14:textId="77777777" w:rsidR="0040231B" w:rsidRDefault="0040231B" w:rsidP="00D12264"/>
    <w:p w14:paraId="01B1323E" w14:textId="77777777" w:rsidR="0040231B" w:rsidRDefault="0040231B" w:rsidP="00D12264"/>
    <w:p w14:paraId="29807CE9" w14:textId="77777777" w:rsidR="0040231B" w:rsidRDefault="0040231B" w:rsidP="00D12264"/>
    <w:p w14:paraId="03D14ADC" w14:textId="77777777" w:rsidR="0040231B" w:rsidRDefault="0040231B" w:rsidP="00D12264"/>
    <w:p w14:paraId="781655BC" w14:textId="77777777" w:rsidR="0040231B" w:rsidRDefault="0040231B" w:rsidP="00D12264"/>
    <w:p w14:paraId="4848496A" w14:textId="77777777" w:rsidR="0040231B" w:rsidRDefault="0040231B" w:rsidP="00D12264"/>
    <w:p w14:paraId="4EE4DBD2" w14:textId="77777777" w:rsidR="0040231B" w:rsidRDefault="0040231B" w:rsidP="00D12264"/>
    <w:p w14:paraId="5CCA48BC" w14:textId="77777777" w:rsidR="0040231B" w:rsidRDefault="0040231B" w:rsidP="00D12264"/>
    <w:p w14:paraId="7A815EC1" w14:textId="77777777" w:rsidR="0040231B" w:rsidRDefault="0040231B" w:rsidP="00D12264"/>
    <w:p w14:paraId="0451F640" w14:textId="77777777" w:rsidR="0040231B" w:rsidRDefault="0040231B" w:rsidP="00D12264"/>
    <w:p w14:paraId="3374CAE3" w14:textId="77777777" w:rsidR="0040231B" w:rsidRDefault="0040231B" w:rsidP="00D12264"/>
    <w:p w14:paraId="46469DBD" w14:textId="77777777" w:rsidR="0040231B" w:rsidRDefault="0040231B" w:rsidP="00D12264"/>
    <w:p w14:paraId="0A83C3D2" w14:textId="77777777" w:rsidR="0040231B" w:rsidRDefault="0040231B" w:rsidP="00D12264"/>
    <w:p w14:paraId="11A16E2A" w14:textId="77777777" w:rsidR="0040231B" w:rsidRDefault="0040231B" w:rsidP="00D12264"/>
    <w:p w14:paraId="565D4B16" w14:textId="68B8B916" w:rsidR="00CA3732" w:rsidRPr="0040231B" w:rsidRDefault="00CA3732" w:rsidP="00D12264">
      <w:pPr>
        <w:rPr>
          <w:b/>
          <w:bCs/>
        </w:rPr>
      </w:pPr>
      <w:r w:rsidRPr="0040231B">
        <w:rPr>
          <w:b/>
          <w:bCs/>
        </w:rPr>
        <w:lastRenderedPageBreak/>
        <w:t>Appendix I.6: Forest plot in tibial coronal alignment</w:t>
      </w:r>
    </w:p>
    <w:p w14:paraId="6AC298CC" w14:textId="638AF5BA" w:rsidR="00CA3732" w:rsidRDefault="001655B8" w:rsidP="00D12264">
      <w:r w:rsidRPr="001655B8">
        <w:rPr>
          <w:noProof/>
          <w:lang w:val="en-US" w:eastAsia="en-US"/>
        </w:rPr>
        <w:drawing>
          <wp:inline distT="0" distB="0" distL="0" distR="0" wp14:anchorId="6501C798" wp14:editId="30F1CE5D">
            <wp:extent cx="5943600" cy="2550160"/>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550160"/>
                    </a:xfrm>
                    <a:prstGeom prst="rect">
                      <a:avLst/>
                    </a:prstGeom>
                  </pic:spPr>
                </pic:pic>
              </a:graphicData>
            </a:graphic>
          </wp:inline>
        </w:drawing>
      </w:r>
    </w:p>
    <w:p w14:paraId="5BF80065" w14:textId="5433F988" w:rsidR="00727F3B" w:rsidRDefault="00727F3B" w:rsidP="00D12264"/>
    <w:p w14:paraId="3AB9E0E8" w14:textId="77777777" w:rsidR="0040231B" w:rsidRDefault="0040231B" w:rsidP="00D12264"/>
    <w:p w14:paraId="00541D45" w14:textId="77777777" w:rsidR="0040231B" w:rsidRDefault="0040231B" w:rsidP="00D12264"/>
    <w:p w14:paraId="5B8A1784" w14:textId="77777777" w:rsidR="0040231B" w:rsidRDefault="0040231B" w:rsidP="00D12264"/>
    <w:p w14:paraId="49138C43" w14:textId="77777777" w:rsidR="0040231B" w:rsidRDefault="0040231B" w:rsidP="00D12264"/>
    <w:p w14:paraId="68F8C440" w14:textId="5BB4FB24" w:rsidR="00727F3B" w:rsidRPr="0040231B" w:rsidRDefault="00727F3B" w:rsidP="00D12264">
      <w:pPr>
        <w:rPr>
          <w:b/>
          <w:bCs/>
        </w:rPr>
      </w:pPr>
      <w:r w:rsidRPr="0040231B">
        <w:rPr>
          <w:b/>
          <w:bCs/>
        </w:rPr>
        <w:t>Appendix I.7: Forest plot in tibial sagittal alignment</w:t>
      </w:r>
    </w:p>
    <w:p w14:paraId="26204A4F" w14:textId="00321C76" w:rsidR="00727F3B" w:rsidRDefault="00273214" w:rsidP="00D12264">
      <w:r w:rsidRPr="00273214">
        <w:rPr>
          <w:noProof/>
          <w:lang w:val="en-US" w:eastAsia="en-US"/>
        </w:rPr>
        <w:drawing>
          <wp:inline distT="0" distB="0" distL="0" distR="0" wp14:anchorId="1D7A93BD" wp14:editId="49B4011F">
            <wp:extent cx="5943600" cy="25025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2502535"/>
                    </a:xfrm>
                    <a:prstGeom prst="rect">
                      <a:avLst/>
                    </a:prstGeom>
                  </pic:spPr>
                </pic:pic>
              </a:graphicData>
            </a:graphic>
          </wp:inline>
        </w:drawing>
      </w:r>
    </w:p>
    <w:p w14:paraId="2F5A7B9E" w14:textId="77777777" w:rsidR="00D12264" w:rsidRDefault="00D12264" w:rsidP="00D12264"/>
    <w:p w14:paraId="3D453AD0" w14:textId="77777777" w:rsidR="00D12264" w:rsidRDefault="00D12264" w:rsidP="00D12264"/>
    <w:p w14:paraId="23EE02F3" w14:textId="77777777" w:rsidR="00D12264" w:rsidRDefault="00D12264" w:rsidP="00D12264"/>
    <w:p w14:paraId="7CF3DF64" w14:textId="77777777" w:rsidR="00D12264" w:rsidRDefault="00D12264" w:rsidP="00D12264"/>
    <w:p w14:paraId="32CE0B98" w14:textId="77777777" w:rsidR="00D12264" w:rsidRDefault="00D12264" w:rsidP="00D12264"/>
    <w:p w14:paraId="259FA142" w14:textId="77777777" w:rsidR="00D12264" w:rsidRDefault="00D12264" w:rsidP="00D12264"/>
    <w:p w14:paraId="77FA2F0C" w14:textId="77777777" w:rsidR="00D12264" w:rsidRDefault="00D12264" w:rsidP="00D12264"/>
    <w:p w14:paraId="53EBE9E7" w14:textId="77777777" w:rsidR="00D12264" w:rsidRDefault="00D12264" w:rsidP="00D12264"/>
    <w:p w14:paraId="1C791737" w14:textId="77777777" w:rsidR="00D12264" w:rsidRDefault="00D12264" w:rsidP="00D12264"/>
    <w:p w14:paraId="6C7C59B7" w14:textId="77777777" w:rsidR="00D12264" w:rsidRDefault="00D12264" w:rsidP="00D12264"/>
    <w:p w14:paraId="798ABF48" w14:textId="77777777" w:rsidR="00D12264" w:rsidRDefault="00D12264" w:rsidP="00D12264"/>
    <w:p w14:paraId="5AD92C75" w14:textId="77777777" w:rsidR="00D12264" w:rsidRDefault="00D12264" w:rsidP="00D12264"/>
    <w:p w14:paraId="4161A5DB" w14:textId="77777777" w:rsidR="00D12264" w:rsidRDefault="00D12264" w:rsidP="00D12264">
      <w:pPr>
        <w:sectPr w:rsidR="00D12264" w:rsidSect="00AE087E">
          <w:pgSz w:w="12240" w:h="15840"/>
          <w:pgMar w:top="1080" w:right="1440" w:bottom="1080" w:left="1440" w:header="708" w:footer="708" w:gutter="0"/>
          <w:cols w:space="708"/>
          <w:docGrid w:linePitch="360"/>
        </w:sectPr>
      </w:pPr>
    </w:p>
    <w:p w14:paraId="5A2492A8" w14:textId="5BD716AA" w:rsidR="00D12264" w:rsidRPr="005401C3" w:rsidRDefault="00D12264" w:rsidP="00D12264">
      <w:pPr>
        <w:rPr>
          <w:b/>
          <w:sz w:val="24"/>
        </w:rPr>
      </w:pPr>
      <w:r w:rsidRPr="005401C3">
        <w:rPr>
          <w:b/>
        </w:rPr>
        <w:lastRenderedPageBreak/>
        <w:t xml:space="preserve">Appendix </w:t>
      </w:r>
      <w:r w:rsidR="0040231B">
        <w:rPr>
          <w:b/>
        </w:rPr>
        <w:t>J</w:t>
      </w:r>
      <w:r w:rsidRPr="005401C3">
        <w:rPr>
          <w:b/>
        </w:rPr>
        <w:t xml:space="preserve">: Funnel plots </w:t>
      </w:r>
    </w:p>
    <w:p w14:paraId="481B178A" w14:textId="77777777" w:rsidR="00D12264" w:rsidRDefault="00D12264" w:rsidP="00D12264"/>
    <w:p w14:paraId="5262E12C" w14:textId="77777777" w:rsidR="00D12264" w:rsidRDefault="00D12264" w:rsidP="00D12264">
      <w:pPr>
        <w:sectPr w:rsidR="00D12264" w:rsidSect="005401C3">
          <w:pgSz w:w="15840" w:h="12240" w:orient="landscape"/>
          <w:pgMar w:top="1440" w:right="1080" w:bottom="1440" w:left="1080" w:header="708" w:footer="708" w:gutter="0"/>
          <w:cols w:space="708"/>
          <w:docGrid w:linePitch="360"/>
        </w:sectPr>
      </w:pPr>
    </w:p>
    <w:p w14:paraId="36653F3C" w14:textId="77777777" w:rsidR="00D12264" w:rsidRDefault="00D12264" w:rsidP="00D12264">
      <w:r>
        <w:lastRenderedPageBreak/>
        <w:t>Funnel plot in KSS knee (less than 1-year)</w:t>
      </w:r>
    </w:p>
    <w:p w14:paraId="6537AA00" w14:textId="77777777" w:rsidR="00D12264" w:rsidRDefault="00D12264" w:rsidP="00D12264">
      <w:r w:rsidRPr="00A467D6">
        <w:rPr>
          <w:noProof/>
          <w:lang w:val="en-US" w:eastAsia="en-US"/>
        </w:rPr>
        <w:drawing>
          <wp:inline distT="0" distB="0" distL="0" distR="0" wp14:anchorId="4618EF9D" wp14:editId="45AD27A9">
            <wp:extent cx="3240000" cy="2160000"/>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240000" cy="2160000"/>
                    </a:xfrm>
                    <a:prstGeom prst="rect">
                      <a:avLst/>
                    </a:prstGeom>
                  </pic:spPr>
                </pic:pic>
              </a:graphicData>
            </a:graphic>
          </wp:inline>
        </w:drawing>
      </w:r>
    </w:p>
    <w:p w14:paraId="2381AD99" w14:textId="77777777" w:rsidR="00D12264" w:rsidRDefault="00D12264" w:rsidP="00D12264"/>
    <w:p w14:paraId="40ED9A21" w14:textId="77777777" w:rsidR="00D12264" w:rsidRDefault="00D12264" w:rsidP="00D12264">
      <w:r>
        <w:t>Funnel plot in KSS function (less than 1-year)</w:t>
      </w:r>
    </w:p>
    <w:p w14:paraId="763EABC4" w14:textId="77777777" w:rsidR="00D12264" w:rsidRDefault="00D12264" w:rsidP="00D12264">
      <w:r w:rsidRPr="00A467D6">
        <w:rPr>
          <w:noProof/>
          <w:lang w:val="en-US" w:eastAsia="en-US"/>
        </w:rPr>
        <w:drawing>
          <wp:inline distT="0" distB="0" distL="0" distR="0" wp14:anchorId="1ED75F21" wp14:editId="47693B92">
            <wp:extent cx="3240000" cy="216000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240000" cy="2160000"/>
                    </a:xfrm>
                    <a:prstGeom prst="rect">
                      <a:avLst/>
                    </a:prstGeom>
                  </pic:spPr>
                </pic:pic>
              </a:graphicData>
            </a:graphic>
          </wp:inline>
        </w:drawing>
      </w:r>
    </w:p>
    <w:p w14:paraId="5D507EDB" w14:textId="77777777" w:rsidR="00D12264" w:rsidRDefault="00D12264" w:rsidP="00D12264"/>
    <w:p w14:paraId="741F6CC0" w14:textId="77777777" w:rsidR="00D12264" w:rsidRDefault="00D12264" w:rsidP="00D12264"/>
    <w:p w14:paraId="749BEFBE" w14:textId="77777777" w:rsidR="00D12264" w:rsidRDefault="00D12264" w:rsidP="00D12264"/>
    <w:p w14:paraId="1D493EBE" w14:textId="77777777" w:rsidR="00D12264" w:rsidRDefault="00D12264" w:rsidP="00D12264">
      <w:r>
        <w:lastRenderedPageBreak/>
        <w:t>Funnel plot in transfusion rate</w:t>
      </w:r>
    </w:p>
    <w:p w14:paraId="1DF8B619" w14:textId="77777777" w:rsidR="00D12264" w:rsidRDefault="00D12264" w:rsidP="00D12264">
      <w:r w:rsidRPr="00A467D6">
        <w:rPr>
          <w:noProof/>
          <w:lang w:val="en-US" w:eastAsia="en-US"/>
        </w:rPr>
        <w:drawing>
          <wp:inline distT="0" distB="0" distL="0" distR="0" wp14:anchorId="2B1F2DED" wp14:editId="6631A76D">
            <wp:extent cx="3240000" cy="2160000"/>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40000" cy="2160000"/>
                    </a:xfrm>
                    <a:prstGeom prst="rect">
                      <a:avLst/>
                    </a:prstGeom>
                  </pic:spPr>
                </pic:pic>
              </a:graphicData>
            </a:graphic>
          </wp:inline>
        </w:drawing>
      </w:r>
    </w:p>
    <w:p w14:paraId="696EA3F6" w14:textId="77777777" w:rsidR="00D12264" w:rsidRDefault="00D12264" w:rsidP="00D12264"/>
    <w:p w14:paraId="54950E20" w14:textId="77777777" w:rsidR="00D12264" w:rsidRDefault="00D12264" w:rsidP="00D12264">
      <w:r>
        <w:t>Funnel plot in surgery time</w:t>
      </w:r>
    </w:p>
    <w:p w14:paraId="754BC1D4" w14:textId="77777777" w:rsidR="00D12264" w:rsidRDefault="00D12264" w:rsidP="00D12264">
      <w:r w:rsidRPr="00A467D6">
        <w:rPr>
          <w:noProof/>
          <w:lang w:val="en-US" w:eastAsia="en-US"/>
        </w:rPr>
        <w:drawing>
          <wp:inline distT="0" distB="0" distL="0" distR="0" wp14:anchorId="19F0E1A2" wp14:editId="490CBFF2">
            <wp:extent cx="3240000" cy="2160000"/>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40000" cy="2160000"/>
                    </a:xfrm>
                    <a:prstGeom prst="rect">
                      <a:avLst/>
                    </a:prstGeom>
                  </pic:spPr>
                </pic:pic>
              </a:graphicData>
            </a:graphic>
          </wp:inline>
        </w:drawing>
      </w:r>
    </w:p>
    <w:p w14:paraId="7657EAE8" w14:textId="77777777" w:rsidR="00D12264" w:rsidRDefault="00D12264" w:rsidP="00D12264"/>
    <w:p w14:paraId="25DBC117" w14:textId="77777777" w:rsidR="00D12264" w:rsidRDefault="00D12264" w:rsidP="00D12264"/>
    <w:p w14:paraId="7A8B5E1A" w14:textId="77777777" w:rsidR="00D12264" w:rsidRDefault="00D12264" w:rsidP="00D12264"/>
    <w:p w14:paraId="4FA607FA" w14:textId="77777777" w:rsidR="00D12264" w:rsidRDefault="00D12264" w:rsidP="00D12264"/>
    <w:p w14:paraId="2F8CD777" w14:textId="77777777" w:rsidR="00D12264" w:rsidRDefault="00D12264" w:rsidP="00D12264">
      <w:r>
        <w:t>Funnel plot in blood loss</w:t>
      </w:r>
    </w:p>
    <w:p w14:paraId="4932BB4F" w14:textId="77777777" w:rsidR="00D12264" w:rsidRDefault="00D12264" w:rsidP="00D12264">
      <w:r w:rsidRPr="00A467D6">
        <w:rPr>
          <w:noProof/>
          <w:lang w:val="en-US" w:eastAsia="en-US"/>
        </w:rPr>
        <w:drawing>
          <wp:inline distT="0" distB="0" distL="0" distR="0" wp14:anchorId="092C7452" wp14:editId="09771342">
            <wp:extent cx="3240000" cy="2160000"/>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40000" cy="2160000"/>
                    </a:xfrm>
                    <a:prstGeom prst="rect">
                      <a:avLst/>
                    </a:prstGeom>
                  </pic:spPr>
                </pic:pic>
              </a:graphicData>
            </a:graphic>
          </wp:inline>
        </w:drawing>
      </w:r>
    </w:p>
    <w:p w14:paraId="3A489FB0" w14:textId="77777777" w:rsidR="00D12264" w:rsidRDefault="00D12264" w:rsidP="00D12264"/>
    <w:p w14:paraId="0F23028D" w14:textId="77777777" w:rsidR="00D12264" w:rsidRDefault="00D12264" w:rsidP="00D12264">
      <w:r>
        <w:t>Funnel plot in surgical site infection</w:t>
      </w:r>
    </w:p>
    <w:p w14:paraId="4D258602" w14:textId="77777777" w:rsidR="00D12264" w:rsidRDefault="00D12264" w:rsidP="00D12264">
      <w:r w:rsidRPr="00A467D6">
        <w:rPr>
          <w:noProof/>
          <w:lang w:val="en-US" w:eastAsia="en-US"/>
        </w:rPr>
        <w:drawing>
          <wp:inline distT="0" distB="0" distL="0" distR="0" wp14:anchorId="382A778F" wp14:editId="503985B6">
            <wp:extent cx="3240000" cy="2160000"/>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40000" cy="2160000"/>
                    </a:xfrm>
                    <a:prstGeom prst="rect">
                      <a:avLst/>
                    </a:prstGeom>
                  </pic:spPr>
                </pic:pic>
              </a:graphicData>
            </a:graphic>
          </wp:inline>
        </w:drawing>
      </w:r>
    </w:p>
    <w:p w14:paraId="3392C9B4" w14:textId="77777777" w:rsidR="00D12264" w:rsidRDefault="00D12264" w:rsidP="00D12264"/>
    <w:p w14:paraId="2150C31A" w14:textId="77777777" w:rsidR="00D12264" w:rsidRDefault="00D12264" w:rsidP="00D12264"/>
    <w:p w14:paraId="32598594" w14:textId="77777777" w:rsidR="00D12264" w:rsidRDefault="00D12264" w:rsidP="00D12264"/>
    <w:p w14:paraId="2F663D08" w14:textId="77777777" w:rsidR="00D12264" w:rsidRDefault="00D12264" w:rsidP="00D12264"/>
    <w:p w14:paraId="00403394" w14:textId="77777777" w:rsidR="00D12264" w:rsidRDefault="00D12264" w:rsidP="00D12264"/>
    <w:p w14:paraId="3A0755CF" w14:textId="77777777" w:rsidR="00D12264" w:rsidRDefault="00D12264" w:rsidP="00D12264">
      <w:r>
        <w:t>Funnel plot in DVT</w:t>
      </w:r>
    </w:p>
    <w:p w14:paraId="4673C403" w14:textId="77777777" w:rsidR="00D12264" w:rsidRDefault="00D12264" w:rsidP="00D12264">
      <w:r w:rsidRPr="00A467D6">
        <w:rPr>
          <w:noProof/>
          <w:lang w:val="en-US" w:eastAsia="en-US"/>
        </w:rPr>
        <w:drawing>
          <wp:inline distT="0" distB="0" distL="0" distR="0" wp14:anchorId="49CB6C03" wp14:editId="1BFB8137">
            <wp:extent cx="3240000" cy="216000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40000" cy="2160000"/>
                    </a:xfrm>
                    <a:prstGeom prst="rect">
                      <a:avLst/>
                    </a:prstGeom>
                  </pic:spPr>
                </pic:pic>
              </a:graphicData>
            </a:graphic>
          </wp:inline>
        </w:drawing>
      </w:r>
    </w:p>
    <w:p w14:paraId="623378D6" w14:textId="77777777" w:rsidR="00D12264" w:rsidRDefault="00D12264" w:rsidP="00D12264"/>
    <w:p w14:paraId="6BAF8A19" w14:textId="77777777" w:rsidR="00D12264" w:rsidRDefault="00D12264" w:rsidP="00D12264">
      <w:r>
        <w:t>Funnel plot in revision TKA</w:t>
      </w:r>
    </w:p>
    <w:p w14:paraId="4851D18D" w14:textId="77777777" w:rsidR="00D12264" w:rsidRDefault="00D12264" w:rsidP="00D12264">
      <w:r w:rsidRPr="00A467D6">
        <w:rPr>
          <w:noProof/>
          <w:lang w:val="en-US" w:eastAsia="en-US"/>
        </w:rPr>
        <w:drawing>
          <wp:inline distT="0" distB="0" distL="0" distR="0" wp14:anchorId="1A98D175" wp14:editId="73A82B00">
            <wp:extent cx="3240000" cy="2160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40000" cy="2160000"/>
                    </a:xfrm>
                    <a:prstGeom prst="rect">
                      <a:avLst/>
                    </a:prstGeom>
                  </pic:spPr>
                </pic:pic>
              </a:graphicData>
            </a:graphic>
          </wp:inline>
        </w:drawing>
      </w:r>
    </w:p>
    <w:p w14:paraId="05E0DA6E" w14:textId="77777777" w:rsidR="00D12264" w:rsidRDefault="00D12264" w:rsidP="00D12264"/>
    <w:p w14:paraId="1E285706" w14:textId="77777777" w:rsidR="00D12264" w:rsidRDefault="00D12264" w:rsidP="00D12264"/>
    <w:p w14:paraId="0C9F4957" w14:textId="77777777" w:rsidR="00D12264" w:rsidRDefault="00D12264" w:rsidP="00D12264"/>
    <w:p w14:paraId="55CD3F02" w14:textId="77777777" w:rsidR="00D12264" w:rsidRDefault="00D12264" w:rsidP="00D12264">
      <w:pPr>
        <w:sectPr w:rsidR="00D12264" w:rsidSect="005401C3">
          <w:type w:val="continuous"/>
          <w:pgSz w:w="15840" w:h="12240" w:orient="landscape"/>
          <w:pgMar w:top="1440" w:right="1080" w:bottom="1440" w:left="1080" w:header="708" w:footer="708" w:gutter="0"/>
          <w:cols w:num="2" w:space="708"/>
          <w:docGrid w:linePitch="360"/>
        </w:sectPr>
      </w:pPr>
    </w:p>
    <w:p w14:paraId="3DF7169B" w14:textId="2490D249" w:rsidR="00D12264" w:rsidRPr="00890779" w:rsidRDefault="00D12264" w:rsidP="00D12264">
      <w:pPr>
        <w:rPr>
          <w:rFonts w:eastAsia="Times New Roman"/>
          <w:b/>
        </w:rPr>
      </w:pPr>
      <w:r w:rsidRPr="00890779">
        <w:rPr>
          <w:rFonts w:eastAsia="Times New Roman"/>
          <w:b/>
        </w:rPr>
        <w:lastRenderedPageBreak/>
        <w:t xml:space="preserve">Appendix </w:t>
      </w:r>
      <w:r w:rsidR="0040231B">
        <w:rPr>
          <w:rFonts w:eastAsia="Times New Roman"/>
          <w:b/>
        </w:rPr>
        <w:t>K</w:t>
      </w:r>
      <w:r>
        <w:rPr>
          <w:rFonts w:eastAsia="Times New Roman"/>
          <w:b/>
        </w:rPr>
        <w:t>.1</w:t>
      </w:r>
      <w:r w:rsidRPr="00890779">
        <w:rPr>
          <w:rFonts w:eastAsia="Times New Roman"/>
          <w:b/>
        </w:rPr>
        <w:t>: Assessment of the quality of the evidence for Oxford (less than 1-year)</w:t>
      </w:r>
    </w:p>
    <w:p w14:paraId="4B2AFAD8" w14:textId="77777777" w:rsidR="00D12264" w:rsidRPr="00C94AE6" w:rsidRDefault="00D12264" w:rsidP="00D12264">
      <w:pPr>
        <w:rPr>
          <w:rFonts w:eastAsia="Times New Roman"/>
          <w:sz w:val="20"/>
        </w:rPr>
      </w:pPr>
    </w:p>
    <w:tbl>
      <w:tblPr>
        <w:tblStyle w:val="TableGrid"/>
        <w:tblW w:w="10079" w:type="dxa"/>
        <w:jc w:val="center"/>
        <w:tblBorders>
          <w:left w:val="none" w:sz="0" w:space="0" w:color="auto"/>
          <w:right w:val="none" w:sz="0" w:space="0" w:color="auto"/>
        </w:tblBorders>
        <w:tblLook w:val="01E0" w:firstRow="1" w:lastRow="1" w:firstColumn="1" w:lastColumn="1" w:noHBand="0" w:noVBand="0"/>
      </w:tblPr>
      <w:tblGrid>
        <w:gridCol w:w="2016"/>
        <w:gridCol w:w="2237"/>
        <w:gridCol w:w="4320"/>
        <w:gridCol w:w="1506"/>
      </w:tblGrid>
      <w:tr w:rsidR="00D12264" w:rsidRPr="00FA6CF1" w14:paraId="626CEA91" w14:textId="77777777" w:rsidTr="009C1F61">
        <w:trPr>
          <w:jc w:val="center"/>
        </w:trPr>
        <w:tc>
          <w:tcPr>
            <w:tcW w:w="2016" w:type="dxa"/>
            <w:tcBorders>
              <w:top w:val="single" w:sz="4" w:space="0" w:color="auto"/>
              <w:left w:val="single" w:sz="4" w:space="0" w:color="auto"/>
              <w:bottom w:val="double" w:sz="4" w:space="0" w:color="auto"/>
            </w:tcBorders>
            <w:shd w:val="clear" w:color="auto" w:fill="auto"/>
            <w:tcMar>
              <w:top w:w="29" w:type="dxa"/>
              <w:left w:w="58" w:type="dxa"/>
              <w:bottom w:w="29" w:type="dxa"/>
              <w:right w:w="58" w:type="dxa"/>
            </w:tcMar>
            <w:vAlign w:val="center"/>
          </w:tcPr>
          <w:p w14:paraId="4AE615B2"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GRADE domains</w:t>
            </w:r>
          </w:p>
        </w:tc>
        <w:tc>
          <w:tcPr>
            <w:tcW w:w="2237"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77DB36B6"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Rating </w:t>
            </w:r>
          </w:p>
          <w:p w14:paraId="2FCED749"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(remember borderline or close calls are possible)</w:t>
            </w:r>
          </w:p>
        </w:tc>
        <w:tc>
          <w:tcPr>
            <w:tcW w:w="4320"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2D25C60A"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Footnotes</w:t>
            </w:r>
          </w:p>
          <w:p w14:paraId="1D2B4228"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(explain reasons for rating down)</w:t>
            </w:r>
          </w:p>
        </w:tc>
        <w:tc>
          <w:tcPr>
            <w:tcW w:w="1506" w:type="dxa"/>
            <w:tcBorders>
              <w:top w:val="single" w:sz="4" w:space="0" w:color="auto"/>
              <w:bottom w:val="double" w:sz="4" w:space="0" w:color="auto"/>
              <w:right w:val="single" w:sz="4" w:space="0" w:color="auto"/>
            </w:tcBorders>
            <w:shd w:val="clear" w:color="auto" w:fill="auto"/>
            <w:vAlign w:val="center"/>
          </w:tcPr>
          <w:p w14:paraId="1F95A7D0"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Certainty of the evidence </w:t>
            </w:r>
          </w:p>
          <w:p w14:paraId="4B53A1A4"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(Circle one)</w:t>
            </w:r>
          </w:p>
        </w:tc>
      </w:tr>
      <w:tr w:rsidR="00D12264" w:rsidRPr="00FA6CF1" w14:paraId="0FA6DA38" w14:textId="77777777" w:rsidTr="009C1F61">
        <w:trPr>
          <w:jc w:val="center"/>
        </w:trPr>
        <w:tc>
          <w:tcPr>
            <w:tcW w:w="2016" w:type="dxa"/>
            <w:tcBorders>
              <w:top w:val="double" w:sz="4" w:space="0" w:color="auto"/>
              <w:left w:val="single" w:sz="4" w:space="0" w:color="auto"/>
            </w:tcBorders>
            <w:tcMar>
              <w:top w:w="29" w:type="dxa"/>
              <w:left w:w="58" w:type="dxa"/>
              <w:bottom w:w="29" w:type="dxa"/>
              <w:right w:w="58" w:type="dxa"/>
            </w:tcMar>
            <w:vAlign w:val="center"/>
          </w:tcPr>
          <w:p w14:paraId="076F9C4A"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Risk of Bias</w:t>
            </w:r>
          </w:p>
          <w:p w14:paraId="5FCB6DAA"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Cs/>
                <w:i/>
                <w:sz w:val="16"/>
                <w:szCs w:val="16"/>
                <w:lang w:val="en-CA"/>
              </w:rPr>
              <w:t>(use the Risk of Bias tables and figures)</w:t>
            </w:r>
          </w:p>
        </w:tc>
        <w:tc>
          <w:tcPr>
            <w:tcW w:w="2237" w:type="dxa"/>
            <w:tcBorders>
              <w:top w:val="double" w:sz="4" w:space="0" w:color="auto"/>
            </w:tcBorders>
            <w:tcMar>
              <w:top w:w="29" w:type="dxa"/>
              <w:left w:w="58" w:type="dxa"/>
              <w:bottom w:w="29" w:type="dxa"/>
              <w:right w:w="58" w:type="dxa"/>
            </w:tcMar>
            <w:vAlign w:val="center"/>
          </w:tcPr>
          <w:p w14:paraId="1A3B0819"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Not serious</w:t>
            </w:r>
          </w:p>
          <w:p w14:paraId="65B26BCA" w14:textId="77777777" w:rsidR="00D12264" w:rsidRPr="004B7677" w:rsidRDefault="00D12264" w:rsidP="009C1F61">
            <w:pPr>
              <w:spacing w:after="160"/>
              <w:rPr>
                <w:rFonts w:ascii="Calibri" w:eastAsia="MS Mincho" w:hAnsi="Calibri" w:cs="Times New Roman"/>
                <w:bCs/>
                <w:color w:val="FF0000"/>
                <w:sz w:val="16"/>
                <w:szCs w:val="16"/>
                <w:lang w:val="en-CA"/>
              </w:rPr>
            </w:pPr>
            <w:r w:rsidRPr="004B7677">
              <w:rPr>
                <w:rFonts w:ascii="Calibri" w:eastAsia="MS Mincho" w:hAnsi="Calibri" w:cs="Times New Roman"/>
                <w:bCs/>
                <w:color w:val="FF0000"/>
                <w:sz w:val="16"/>
                <w:szCs w:val="16"/>
                <w:lang w:val="en-CA"/>
              </w:rPr>
              <w:t>serious (-1)</w:t>
            </w:r>
          </w:p>
          <w:p w14:paraId="08DE13E1"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very serious (-2)</w:t>
            </w:r>
          </w:p>
        </w:tc>
        <w:tc>
          <w:tcPr>
            <w:tcW w:w="4320" w:type="dxa"/>
            <w:tcBorders>
              <w:top w:val="double" w:sz="4" w:space="0" w:color="auto"/>
            </w:tcBorders>
            <w:tcMar>
              <w:top w:w="29" w:type="dxa"/>
              <w:left w:w="58" w:type="dxa"/>
              <w:bottom w:w="29" w:type="dxa"/>
              <w:right w:w="58" w:type="dxa"/>
            </w:tcMar>
            <w:vAlign w:val="center"/>
          </w:tcPr>
          <w:p w14:paraId="4AAD5D01"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We could not find specific problems </w:t>
            </w:r>
            <w:r>
              <w:rPr>
                <w:rFonts w:asciiTheme="majorHAnsi" w:eastAsia="MS Mincho" w:hAnsiTheme="majorHAnsi" w:cstheme="majorHAnsi"/>
                <w:bCs/>
                <w:sz w:val="16"/>
                <w:szCs w:val="16"/>
                <w:lang w:val="en-CA"/>
              </w:rPr>
              <w:t>with</w:t>
            </w:r>
            <w:r w:rsidRPr="004A2697">
              <w:rPr>
                <w:rFonts w:asciiTheme="majorHAnsi" w:eastAsia="MS Mincho" w:hAnsiTheme="majorHAnsi" w:cstheme="majorHAnsi"/>
                <w:bCs/>
                <w:sz w:val="16"/>
                <w:szCs w:val="16"/>
                <w:lang w:val="en-CA"/>
              </w:rPr>
              <w:t xml:space="preserve"> randomization in the included studies. Blinding was inappropriate in all studies. We downgraded in the domain of risk of bias. </w:t>
            </w:r>
          </w:p>
        </w:tc>
        <w:tc>
          <w:tcPr>
            <w:tcW w:w="1506" w:type="dxa"/>
            <w:vMerge w:val="restart"/>
            <w:tcBorders>
              <w:top w:val="double" w:sz="4" w:space="0" w:color="auto"/>
              <w:right w:val="single" w:sz="4" w:space="0" w:color="auto"/>
            </w:tcBorders>
            <w:vAlign w:val="center"/>
          </w:tcPr>
          <w:p w14:paraId="77D5C707" w14:textId="77777777" w:rsidR="00D12264" w:rsidRPr="00EC29D8" w:rsidRDefault="00D12264" w:rsidP="009C1F61">
            <w:pPr>
              <w:spacing w:after="160"/>
              <w:jc w:val="center"/>
              <w:rPr>
                <w:rFonts w:ascii="Symbol" w:eastAsia="MS Mincho" w:hAnsi="Symbol" w:cs="Times New Roman"/>
                <w:sz w:val="16"/>
                <w:szCs w:val="16"/>
                <w:lang w:val="en-CA"/>
              </w:rPr>
            </w:pPr>
            <w:r w:rsidRPr="00EC29D8">
              <w:rPr>
                <w:rFonts w:ascii="Symbol" w:eastAsia="MS Mincho" w:hAnsi="Symbol" w:cs="Times New Roman"/>
                <w:sz w:val="16"/>
                <w:szCs w:val="16"/>
                <w:lang w:val="en-CA"/>
              </w:rPr>
              <w:t></w:t>
            </w:r>
            <w:r w:rsidRPr="00EC29D8">
              <w:rPr>
                <w:rFonts w:ascii="Symbol" w:eastAsia="MS Mincho" w:hAnsi="Symbol" w:cs="Times New Roman"/>
                <w:sz w:val="16"/>
                <w:szCs w:val="16"/>
                <w:lang w:val="en-CA"/>
              </w:rPr>
              <w:t></w:t>
            </w:r>
            <w:r w:rsidRPr="00EC29D8">
              <w:rPr>
                <w:rFonts w:ascii="Symbol" w:eastAsia="MS Mincho" w:hAnsi="Symbol" w:cs="Times New Roman"/>
                <w:sz w:val="16"/>
                <w:szCs w:val="16"/>
                <w:lang w:val="en-CA"/>
              </w:rPr>
              <w:t></w:t>
            </w:r>
            <w:r w:rsidRPr="00EC29D8">
              <w:rPr>
                <w:rFonts w:ascii="Symbol" w:eastAsia="MS Mincho" w:hAnsi="Symbol" w:cs="Times New Roman"/>
                <w:sz w:val="16"/>
                <w:szCs w:val="16"/>
                <w:lang w:val="en-CA"/>
              </w:rPr>
              <w:t></w:t>
            </w:r>
            <w:r w:rsidRPr="00EC29D8">
              <w:rPr>
                <w:rFonts w:ascii="Symbol" w:eastAsia="MS Mincho" w:hAnsi="Symbol" w:cs="Times New Roman"/>
                <w:sz w:val="16"/>
                <w:szCs w:val="16"/>
                <w:lang w:val="en-CA"/>
              </w:rPr>
              <w:t></w:t>
            </w:r>
          </w:p>
          <w:p w14:paraId="5F414550" w14:textId="77777777" w:rsidR="00D12264" w:rsidRPr="00EC29D8" w:rsidRDefault="00D12264" w:rsidP="009C1F61">
            <w:pPr>
              <w:spacing w:after="160"/>
              <w:jc w:val="center"/>
              <w:rPr>
                <w:rFonts w:ascii="Calibri" w:eastAsia="MS Mincho" w:hAnsi="Calibri" w:cs="Times New Roman"/>
                <w:color w:val="292526"/>
                <w:sz w:val="16"/>
                <w:szCs w:val="16"/>
                <w:lang w:val="en-CA" w:eastAsia="nb-NO"/>
              </w:rPr>
            </w:pPr>
            <w:r w:rsidRPr="00EC29D8">
              <w:rPr>
                <w:rFonts w:ascii="Calibri" w:eastAsia="MS Mincho" w:hAnsi="Calibri" w:cs="Times New Roman"/>
                <w:color w:val="292526"/>
                <w:sz w:val="16"/>
                <w:szCs w:val="16"/>
                <w:lang w:val="en-CA" w:eastAsia="nb-NO"/>
              </w:rPr>
              <w:t>High</w:t>
            </w:r>
          </w:p>
          <w:p w14:paraId="660CEBF2" w14:textId="77777777" w:rsidR="00D12264" w:rsidRPr="00EC29D8" w:rsidRDefault="00D12264" w:rsidP="009C1F61">
            <w:pPr>
              <w:spacing w:after="160"/>
              <w:jc w:val="center"/>
              <w:rPr>
                <w:rFonts w:ascii="Symbol" w:eastAsia="MS Mincho" w:hAnsi="Symbol" w:cs="Times New Roman"/>
                <w:sz w:val="16"/>
                <w:szCs w:val="16"/>
                <w:lang w:val="en-CA"/>
              </w:rPr>
            </w:pPr>
          </w:p>
          <w:p w14:paraId="18C4939C" w14:textId="77777777" w:rsidR="00D12264" w:rsidRPr="00EC29D8" w:rsidRDefault="00D12264" w:rsidP="009C1F61">
            <w:pPr>
              <w:spacing w:after="160"/>
              <w:jc w:val="center"/>
              <w:rPr>
                <w:rFonts w:ascii="Symbol" w:eastAsia="MS Mincho" w:hAnsi="Symbol" w:cs="Times New Roman"/>
                <w:color w:val="FF0000"/>
                <w:sz w:val="16"/>
                <w:szCs w:val="16"/>
                <w:lang w:val="en-CA"/>
              </w:rPr>
            </w:pPr>
            <w:r w:rsidRPr="00EC29D8">
              <w:rPr>
                <w:rFonts w:ascii="Symbol" w:eastAsia="MS Mincho" w:hAnsi="Symbol" w:cs="Times New Roman"/>
                <w:color w:val="FF0000"/>
                <w:sz w:val="16"/>
                <w:szCs w:val="16"/>
                <w:lang w:val="en-CA"/>
              </w:rPr>
              <w:t></w:t>
            </w:r>
            <w:r w:rsidRPr="00EC29D8">
              <w:rPr>
                <w:rFonts w:ascii="Symbol" w:eastAsia="MS Mincho" w:hAnsi="Symbol" w:cs="Times New Roman"/>
                <w:color w:val="FF0000"/>
                <w:sz w:val="16"/>
                <w:szCs w:val="16"/>
                <w:lang w:val="en-CA"/>
              </w:rPr>
              <w:t></w:t>
            </w:r>
            <w:r w:rsidRPr="00EC29D8">
              <w:rPr>
                <w:rFonts w:ascii="Symbol" w:eastAsia="MS Mincho" w:hAnsi="Symbol" w:cs="Times New Roman"/>
                <w:color w:val="FF0000"/>
                <w:sz w:val="16"/>
                <w:szCs w:val="16"/>
                <w:lang w:val="en-CA"/>
              </w:rPr>
              <w:t></w:t>
            </w:r>
            <w:r w:rsidRPr="00EC29D8">
              <w:rPr>
                <w:rFonts w:ascii="Wingdings 2" w:eastAsia="MS Mincho" w:hAnsi="Wingdings 2" w:cs="Times New Roman"/>
                <w:color w:val="FF0000"/>
                <w:sz w:val="16"/>
                <w:szCs w:val="16"/>
                <w:lang w:val="en-CA"/>
              </w:rPr>
              <w:t></w:t>
            </w:r>
          </w:p>
          <w:p w14:paraId="485F8257" w14:textId="77777777" w:rsidR="00D12264" w:rsidRPr="00EC29D8" w:rsidRDefault="00D12264" w:rsidP="009C1F61">
            <w:pPr>
              <w:spacing w:after="160"/>
              <w:jc w:val="center"/>
              <w:rPr>
                <w:rFonts w:ascii="Calibri" w:eastAsia="MS Mincho" w:hAnsi="Calibri" w:cs="Times New Roman"/>
                <w:color w:val="FF0000"/>
                <w:sz w:val="16"/>
                <w:szCs w:val="16"/>
                <w:lang w:val="en-CA" w:eastAsia="nb-NO"/>
              </w:rPr>
            </w:pPr>
            <w:r w:rsidRPr="00EC29D8">
              <w:rPr>
                <w:rFonts w:ascii="Calibri" w:eastAsia="MS Mincho" w:hAnsi="Calibri" w:cs="Times New Roman"/>
                <w:color w:val="FF0000"/>
                <w:sz w:val="16"/>
                <w:szCs w:val="16"/>
                <w:lang w:val="en-CA"/>
              </w:rPr>
              <w:t>Moderate</w:t>
            </w:r>
          </w:p>
          <w:p w14:paraId="13182610" w14:textId="77777777" w:rsidR="00D12264" w:rsidRPr="00EC29D8" w:rsidRDefault="00D12264" w:rsidP="009C1F61">
            <w:pPr>
              <w:spacing w:after="160"/>
              <w:jc w:val="center"/>
              <w:rPr>
                <w:rFonts w:ascii="Calibri" w:eastAsia="MS Mincho" w:hAnsi="Calibri" w:cs="Times New Roman"/>
                <w:color w:val="292526"/>
                <w:sz w:val="16"/>
                <w:szCs w:val="16"/>
                <w:lang w:val="en-CA" w:eastAsia="nb-NO"/>
              </w:rPr>
            </w:pPr>
          </w:p>
          <w:p w14:paraId="20790137" w14:textId="77777777" w:rsidR="00D12264" w:rsidRPr="00FA6CF1" w:rsidRDefault="00D12264" w:rsidP="009C1F61">
            <w:pPr>
              <w:spacing w:after="160"/>
              <w:jc w:val="center"/>
              <w:rPr>
                <w:rFonts w:ascii="Calibri" w:eastAsia="MS Mincho" w:hAnsi="Calibri" w:cs="Times New Roman"/>
                <w:sz w:val="16"/>
                <w:szCs w:val="16"/>
                <w:lang w:val="en-CA" w:eastAsia="nb-NO"/>
              </w:rPr>
            </w:pP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p>
          <w:p w14:paraId="5D3066CE" w14:textId="77777777" w:rsidR="00D12264" w:rsidRPr="00FA6CF1" w:rsidRDefault="00D12264" w:rsidP="009C1F61">
            <w:pPr>
              <w:spacing w:after="160"/>
              <w:jc w:val="center"/>
              <w:rPr>
                <w:rFonts w:ascii="Calibri" w:eastAsia="MS Mincho" w:hAnsi="Calibri" w:cs="Times New Roman"/>
                <w:sz w:val="16"/>
                <w:szCs w:val="16"/>
                <w:lang w:val="en-CA" w:eastAsia="nb-NO"/>
              </w:rPr>
            </w:pPr>
            <w:r w:rsidRPr="00FA6CF1">
              <w:rPr>
                <w:rFonts w:ascii="Calibri" w:eastAsia="MS Mincho" w:hAnsi="Calibri" w:cs="Times New Roman"/>
                <w:sz w:val="16"/>
                <w:szCs w:val="16"/>
                <w:lang w:val="en-CA" w:eastAsia="nb-NO"/>
              </w:rPr>
              <w:t>Low</w:t>
            </w:r>
          </w:p>
          <w:p w14:paraId="24E4E626" w14:textId="77777777" w:rsidR="00D12264" w:rsidRPr="00FA6CF1" w:rsidRDefault="00D12264" w:rsidP="009C1F61">
            <w:pPr>
              <w:spacing w:after="160"/>
              <w:jc w:val="center"/>
              <w:rPr>
                <w:rFonts w:ascii="Symbol" w:eastAsia="MS Mincho" w:hAnsi="Symbol" w:cs="Times New Roman"/>
                <w:sz w:val="16"/>
                <w:szCs w:val="16"/>
                <w:lang w:val="en-CA"/>
              </w:rPr>
            </w:pPr>
          </w:p>
          <w:p w14:paraId="7C5DF633"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Symbol" w:eastAsia="MS Mincho" w:hAnsi="Symbol"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p>
          <w:p w14:paraId="3BBAFDC9"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Calibri" w:eastAsia="MS Mincho" w:hAnsi="Calibri" w:cs="Times New Roman"/>
                <w:sz w:val="16"/>
                <w:szCs w:val="16"/>
                <w:lang w:val="en-CA"/>
              </w:rPr>
              <w:t>Very Low</w:t>
            </w:r>
          </w:p>
        </w:tc>
      </w:tr>
      <w:tr w:rsidR="00D12264" w:rsidRPr="00FA6CF1" w14:paraId="6414B25F"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0F0E53CA"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Inconsistency</w:t>
            </w:r>
          </w:p>
        </w:tc>
        <w:tc>
          <w:tcPr>
            <w:tcW w:w="2237" w:type="dxa"/>
            <w:tcMar>
              <w:top w:w="29" w:type="dxa"/>
              <w:left w:w="58" w:type="dxa"/>
              <w:bottom w:w="29" w:type="dxa"/>
              <w:right w:w="58" w:type="dxa"/>
            </w:tcMar>
            <w:vAlign w:val="center"/>
          </w:tcPr>
          <w:p w14:paraId="33B11DC3" w14:textId="77777777" w:rsidR="00D12264" w:rsidRPr="00EF34AB" w:rsidRDefault="00D12264" w:rsidP="009C1F61">
            <w:pPr>
              <w:spacing w:after="160"/>
              <w:rPr>
                <w:rFonts w:ascii="Calibri" w:eastAsia="MS Mincho" w:hAnsi="Calibri" w:cs="Times New Roman"/>
                <w:bCs/>
                <w:color w:val="FF0000"/>
                <w:sz w:val="16"/>
                <w:szCs w:val="16"/>
                <w:lang w:val="en-CA"/>
              </w:rPr>
            </w:pPr>
            <w:r w:rsidRPr="00EF34AB">
              <w:rPr>
                <w:rFonts w:ascii="Calibri" w:eastAsia="MS Mincho" w:hAnsi="Calibri" w:cs="Times New Roman"/>
                <w:bCs/>
                <w:color w:val="FF0000"/>
                <w:sz w:val="16"/>
                <w:szCs w:val="16"/>
                <w:lang w:val="en-CA"/>
              </w:rPr>
              <w:t>Not serious</w:t>
            </w:r>
          </w:p>
          <w:p w14:paraId="2CCF9037"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serious (-1)</w:t>
            </w:r>
          </w:p>
          <w:p w14:paraId="31DC67AC"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6F81F538" w14:textId="77777777" w:rsidR="00D12264" w:rsidRPr="00EF34AB"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point estimates were on the same point and the confidence intervals overlapped. The heterogeneity test outputted p-value 0.63 with I</w:t>
            </w:r>
            <w:r>
              <w:rPr>
                <w:rFonts w:asciiTheme="majorHAnsi" w:eastAsia="MS Mincho" w:hAnsiTheme="majorHAnsi" w:cstheme="majorHAnsi"/>
                <w:bCs/>
                <w:sz w:val="16"/>
                <w:szCs w:val="16"/>
                <w:vertAlign w:val="superscript"/>
                <w:lang w:val="en-CA"/>
              </w:rPr>
              <w:t>2</w:t>
            </w:r>
            <w:r>
              <w:rPr>
                <w:rFonts w:asciiTheme="majorHAnsi" w:eastAsia="MS Mincho" w:hAnsiTheme="majorHAnsi" w:cstheme="majorHAnsi"/>
                <w:bCs/>
                <w:sz w:val="16"/>
                <w:szCs w:val="16"/>
                <w:lang w:val="en-CA"/>
              </w:rPr>
              <w:t>=0%. We did not find inconsistency.</w:t>
            </w:r>
          </w:p>
        </w:tc>
        <w:tc>
          <w:tcPr>
            <w:tcW w:w="1506" w:type="dxa"/>
            <w:vMerge/>
            <w:tcBorders>
              <w:right w:val="single" w:sz="4" w:space="0" w:color="auto"/>
            </w:tcBorders>
          </w:tcPr>
          <w:p w14:paraId="67A946F9"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34387AA4"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090BC048"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Indirectness</w:t>
            </w:r>
          </w:p>
        </w:tc>
        <w:tc>
          <w:tcPr>
            <w:tcW w:w="2237" w:type="dxa"/>
            <w:tcMar>
              <w:top w:w="29" w:type="dxa"/>
              <w:left w:w="58" w:type="dxa"/>
              <w:bottom w:w="29" w:type="dxa"/>
              <w:right w:w="58" w:type="dxa"/>
            </w:tcMar>
            <w:vAlign w:val="center"/>
          </w:tcPr>
          <w:p w14:paraId="22DC2E80" w14:textId="77777777" w:rsidR="00D12264" w:rsidRPr="004B7677" w:rsidRDefault="00D12264" w:rsidP="009C1F61">
            <w:pPr>
              <w:spacing w:after="160"/>
              <w:rPr>
                <w:rFonts w:ascii="Calibri" w:eastAsia="MS Mincho" w:hAnsi="Calibri" w:cs="Times New Roman"/>
                <w:bCs/>
                <w:color w:val="FF0000"/>
                <w:sz w:val="16"/>
                <w:szCs w:val="16"/>
                <w:lang w:val="en-CA"/>
              </w:rPr>
            </w:pPr>
            <w:r w:rsidRPr="004B7677">
              <w:rPr>
                <w:rFonts w:ascii="Calibri" w:eastAsia="MS Mincho" w:hAnsi="Calibri" w:cs="Times New Roman"/>
                <w:bCs/>
                <w:color w:val="FF0000"/>
                <w:sz w:val="16"/>
                <w:szCs w:val="16"/>
                <w:lang w:val="en-CA"/>
              </w:rPr>
              <w:t>Not serious</w:t>
            </w:r>
          </w:p>
          <w:p w14:paraId="73F09BA5"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serious (-1)</w:t>
            </w:r>
          </w:p>
          <w:p w14:paraId="708FFD27"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5EEFB6E1"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included studies with 91.3% weighted recruited osteoarthritis of the knee. Also, the patients were predominantly females and aged over 60.</w:t>
            </w:r>
          </w:p>
        </w:tc>
        <w:tc>
          <w:tcPr>
            <w:tcW w:w="1506" w:type="dxa"/>
            <w:vMerge/>
            <w:tcBorders>
              <w:right w:val="single" w:sz="4" w:space="0" w:color="auto"/>
            </w:tcBorders>
          </w:tcPr>
          <w:p w14:paraId="2D47BD5E"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5D7E3B4D"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75C5C7F5"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Imprecision</w:t>
            </w:r>
          </w:p>
        </w:tc>
        <w:tc>
          <w:tcPr>
            <w:tcW w:w="2237" w:type="dxa"/>
            <w:tcMar>
              <w:top w:w="29" w:type="dxa"/>
              <w:left w:w="58" w:type="dxa"/>
              <w:bottom w:w="29" w:type="dxa"/>
              <w:right w:w="58" w:type="dxa"/>
            </w:tcMar>
            <w:vAlign w:val="center"/>
          </w:tcPr>
          <w:p w14:paraId="3F94EECD" w14:textId="77777777" w:rsidR="00D12264" w:rsidRPr="00D13D55" w:rsidRDefault="00D12264" w:rsidP="009C1F61">
            <w:pPr>
              <w:spacing w:after="160"/>
              <w:rPr>
                <w:rFonts w:ascii="Calibri" w:eastAsia="MS Mincho" w:hAnsi="Calibri" w:cs="Times New Roman"/>
                <w:bCs/>
                <w:color w:val="FF0000"/>
                <w:sz w:val="16"/>
                <w:szCs w:val="16"/>
                <w:lang w:val="en-CA"/>
              </w:rPr>
            </w:pPr>
            <w:r w:rsidRPr="00D13D55">
              <w:rPr>
                <w:rFonts w:ascii="Calibri" w:eastAsia="MS Mincho" w:hAnsi="Calibri" w:cs="Times New Roman"/>
                <w:bCs/>
                <w:color w:val="FF0000"/>
                <w:sz w:val="16"/>
                <w:szCs w:val="16"/>
                <w:lang w:val="en-CA"/>
              </w:rPr>
              <w:t>Not serious</w:t>
            </w:r>
          </w:p>
          <w:p w14:paraId="4F99FE6C"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serious (-1)</w:t>
            </w:r>
          </w:p>
          <w:p w14:paraId="61C247CE"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75498A1E"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minimally clinically important difference (MCID) of the Oxford score in total knee arthroplasty is 4.3 (95%CI 3.8-4.8) and the lower/upper limits of the CI in this meta-analysis were less than the MCID.</w:t>
            </w:r>
          </w:p>
        </w:tc>
        <w:tc>
          <w:tcPr>
            <w:tcW w:w="1506" w:type="dxa"/>
            <w:vMerge/>
            <w:tcBorders>
              <w:right w:val="single" w:sz="4" w:space="0" w:color="auto"/>
            </w:tcBorders>
          </w:tcPr>
          <w:p w14:paraId="21448A66"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21BABEFE"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4EB5E76B"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Publication Bias</w:t>
            </w:r>
          </w:p>
        </w:tc>
        <w:tc>
          <w:tcPr>
            <w:tcW w:w="2237" w:type="dxa"/>
            <w:tcMar>
              <w:top w:w="29" w:type="dxa"/>
              <w:left w:w="58" w:type="dxa"/>
              <w:bottom w:w="29" w:type="dxa"/>
              <w:right w:w="58" w:type="dxa"/>
            </w:tcMar>
            <w:vAlign w:val="center"/>
          </w:tcPr>
          <w:p w14:paraId="337BC3AC" w14:textId="77777777" w:rsidR="00D12264" w:rsidRPr="00D13D55" w:rsidRDefault="00D12264" w:rsidP="009C1F61">
            <w:pPr>
              <w:spacing w:after="160"/>
              <w:rPr>
                <w:rFonts w:ascii="Calibri" w:eastAsia="MS Mincho" w:hAnsi="Calibri" w:cs="Times New Roman"/>
                <w:bCs/>
                <w:color w:val="FF0000"/>
                <w:sz w:val="16"/>
                <w:szCs w:val="16"/>
                <w:lang w:val="en-CA"/>
              </w:rPr>
            </w:pPr>
            <w:r w:rsidRPr="00D13D55">
              <w:rPr>
                <w:rFonts w:ascii="Calibri" w:eastAsia="MS Mincho" w:hAnsi="Calibri" w:cs="Times New Roman"/>
                <w:bCs/>
                <w:color w:val="FF0000"/>
                <w:sz w:val="16"/>
                <w:szCs w:val="16"/>
                <w:lang w:val="en-CA"/>
              </w:rPr>
              <w:t>Undetected</w:t>
            </w:r>
          </w:p>
          <w:p w14:paraId="2E0E621F"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Strongly suspected (-1)</w:t>
            </w:r>
          </w:p>
        </w:tc>
        <w:tc>
          <w:tcPr>
            <w:tcW w:w="4320" w:type="dxa"/>
            <w:tcMar>
              <w:top w:w="29" w:type="dxa"/>
              <w:left w:w="58" w:type="dxa"/>
              <w:bottom w:w="29" w:type="dxa"/>
              <w:right w:w="58" w:type="dxa"/>
            </w:tcMar>
            <w:vAlign w:val="center"/>
          </w:tcPr>
          <w:p w14:paraId="78D7016C"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In </w:t>
            </w:r>
            <w:r>
              <w:rPr>
                <w:rFonts w:asciiTheme="majorHAnsi" w:eastAsia="MS Mincho" w:hAnsiTheme="majorHAnsi" w:cstheme="majorHAnsi"/>
                <w:bCs/>
                <w:sz w:val="16"/>
                <w:szCs w:val="16"/>
                <w:lang w:val="en-CA"/>
              </w:rPr>
              <w:t xml:space="preserve">the </w:t>
            </w:r>
            <w:r w:rsidRPr="004A2697">
              <w:rPr>
                <w:rFonts w:asciiTheme="majorHAnsi" w:eastAsia="MS Mincho" w:hAnsiTheme="majorHAnsi" w:cstheme="majorHAnsi"/>
                <w:bCs/>
                <w:sz w:val="16"/>
                <w:szCs w:val="16"/>
                <w:lang w:val="en-CA"/>
              </w:rPr>
              <w:t>f</w:t>
            </w:r>
            <w:r>
              <w:rPr>
                <w:rFonts w:asciiTheme="majorHAnsi" w:eastAsia="MS Mincho" w:hAnsiTheme="majorHAnsi" w:cstheme="majorHAnsi"/>
                <w:bCs/>
                <w:sz w:val="16"/>
                <w:szCs w:val="16"/>
                <w:lang w:val="en-CA"/>
              </w:rPr>
              <w:t>unnel</w:t>
            </w:r>
            <w:r w:rsidRPr="004A2697">
              <w:rPr>
                <w:rFonts w:asciiTheme="majorHAnsi" w:eastAsia="MS Mincho" w:hAnsiTheme="majorHAnsi" w:cstheme="majorHAnsi"/>
                <w:bCs/>
                <w:sz w:val="16"/>
                <w:szCs w:val="16"/>
                <w:lang w:val="en-CA"/>
              </w:rPr>
              <w:t xml:space="preserve"> plot, almost all studies were symmetrically distributed, </w:t>
            </w:r>
            <w:r>
              <w:rPr>
                <w:rFonts w:asciiTheme="majorHAnsi" w:eastAsia="MS Mincho" w:hAnsiTheme="majorHAnsi" w:cstheme="majorHAnsi"/>
                <w:bCs/>
                <w:sz w:val="16"/>
                <w:szCs w:val="16"/>
                <w:lang w:val="en-CA"/>
              </w:rPr>
              <w:t>al</w:t>
            </w:r>
            <w:r w:rsidRPr="004A2697">
              <w:rPr>
                <w:rFonts w:asciiTheme="majorHAnsi" w:eastAsia="MS Mincho" w:hAnsiTheme="majorHAnsi" w:cstheme="majorHAnsi"/>
                <w:bCs/>
                <w:sz w:val="16"/>
                <w:szCs w:val="16"/>
                <w:lang w:val="en-CA"/>
              </w:rPr>
              <w:t xml:space="preserve">though only </w:t>
            </w:r>
            <w:r>
              <w:rPr>
                <w:rFonts w:asciiTheme="majorHAnsi" w:eastAsia="MS Mincho" w:hAnsiTheme="majorHAnsi" w:cstheme="majorHAnsi"/>
                <w:bCs/>
                <w:sz w:val="16"/>
                <w:szCs w:val="16"/>
                <w:lang w:val="en-CA"/>
              </w:rPr>
              <w:t>four</w:t>
            </w:r>
            <w:r w:rsidRPr="004A2697">
              <w:rPr>
                <w:rFonts w:asciiTheme="majorHAnsi" w:eastAsia="MS Mincho" w:hAnsiTheme="majorHAnsi" w:cstheme="majorHAnsi"/>
                <w:bCs/>
                <w:sz w:val="16"/>
                <w:szCs w:val="16"/>
                <w:lang w:val="en-CA"/>
              </w:rPr>
              <w:t xml:space="preserve"> studies were included. </w:t>
            </w:r>
          </w:p>
        </w:tc>
        <w:tc>
          <w:tcPr>
            <w:tcW w:w="1506" w:type="dxa"/>
            <w:vMerge/>
            <w:tcBorders>
              <w:right w:val="single" w:sz="4" w:space="0" w:color="auto"/>
            </w:tcBorders>
          </w:tcPr>
          <w:p w14:paraId="6B5E74FB"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2F87DF28"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143DC8DA"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Other</w:t>
            </w:r>
          </w:p>
          <w:p w14:paraId="214F1DFA" w14:textId="77777777" w:rsidR="00D12264" w:rsidRPr="00FA6CF1" w:rsidRDefault="00D12264" w:rsidP="009C1F61">
            <w:pPr>
              <w:spacing w:after="160"/>
              <w:rPr>
                <w:rFonts w:ascii="Calibri" w:eastAsia="MS Mincho" w:hAnsi="Calibri" w:cs="Times New Roman"/>
                <w:bCs/>
                <w:sz w:val="16"/>
                <w:szCs w:val="16"/>
                <w:lang w:val="en-CA"/>
              </w:rPr>
            </w:pPr>
            <w:r w:rsidRPr="00FA6CF1">
              <w:rPr>
                <w:rFonts w:ascii="Calibri" w:eastAsia="MS Mincho" w:hAnsi="Calibri" w:cs="Times New Roman"/>
                <w:bCs/>
                <w:sz w:val="16"/>
                <w:szCs w:val="16"/>
                <w:lang w:val="en-CA"/>
              </w:rPr>
              <w:t>(upgrading factors, circle all that apply)</w:t>
            </w:r>
          </w:p>
        </w:tc>
        <w:tc>
          <w:tcPr>
            <w:tcW w:w="2237" w:type="dxa"/>
            <w:tcMar>
              <w:top w:w="29" w:type="dxa"/>
              <w:left w:w="58" w:type="dxa"/>
              <w:bottom w:w="29" w:type="dxa"/>
              <w:right w:w="58" w:type="dxa"/>
            </w:tcMar>
            <w:vAlign w:val="center"/>
          </w:tcPr>
          <w:p w14:paraId="733DBDEF"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Large effect (+1 or +2)</w:t>
            </w:r>
          </w:p>
          <w:p w14:paraId="22AC69EB"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Dose response (+1 )</w:t>
            </w:r>
          </w:p>
          <w:p w14:paraId="4B682C05"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Plausible confounding opposing the effect (+1)</w:t>
            </w:r>
          </w:p>
        </w:tc>
        <w:tc>
          <w:tcPr>
            <w:tcW w:w="4320" w:type="dxa"/>
            <w:tcMar>
              <w:top w:w="29" w:type="dxa"/>
              <w:left w:w="58" w:type="dxa"/>
              <w:bottom w:w="29" w:type="dxa"/>
              <w:right w:w="58" w:type="dxa"/>
            </w:tcMar>
            <w:vAlign w:val="center"/>
          </w:tcPr>
          <w:p w14:paraId="766D98E0"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The effect is less significant and there is no plausible reason to rate up. </w:t>
            </w:r>
          </w:p>
        </w:tc>
        <w:tc>
          <w:tcPr>
            <w:tcW w:w="1506" w:type="dxa"/>
            <w:vMerge/>
            <w:tcBorders>
              <w:right w:val="single" w:sz="4" w:space="0" w:color="auto"/>
            </w:tcBorders>
          </w:tcPr>
          <w:p w14:paraId="658EBA24" w14:textId="77777777" w:rsidR="00D12264" w:rsidRPr="00FA6CF1" w:rsidRDefault="00D12264" w:rsidP="009C1F61">
            <w:pPr>
              <w:spacing w:after="160"/>
              <w:rPr>
                <w:rFonts w:ascii="Calibri" w:eastAsia="MS Mincho" w:hAnsi="Calibri" w:cs="Times New Roman"/>
                <w:b/>
                <w:bCs/>
                <w:sz w:val="16"/>
                <w:szCs w:val="16"/>
                <w:lang w:val="en-CA"/>
              </w:rPr>
            </w:pPr>
          </w:p>
        </w:tc>
      </w:tr>
    </w:tbl>
    <w:p w14:paraId="0A88C079" w14:textId="77777777" w:rsidR="00D12264" w:rsidRPr="00FA6CF1" w:rsidRDefault="00D12264" w:rsidP="00D12264">
      <w:pPr>
        <w:rPr>
          <w:rFonts w:ascii="Calibri" w:eastAsia="Times New Roman" w:hAnsi="Calibri" w:cs="Times New Roman"/>
        </w:rPr>
      </w:pPr>
    </w:p>
    <w:p w14:paraId="3B4CAB9D" w14:textId="77777777" w:rsidR="00D12264" w:rsidRPr="00FA6CF1" w:rsidRDefault="00D12264" w:rsidP="00D12264">
      <w:pPr>
        <w:rPr>
          <w:rFonts w:ascii="Calibri" w:eastAsia="Times New Roman" w:hAnsi="Calibri" w:cs="Times New Roman"/>
        </w:rPr>
      </w:pPr>
    </w:p>
    <w:p w14:paraId="07606EB8" w14:textId="77777777" w:rsidR="00D12264" w:rsidRPr="00FA6CF1" w:rsidRDefault="00D12264" w:rsidP="00D12264">
      <w:pPr>
        <w:rPr>
          <w:rFonts w:ascii="Calibri" w:eastAsia="Times New Roman" w:hAnsi="Calibri" w:cs="Times New Roman"/>
        </w:rPr>
      </w:pPr>
    </w:p>
    <w:p w14:paraId="198443AA" w14:textId="77777777" w:rsidR="00D12264" w:rsidRPr="00FA6CF1" w:rsidRDefault="00D12264" w:rsidP="00D12264">
      <w:pPr>
        <w:rPr>
          <w:rFonts w:ascii="Calibri" w:eastAsia="Times New Roman" w:hAnsi="Calibri" w:cs="Times New Roman"/>
        </w:rPr>
      </w:pPr>
    </w:p>
    <w:p w14:paraId="02249ACB" w14:textId="77777777" w:rsidR="00D12264" w:rsidRPr="00FA6CF1" w:rsidRDefault="00D12264" w:rsidP="00D12264">
      <w:pPr>
        <w:rPr>
          <w:rFonts w:ascii="Calibri" w:eastAsia="Times New Roman" w:hAnsi="Calibri" w:cs="Times New Roman"/>
        </w:rPr>
      </w:pPr>
    </w:p>
    <w:p w14:paraId="5152FC8A" w14:textId="77777777" w:rsidR="00D12264" w:rsidRDefault="00D12264" w:rsidP="00D12264">
      <w:pPr>
        <w:rPr>
          <w:rFonts w:ascii="Calibri" w:eastAsia="Times New Roman" w:hAnsi="Calibri" w:cs="Times New Roman"/>
        </w:rPr>
      </w:pPr>
    </w:p>
    <w:p w14:paraId="77AF2D12" w14:textId="77777777" w:rsidR="00D12264" w:rsidRDefault="00D12264" w:rsidP="00D12264">
      <w:pPr>
        <w:rPr>
          <w:rFonts w:ascii="Calibri" w:eastAsia="Times New Roman" w:hAnsi="Calibri" w:cs="Times New Roman"/>
        </w:rPr>
      </w:pPr>
    </w:p>
    <w:p w14:paraId="166114D0" w14:textId="77777777" w:rsidR="00D12264" w:rsidRDefault="00D12264" w:rsidP="00D12264">
      <w:pPr>
        <w:rPr>
          <w:rFonts w:ascii="Calibri" w:eastAsia="Times New Roman" w:hAnsi="Calibri" w:cs="Times New Roman"/>
        </w:rPr>
      </w:pPr>
    </w:p>
    <w:p w14:paraId="25681A0C" w14:textId="77777777" w:rsidR="00D12264" w:rsidRDefault="00D12264" w:rsidP="00D12264">
      <w:pPr>
        <w:rPr>
          <w:rFonts w:ascii="Calibri" w:eastAsia="Times New Roman" w:hAnsi="Calibri" w:cs="Times New Roman"/>
        </w:rPr>
      </w:pPr>
    </w:p>
    <w:p w14:paraId="25BC17D3" w14:textId="77777777" w:rsidR="00D12264" w:rsidRDefault="00D12264" w:rsidP="00D12264">
      <w:pPr>
        <w:rPr>
          <w:rFonts w:ascii="Calibri" w:eastAsia="Times New Roman" w:hAnsi="Calibri" w:cs="Times New Roman"/>
        </w:rPr>
      </w:pPr>
    </w:p>
    <w:p w14:paraId="3BEACED9" w14:textId="77777777" w:rsidR="00D12264" w:rsidRDefault="00D12264" w:rsidP="00D12264">
      <w:pPr>
        <w:rPr>
          <w:rFonts w:ascii="Calibri" w:eastAsia="Times New Roman" w:hAnsi="Calibri" w:cs="Times New Roman"/>
        </w:rPr>
      </w:pPr>
    </w:p>
    <w:p w14:paraId="3A0E2277" w14:textId="77777777" w:rsidR="00D12264" w:rsidRDefault="00D12264" w:rsidP="00D12264">
      <w:pPr>
        <w:rPr>
          <w:rFonts w:ascii="Calibri" w:eastAsia="Times New Roman" w:hAnsi="Calibri" w:cs="Times New Roman"/>
        </w:rPr>
      </w:pPr>
    </w:p>
    <w:p w14:paraId="4B4CFB95" w14:textId="77777777" w:rsidR="00D12264" w:rsidRDefault="00D12264" w:rsidP="00D12264">
      <w:pPr>
        <w:rPr>
          <w:rFonts w:ascii="Calibri" w:eastAsia="Times New Roman" w:hAnsi="Calibri" w:cs="Times New Roman"/>
        </w:rPr>
      </w:pPr>
    </w:p>
    <w:p w14:paraId="635C607D" w14:textId="77777777" w:rsidR="00D12264" w:rsidRDefault="00D12264" w:rsidP="00D12264">
      <w:pPr>
        <w:rPr>
          <w:rFonts w:ascii="Calibri" w:eastAsia="Times New Roman" w:hAnsi="Calibri" w:cs="Times New Roman"/>
        </w:rPr>
      </w:pPr>
    </w:p>
    <w:p w14:paraId="69EE81AF" w14:textId="77777777" w:rsidR="00D12264" w:rsidRDefault="00D12264" w:rsidP="00D12264">
      <w:pPr>
        <w:rPr>
          <w:rFonts w:ascii="Calibri" w:eastAsia="Times New Roman" w:hAnsi="Calibri" w:cs="Times New Roman"/>
        </w:rPr>
      </w:pPr>
    </w:p>
    <w:p w14:paraId="7DF21473" w14:textId="58163214" w:rsidR="00D12264" w:rsidRPr="00890779" w:rsidRDefault="00D12264" w:rsidP="00D12264">
      <w:pPr>
        <w:rPr>
          <w:rFonts w:eastAsia="Times New Roman"/>
          <w:b/>
          <w:szCs w:val="20"/>
        </w:rPr>
      </w:pPr>
      <w:r w:rsidRPr="00890779">
        <w:rPr>
          <w:rFonts w:eastAsia="Times New Roman"/>
          <w:b/>
          <w:szCs w:val="20"/>
        </w:rPr>
        <w:lastRenderedPageBreak/>
        <w:t xml:space="preserve">Appendix </w:t>
      </w:r>
      <w:r w:rsidR="0040231B">
        <w:rPr>
          <w:rFonts w:eastAsia="Times New Roman"/>
          <w:b/>
          <w:szCs w:val="20"/>
        </w:rPr>
        <w:t>K</w:t>
      </w:r>
      <w:r>
        <w:rPr>
          <w:rFonts w:eastAsia="Times New Roman"/>
          <w:b/>
          <w:szCs w:val="20"/>
        </w:rPr>
        <w:t>.2</w:t>
      </w:r>
      <w:r w:rsidRPr="00890779">
        <w:rPr>
          <w:rFonts w:eastAsia="Times New Roman"/>
          <w:b/>
          <w:szCs w:val="20"/>
        </w:rPr>
        <w:t xml:space="preserve">: Assessment of the </w:t>
      </w:r>
      <w:r>
        <w:rPr>
          <w:rFonts w:eastAsia="Times New Roman"/>
          <w:b/>
          <w:szCs w:val="20"/>
        </w:rPr>
        <w:t>quality</w:t>
      </w:r>
      <w:r w:rsidRPr="00890779">
        <w:rPr>
          <w:rFonts w:eastAsia="Times New Roman"/>
          <w:b/>
          <w:szCs w:val="20"/>
        </w:rPr>
        <w:t xml:space="preserve"> of the evidence for WOMAC (1-year or more)</w:t>
      </w:r>
    </w:p>
    <w:p w14:paraId="4B0785F9" w14:textId="77777777" w:rsidR="00D12264" w:rsidRPr="00C94AE6" w:rsidRDefault="00D12264" w:rsidP="00D12264">
      <w:pPr>
        <w:rPr>
          <w:rFonts w:eastAsia="Times New Roman"/>
          <w:sz w:val="20"/>
          <w:szCs w:val="20"/>
        </w:rPr>
      </w:pPr>
    </w:p>
    <w:tbl>
      <w:tblPr>
        <w:tblStyle w:val="TableGrid"/>
        <w:tblW w:w="10079" w:type="dxa"/>
        <w:jc w:val="center"/>
        <w:tblBorders>
          <w:left w:val="none" w:sz="0" w:space="0" w:color="auto"/>
          <w:right w:val="none" w:sz="0" w:space="0" w:color="auto"/>
        </w:tblBorders>
        <w:tblLook w:val="01E0" w:firstRow="1" w:lastRow="1" w:firstColumn="1" w:lastColumn="1" w:noHBand="0" w:noVBand="0"/>
      </w:tblPr>
      <w:tblGrid>
        <w:gridCol w:w="2016"/>
        <w:gridCol w:w="2237"/>
        <w:gridCol w:w="4320"/>
        <w:gridCol w:w="1506"/>
      </w:tblGrid>
      <w:tr w:rsidR="00D12264" w:rsidRPr="00FA6CF1" w14:paraId="500C3B10" w14:textId="77777777" w:rsidTr="009C1F61">
        <w:trPr>
          <w:jc w:val="center"/>
        </w:trPr>
        <w:tc>
          <w:tcPr>
            <w:tcW w:w="2016" w:type="dxa"/>
            <w:tcBorders>
              <w:top w:val="single" w:sz="4" w:space="0" w:color="auto"/>
              <w:left w:val="single" w:sz="4" w:space="0" w:color="auto"/>
              <w:bottom w:val="double" w:sz="4" w:space="0" w:color="auto"/>
            </w:tcBorders>
            <w:shd w:val="clear" w:color="auto" w:fill="auto"/>
            <w:tcMar>
              <w:top w:w="29" w:type="dxa"/>
              <w:left w:w="58" w:type="dxa"/>
              <w:bottom w:w="29" w:type="dxa"/>
              <w:right w:w="58" w:type="dxa"/>
            </w:tcMar>
            <w:vAlign w:val="center"/>
          </w:tcPr>
          <w:p w14:paraId="7AAB8795"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GRADE domains</w:t>
            </w:r>
          </w:p>
        </w:tc>
        <w:tc>
          <w:tcPr>
            <w:tcW w:w="2237"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217D4F13"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Rating </w:t>
            </w:r>
          </w:p>
          <w:p w14:paraId="5F4F4DC3"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(remember borderline or close calls are possible)</w:t>
            </w:r>
          </w:p>
        </w:tc>
        <w:tc>
          <w:tcPr>
            <w:tcW w:w="4320"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00672515"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Footnotes</w:t>
            </w:r>
          </w:p>
          <w:p w14:paraId="1006580B"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(explain reasons for rating down)</w:t>
            </w:r>
          </w:p>
        </w:tc>
        <w:tc>
          <w:tcPr>
            <w:tcW w:w="1506" w:type="dxa"/>
            <w:tcBorders>
              <w:top w:val="single" w:sz="4" w:space="0" w:color="auto"/>
              <w:bottom w:val="double" w:sz="4" w:space="0" w:color="auto"/>
              <w:right w:val="single" w:sz="4" w:space="0" w:color="auto"/>
            </w:tcBorders>
            <w:shd w:val="clear" w:color="auto" w:fill="auto"/>
            <w:vAlign w:val="center"/>
          </w:tcPr>
          <w:p w14:paraId="5E6C676D"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Certainty of the evidence </w:t>
            </w:r>
          </w:p>
          <w:p w14:paraId="7FC8A91A"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(Circle one)</w:t>
            </w:r>
          </w:p>
        </w:tc>
      </w:tr>
      <w:tr w:rsidR="00D12264" w:rsidRPr="00FA6CF1" w14:paraId="36B08F28" w14:textId="77777777" w:rsidTr="009C1F61">
        <w:trPr>
          <w:jc w:val="center"/>
        </w:trPr>
        <w:tc>
          <w:tcPr>
            <w:tcW w:w="2016" w:type="dxa"/>
            <w:tcBorders>
              <w:top w:val="double" w:sz="4" w:space="0" w:color="auto"/>
              <w:left w:val="single" w:sz="4" w:space="0" w:color="auto"/>
            </w:tcBorders>
            <w:tcMar>
              <w:top w:w="29" w:type="dxa"/>
              <w:left w:w="58" w:type="dxa"/>
              <w:bottom w:w="29" w:type="dxa"/>
              <w:right w:w="58" w:type="dxa"/>
            </w:tcMar>
            <w:vAlign w:val="center"/>
          </w:tcPr>
          <w:p w14:paraId="0042AEF5"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Risk of Bias</w:t>
            </w:r>
          </w:p>
          <w:p w14:paraId="193E8DD3"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Cs/>
                <w:i/>
                <w:sz w:val="16"/>
                <w:szCs w:val="16"/>
                <w:lang w:val="en-CA"/>
              </w:rPr>
              <w:t>(use the Risk of Bias tables and figures)</w:t>
            </w:r>
          </w:p>
        </w:tc>
        <w:tc>
          <w:tcPr>
            <w:tcW w:w="2237" w:type="dxa"/>
            <w:tcBorders>
              <w:top w:val="double" w:sz="4" w:space="0" w:color="auto"/>
            </w:tcBorders>
            <w:tcMar>
              <w:top w:w="29" w:type="dxa"/>
              <w:left w:w="58" w:type="dxa"/>
              <w:bottom w:w="29" w:type="dxa"/>
              <w:right w:w="58" w:type="dxa"/>
            </w:tcMar>
            <w:vAlign w:val="center"/>
          </w:tcPr>
          <w:p w14:paraId="0FD3A090"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Not serious</w:t>
            </w:r>
          </w:p>
          <w:p w14:paraId="44C36C0A" w14:textId="77777777" w:rsidR="00D12264" w:rsidRPr="004B7677" w:rsidRDefault="00D12264" w:rsidP="009C1F61">
            <w:pPr>
              <w:spacing w:after="160"/>
              <w:rPr>
                <w:rFonts w:ascii="Calibri" w:eastAsia="MS Mincho" w:hAnsi="Calibri" w:cs="Times New Roman"/>
                <w:bCs/>
                <w:color w:val="FF0000"/>
                <w:sz w:val="16"/>
                <w:szCs w:val="16"/>
                <w:lang w:val="en-CA"/>
              </w:rPr>
            </w:pPr>
            <w:r w:rsidRPr="004B7677">
              <w:rPr>
                <w:rFonts w:ascii="Calibri" w:eastAsia="MS Mincho" w:hAnsi="Calibri" w:cs="Times New Roman"/>
                <w:bCs/>
                <w:color w:val="FF0000"/>
                <w:sz w:val="16"/>
                <w:szCs w:val="16"/>
                <w:lang w:val="en-CA"/>
              </w:rPr>
              <w:t>serious (-1)</w:t>
            </w:r>
          </w:p>
          <w:p w14:paraId="1814A2B8"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very serious (-2)</w:t>
            </w:r>
          </w:p>
        </w:tc>
        <w:tc>
          <w:tcPr>
            <w:tcW w:w="4320" w:type="dxa"/>
            <w:tcBorders>
              <w:top w:val="double" w:sz="4" w:space="0" w:color="auto"/>
            </w:tcBorders>
            <w:tcMar>
              <w:top w:w="29" w:type="dxa"/>
              <w:left w:w="58" w:type="dxa"/>
              <w:bottom w:w="29" w:type="dxa"/>
              <w:right w:w="58" w:type="dxa"/>
            </w:tcMar>
            <w:vAlign w:val="center"/>
          </w:tcPr>
          <w:p w14:paraId="6AB325C9"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We could not find specific problems </w:t>
            </w:r>
            <w:r>
              <w:rPr>
                <w:rFonts w:asciiTheme="majorHAnsi" w:eastAsia="MS Mincho" w:hAnsiTheme="majorHAnsi" w:cstheme="majorHAnsi"/>
                <w:bCs/>
                <w:sz w:val="16"/>
                <w:szCs w:val="16"/>
                <w:lang w:val="en-CA"/>
              </w:rPr>
              <w:t>regarding</w:t>
            </w:r>
            <w:r w:rsidRPr="004A2697">
              <w:rPr>
                <w:rFonts w:asciiTheme="majorHAnsi" w:eastAsia="MS Mincho" w:hAnsiTheme="majorHAnsi" w:cstheme="majorHAnsi"/>
                <w:bCs/>
                <w:sz w:val="16"/>
                <w:szCs w:val="16"/>
                <w:lang w:val="en-CA"/>
              </w:rPr>
              <w:t xml:space="preserve"> randomization in the included studies. Blinding was inappropriate in</w:t>
            </w:r>
            <w:r>
              <w:rPr>
                <w:rFonts w:asciiTheme="majorHAnsi" w:eastAsia="MS Mincho" w:hAnsiTheme="majorHAnsi" w:cstheme="majorHAnsi"/>
                <w:bCs/>
                <w:sz w:val="16"/>
                <w:szCs w:val="16"/>
                <w:lang w:val="en-CA"/>
              </w:rPr>
              <w:t xml:space="preserve"> almost</w:t>
            </w:r>
            <w:r w:rsidRPr="004A2697">
              <w:rPr>
                <w:rFonts w:asciiTheme="majorHAnsi" w:eastAsia="MS Mincho" w:hAnsiTheme="majorHAnsi" w:cstheme="majorHAnsi"/>
                <w:bCs/>
                <w:sz w:val="16"/>
                <w:szCs w:val="16"/>
                <w:lang w:val="en-CA"/>
              </w:rPr>
              <w:t xml:space="preserve"> all studies</w:t>
            </w:r>
            <w:r>
              <w:rPr>
                <w:rFonts w:asciiTheme="majorHAnsi" w:eastAsia="MS Mincho" w:hAnsiTheme="majorHAnsi" w:cstheme="majorHAnsi"/>
                <w:bCs/>
                <w:sz w:val="16"/>
                <w:szCs w:val="16"/>
                <w:lang w:val="en-CA"/>
              </w:rPr>
              <w:t xml:space="preserve"> with 84.2% weighted, except Dossett 2014. We downgraded in the domain of risk of bias for inappropriate blinding.</w:t>
            </w:r>
            <w:r w:rsidRPr="004A2697">
              <w:rPr>
                <w:rFonts w:asciiTheme="majorHAnsi" w:eastAsia="MS Mincho" w:hAnsiTheme="majorHAnsi" w:cstheme="majorHAnsi"/>
                <w:bCs/>
                <w:sz w:val="16"/>
                <w:szCs w:val="16"/>
                <w:lang w:val="en-CA"/>
              </w:rPr>
              <w:t xml:space="preserve"> </w:t>
            </w:r>
          </w:p>
        </w:tc>
        <w:tc>
          <w:tcPr>
            <w:tcW w:w="1506" w:type="dxa"/>
            <w:vMerge w:val="restart"/>
            <w:tcBorders>
              <w:top w:val="double" w:sz="4" w:space="0" w:color="auto"/>
              <w:right w:val="single" w:sz="4" w:space="0" w:color="auto"/>
            </w:tcBorders>
            <w:vAlign w:val="center"/>
          </w:tcPr>
          <w:p w14:paraId="75BD9204" w14:textId="77777777" w:rsidR="00D12264" w:rsidRPr="00FA6CF1" w:rsidRDefault="00D12264" w:rsidP="009C1F61">
            <w:pPr>
              <w:spacing w:after="160"/>
              <w:jc w:val="center"/>
              <w:rPr>
                <w:rFonts w:ascii="Symbol" w:eastAsia="MS Mincho" w:hAnsi="Symbol" w:cs="Times New Roman"/>
                <w:sz w:val="16"/>
                <w:szCs w:val="16"/>
                <w:lang w:val="en-CA"/>
              </w:rPr>
            </w:pP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p>
          <w:p w14:paraId="0497A947" w14:textId="77777777" w:rsidR="00D12264" w:rsidRPr="00FA6CF1" w:rsidRDefault="00D12264" w:rsidP="009C1F61">
            <w:pPr>
              <w:spacing w:after="160"/>
              <w:jc w:val="center"/>
              <w:rPr>
                <w:rFonts w:ascii="Calibri" w:eastAsia="MS Mincho" w:hAnsi="Calibri" w:cs="Times New Roman"/>
                <w:color w:val="292526"/>
                <w:sz w:val="16"/>
                <w:szCs w:val="16"/>
                <w:lang w:val="en-CA" w:eastAsia="nb-NO"/>
              </w:rPr>
            </w:pPr>
            <w:r w:rsidRPr="00FA6CF1">
              <w:rPr>
                <w:rFonts w:ascii="Calibri" w:eastAsia="MS Mincho" w:hAnsi="Calibri" w:cs="Times New Roman"/>
                <w:color w:val="292526"/>
                <w:sz w:val="16"/>
                <w:szCs w:val="16"/>
                <w:lang w:val="en-CA" w:eastAsia="nb-NO"/>
              </w:rPr>
              <w:t>High</w:t>
            </w:r>
          </w:p>
          <w:p w14:paraId="4945CC27" w14:textId="77777777" w:rsidR="00D12264" w:rsidRPr="00E7492F" w:rsidRDefault="00D12264" w:rsidP="009C1F61">
            <w:pPr>
              <w:spacing w:after="160"/>
              <w:jc w:val="center"/>
              <w:rPr>
                <w:rFonts w:ascii="Symbol" w:eastAsia="MS Mincho" w:hAnsi="Symbol" w:cs="Times New Roman"/>
                <w:sz w:val="16"/>
                <w:szCs w:val="16"/>
                <w:lang w:val="en-CA"/>
              </w:rPr>
            </w:pPr>
          </w:p>
          <w:p w14:paraId="15B5D953" w14:textId="77777777" w:rsidR="00D12264" w:rsidRPr="00E7492F" w:rsidRDefault="00D12264" w:rsidP="009C1F61">
            <w:pPr>
              <w:spacing w:after="160"/>
              <w:jc w:val="center"/>
              <w:rPr>
                <w:rFonts w:ascii="Symbol" w:eastAsia="MS Mincho" w:hAnsi="Symbol" w:cs="Times New Roman"/>
                <w:color w:val="FF0000"/>
                <w:sz w:val="16"/>
                <w:szCs w:val="16"/>
                <w:lang w:val="en-CA"/>
              </w:rPr>
            </w:pPr>
            <w:r w:rsidRPr="00E7492F">
              <w:rPr>
                <w:rFonts w:ascii="Symbol" w:eastAsia="MS Mincho" w:hAnsi="Symbol" w:cs="Times New Roman"/>
                <w:color w:val="FF0000"/>
                <w:sz w:val="16"/>
                <w:szCs w:val="16"/>
                <w:lang w:val="en-CA"/>
              </w:rPr>
              <w:t></w:t>
            </w:r>
            <w:r w:rsidRPr="00E7492F">
              <w:rPr>
                <w:rFonts w:ascii="Symbol" w:eastAsia="MS Mincho" w:hAnsi="Symbol" w:cs="Times New Roman"/>
                <w:color w:val="FF0000"/>
                <w:sz w:val="16"/>
                <w:szCs w:val="16"/>
                <w:lang w:val="en-CA"/>
              </w:rPr>
              <w:t></w:t>
            </w:r>
            <w:r w:rsidRPr="00E7492F">
              <w:rPr>
                <w:rFonts w:ascii="Symbol" w:eastAsia="MS Mincho" w:hAnsi="Symbol" w:cs="Times New Roman"/>
                <w:color w:val="FF0000"/>
                <w:sz w:val="16"/>
                <w:szCs w:val="16"/>
                <w:lang w:val="en-CA"/>
              </w:rPr>
              <w:t></w:t>
            </w:r>
            <w:r w:rsidRPr="00E7492F">
              <w:rPr>
                <w:rFonts w:ascii="Wingdings 2" w:eastAsia="MS Mincho" w:hAnsi="Wingdings 2" w:cs="Times New Roman"/>
                <w:color w:val="FF0000"/>
                <w:sz w:val="16"/>
                <w:szCs w:val="16"/>
                <w:lang w:val="en-CA"/>
              </w:rPr>
              <w:t></w:t>
            </w:r>
          </w:p>
          <w:p w14:paraId="7C5F00DE" w14:textId="77777777" w:rsidR="00D12264" w:rsidRPr="00FA6CF1" w:rsidRDefault="00D12264" w:rsidP="009C1F61">
            <w:pPr>
              <w:spacing w:after="160"/>
              <w:jc w:val="center"/>
              <w:rPr>
                <w:rFonts w:ascii="Calibri" w:eastAsia="MS Mincho" w:hAnsi="Calibri" w:cs="Times New Roman"/>
                <w:b/>
                <w:color w:val="FF0000"/>
                <w:sz w:val="16"/>
                <w:szCs w:val="16"/>
                <w:lang w:val="en-CA" w:eastAsia="nb-NO"/>
              </w:rPr>
            </w:pPr>
            <w:r w:rsidRPr="00E7492F">
              <w:rPr>
                <w:rFonts w:ascii="Calibri" w:eastAsia="MS Mincho" w:hAnsi="Calibri" w:cs="Times New Roman"/>
                <w:color w:val="FF0000"/>
                <w:sz w:val="16"/>
                <w:szCs w:val="16"/>
                <w:lang w:val="en-CA"/>
              </w:rPr>
              <w:t>Moderate</w:t>
            </w:r>
          </w:p>
          <w:p w14:paraId="63B13BEF" w14:textId="77777777" w:rsidR="00D12264" w:rsidRPr="00FA6CF1" w:rsidRDefault="00D12264" w:rsidP="009C1F61">
            <w:pPr>
              <w:spacing w:after="160"/>
              <w:jc w:val="center"/>
              <w:rPr>
                <w:rFonts w:ascii="Calibri" w:eastAsia="MS Mincho" w:hAnsi="Calibri" w:cs="Times New Roman"/>
                <w:color w:val="292526"/>
                <w:sz w:val="16"/>
                <w:szCs w:val="16"/>
                <w:lang w:val="en-CA" w:eastAsia="nb-NO"/>
              </w:rPr>
            </w:pPr>
          </w:p>
          <w:p w14:paraId="21552042" w14:textId="77777777" w:rsidR="00D12264" w:rsidRPr="00FA6CF1" w:rsidRDefault="00D12264" w:rsidP="009C1F61">
            <w:pPr>
              <w:spacing w:after="160"/>
              <w:jc w:val="center"/>
              <w:rPr>
                <w:rFonts w:ascii="Calibri" w:eastAsia="MS Mincho" w:hAnsi="Calibri" w:cs="Times New Roman"/>
                <w:sz w:val="16"/>
                <w:szCs w:val="16"/>
                <w:lang w:val="en-CA" w:eastAsia="nb-NO"/>
              </w:rPr>
            </w:pP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p>
          <w:p w14:paraId="59C3550C" w14:textId="77777777" w:rsidR="00D12264" w:rsidRPr="00FA6CF1" w:rsidRDefault="00D12264" w:rsidP="009C1F61">
            <w:pPr>
              <w:spacing w:after="160"/>
              <w:jc w:val="center"/>
              <w:rPr>
                <w:rFonts w:ascii="Calibri" w:eastAsia="MS Mincho" w:hAnsi="Calibri" w:cs="Times New Roman"/>
                <w:sz w:val="16"/>
                <w:szCs w:val="16"/>
                <w:lang w:val="en-CA" w:eastAsia="nb-NO"/>
              </w:rPr>
            </w:pPr>
            <w:r w:rsidRPr="00FA6CF1">
              <w:rPr>
                <w:rFonts w:ascii="Calibri" w:eastAsia="MS Mincho" w:hAnsi="Calibri" w:cs="Times New Roman"/>
                <w:sz w:val="16"/>
                <w:szCs w:val="16"/>
                <w:lang w:val="en-CA" w:eastAsia="nb-NO"/>
              </w:rPr>
              <w:t>Low</w:t>
            </w:r>
          </w:p>
          <w:p w14:paraId="35A29BBB" w14:textId="77777777" w:rsidR="00D12264" w:rsidRPr="00FA6CF1" w:rsidRDefault="00D12264" w:rsidP="009C1F61">
            <w:pPr>
              <w:spacing w:after="160"/>
              <w:jc w:val="center"/>
              <w:rPr>
                <w:rFonts w:ascii="Symbol" w:eastAsia="MS Mincho" w:hAnsi="Symbol" w:cs="Times New Roman"/>
                <w:sz w:val="16"/>
                <w:szCs w:val="16"/>
                <w:lang w:val="en-CA"/>
              </w:rPr>
            </w:pPr>
          </w:p>
          <w:p w14:paraId="3A3D1DC4"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Symbol" w:eastAsia="MS Mincho" w:hAnsi="Symbol"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p>
          <w:p w14:paraId="55ABB0F5"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Calibri" w:eastAsia="MS Mincho" w:hAnsi="Calibri" w:cs="Times New Roman"/>
                <w:sz w:val="16"/>
                <w:szCs w:val="16"/>
                <w:lang w:val="en-CA"/>
              </w:rPr>
              <w:t>Very Low</w:t>
            </w:r>
          </w:p>
        </w:tc>
      </w:tr>
      <w:tr w:rsidR="00D12264" w:rsidRPr="00FA6CF1" w14:paraId="52DF826E"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2E70B771"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Inconsistency</w:t>
            </w:r>
          </w:p>
        </w:tc>
        <w:tc>
          <w:tcPr>
            <w:tcW w:w="2237" w:type="dxa"/>
            <w:tcMar>
              <w:top w:w="29" w:type="dxa"/>
              <w:left w:w="58" w:type="dxa"/>
              <w:bottom w:w="29" w:type="dxa"/>
              <w:right w:w="58" w:type="dxa"/>
            </w:tcMar>
            <w:vAlign w:val="center"/>
          </w:tcPr>
          <w:p w14:paraId="353A2F96" w14:textId="77777777" w:rsidR="00D12264" w:rsidRPr="00EF34AB" w:rsidRDefault="00D12264" w:rsidP="009C1F61">
            <w:pPr>
              <w:spacing w:after="160"/>
              <w:rPr>
                <w:rFonts w:ascii="Calibri" w:eastAsia="MS Mincho" w:hAnsi="Calibri" w:cs="Times New Roman"/>
                <w:bCs/>
                <w:color w:val="FF0000"/>
                <w:sz w:val="16"/>
                <w:szCs w:val="16"/>
                <w:lang w:val="en-CA"/>
              </w:rPr>
            </w:pPr>
            <w:r w:rsidRPr="00EF34AB">
              <w:rPr>
                <w:rFonts w:ascii="Calibri" w:eastAsia="MS Mincho" w:hAnsi="Calibri" w:cs="Times New Roman"/>
                <w:bCs/>
                <w:color w:val="FF0000"/>
                <w:sz w:val="16"/>
                <w:szCs w:val="16"/>
                <w:lang w:val="en-CA"/>
              </w:rPr>
              <w:t>Not serious</w:t>
            </w:r>
          </w:p>
          <w:p w14:paraId="1440568D"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serious (-1)</w:t>
            </w:r>
          </w:p>
          <w:p w14:paraId="03451686"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0C7DC81B" w14:textId="77777777" w:rsidR="00D12264" w:rsidRPr="00EF34AB"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point estimates were almost on the same level and the confidence intervals overlapped, except Dossett 2014. The heterogeneity test presented p-value 0.02 with I</w:t>
            </w:r>
            <w:r>
              <w:rPr>
                <w:rFonts w:asciiTheme="majorHAnsi" w:eastAsia="MS Mincho" w:hAnsiTheme="majorHAnsi" w:cstheme="majorHAnsi"/>
                <w:bCs/>
                <w:sz w:val="16"/>
                <w:szCs w:val="16"/>
                <w:vertAlign w:val="superscript"/>
                <w:lang w:val="en-CA"/>
              </w:rPr>
              <w:t>2</w:t>
            </w:r>
            <w:r>
              <w:rPr>
                <w:rFonts w:asciiTheme="majorHAnsi" w:eastAsia="MS Mincho" w:hAnsiTheme="majorHAnsi" w:cstheme="majorHAnsi"/>
                <w:bCs/>
                <w:sz w:val="16"/>
                <w:szCs w:val="16"/>
                <w:lang w:val="en-CA"/>
              </w:rPr>
              <w:t>=70%. Considering that 84.2% of weighted studies showed the same result, we did not downgrade in the domain of inconsistency.</w:t>
            </w:r>
          </w:p>
        </w:tc>
        <w:tc>
          <w:tcPr>
            <w:tcW w:w="1506" w:type="dxa"/>
            <w:vMerge/>
            <w:tcBorders>
              <w:right w:val="single" w:sz="4" w:space="0" w:color="auto"/>
            </w:tcBorders>
          </w:tcPr>
          <w:p w14:paraId="50727AD8"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1C0A1012"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639B9BF0"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Indirectness</w:t>
            </w:r>
          </w:p>
        </w:tc>
        <w:tc>
          <w:tcPr>
            <w:tcW w:w="2237" w:type="dxa"/>
            <w:tcMar>
              <w:top w:w="29" w:type="dxa"/>
              <w:left w:w="58" w:type="dxa"/>
              <w:bottom w:w="29" w:type="dxa"/>
              <w:right w:w="58" w:type="dxa"/>
            </w:tcMar>
            <w:vAlign w:val="center"/>
          </w:tcPr>
          <w:p w14:paraId="63BA2831" w14:textId="77777777" w:rsidR="00D12264" w:rsidRPr="004B7677" w:rsidRDefault="00D12264" w:rsidP="009C1F61">
            <w:pPr>
              <w:spacing w:after="160"/>
              <w:rPr>
                <w:rFonts w:ascii="Calibri" w:eastAsia="MS Mincho" w:hAnsi="Calibri" w:cs="Times New Roman"/>
                <w:bCs/>
                <w:color w:val="FF0000"/>
                <w:sz w:val="16"/>
                <w:szCs w:val="16"/>
                <w:lang w:val="en-CA"/>
              </w:rPr>
            </w:pPr>
            <w:r w:rsidRPr="004B7677">
              <w:rPr>
                <w:rFonts w:ascii="Calibri" w:eastAsia="MS Mincho" w:hAnsi="Calibri" w:cs="Times New Roman"/>
                <w:bCs/>
                <w:color w:val="FF0000"/>
                <w:sz w:val="16"/>
                <w:szCs w:val="16"/>
                <w:lang w:val="en-CA"/>
              </w:rPr>
              <w:t>Not serious</w:t>
            </w:r>
          </w:p>
          <w:p w14:paraId="77A4D01D"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serious (-1)</w:t>
            </w:r>
          </w:p>
          <w:p w14:paraId="08D0F375"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531879FD"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 xml:space="preserve">The included studies with 49.2% weighted recruited osteoarthritis of the knee, whereas the other studies with 51.2% weighted recruited patients with knee deformity. Considering that the prominent cause of knee deformity is osteoarthritis and the patients in the included studies were prominently females and patients aged over 60, we did not downgrade. </w:t>
            </w:r>
          </w:p>
        </w:tc>
        <w:tc>
          <w:tcPr>
            <w:tcW w:w="1506" w:type="dxa"/>
            <w:vMerge/>
            <w:tcBorders>
              <w:right w:val="single" w:sz="4" w:space="0" w:color="auto"/>
            </w:tcBorders>
          </w:tcPr>
          <w:p w14:paraId="6D0CB85F"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3AF13857"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49174A3F"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Imprecision</w:t>
            </w:r>
          </w:p>
        </w:tc>
        <w:tc>
          <w:tcPr>
            <w:tcW w:w="2237" w:type="dxa"/>
            <w:tcMar>
              <w:top w:w="29" w:type="dxa"/>
              <w:left w:w="58" w:type="dxa"/>
              <w:bottom w:w="29" w:type="dxa"/>
              <w:right w:w="58" w:type="dxa"/>
            </w:tcMar>
            <w:vAlign w:val="center"/>
          </w:tcPr>
          <w:p w14:paraId="1D882636" w14:textId="77777777" w:rsidR="00D12264" w:rsidRPr="00D13D55" w:rsidRDefault="00D12264" w:rsidP="009C1F61">
            <w:pPr>
              <w:spacing w:after="160"/>
              <w:rPr>
                <w:rFonts w:ascii="Calibri" w:eastAsia="MS Mincho" w:hAnsi="Calibri" w:cs="Times New Roman"/>
                <w:bCs/>
                <w:color w:val="FF0000"/>
                <w:sz w:val="16"/>
                <w:szCs w:val="16"/>
                <w:lang w:val="en-CA"/>
              </w:rPr>
            </w:pPr>
            <w:r w:rsidRPr="00D13D55">
              <w:rPr>
                <w:rFonts w:ascii="Calibri" w:eastAsia="MS Mincho" w:hAnsi="Calibri" w:cs="Times New Roman"/>
                <w:bCs/>
                <w:color w:val="FF0000"/>
                <w:sz w:val="16"/>
                <w:szCs w:val="16"/>
                <w:lang w:val="en-CA"/>
              </w:rPr>
              <w:t>Not serious</w:t>
            </w:r>
          </w:p>
          <w:p w14:paraId="0B2E987F"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serious (-1)</w:t>
            </w:r>
          </w:p>
          <w:p w14:paraId="159D006E"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43262998"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minimal clinically important difference (MCID) of the WOMAC in knee osteoarthritis is 9.6 (95%CI 5.9 – 12.4) and the lower/upper limits of the CI in this meta-analysis were less than the MCID.</w:t>
            </w:r>
          </w:p>
        </w:tc>
        <w:tc>
          <w:tcPr>
            <w:tcW w:w="1506" w:type="dxa"/>
            <w:vMerge/>
            <w:tcBorders>
              <w:right w:val="single" w:sz="4" w:space="0" w:color="auto"/>
            </w:tcBorders>
          </w:tcPr>
          <w:p w14:paraId="2A167773"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02B715A3"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530B38F9"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Publication Bias</w:t>
            </w:r>
          </w:p>
        </w:tc>
        <w:tc>
          <w:tcPr>
            <w:tcW w:w="2237" w:type="dxa"/>
            <w:tcMar>
              <w:top w:w="29" w:type="dxa"/>
              <w:left w:w="58" w:type="dxa"/>
              <w:bottom w:w="29" w:type="dxa"/>
              <w:right w:w="58" w:type="dxa"/>
            </w:tcMar>
            <w:vAlign w:val="center"/>
          </w:tcPr>
          <w:p w14:paraId="70957A5A" w14:textId="77777777" w:rsidR="00D12264" w:rsidRPr="00D13D55" w:rsidRDefault="00D12264" w:rsidP="009C1F61">
            <w:pPr>
              <w:spacing w:after="160"/>
              <w:rPr>
                <w:rFonts w:ascii="Calibri" w:eastAsia="MS Mincho" w:hAnsi="Calibri" w:cs="Times New Roman"/>
                <w:bCs/>
                <w:color w:val="FF0000"/>
                <w:sz w:val="16"/>
                <w:szCs w:val="16"/>
                <w:lang w:val="en-CA"/>
              </w:rPr>
            </w:pPr>
            <w:r w:rsidRPr="00D13D55">
              <w:rPr>
                <w:rFonts w:ascii="Calibri" w:eastAsia="MS Mincho" w:hAnsi="Calibri" w:cs="Times New Roman"/>
                <w:bCs/>
                <w:color w:val="FF0000"/>
                <w:sz w:val="16"/>
                <w:szCs w:val="16"/>
                <w:lang w:val="en-CA"/>
              </w:rPr>
              <w:t>Undetected</w:t>
            </w:r>
          </w:p>
          <w:p w14:paraId="3183BCFE"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Strongly suspected (-1)</w:t>
            </w:r>
          </w:p>
        </w:tc>
        <w:tc>
          <w:tcPr>
            <w:tcW w:w="4320" w:type="dxa"/>
            <w:tcMar>
              <w:top w:w="29" w:type="dxa"/>
              <w:left w:w="58" w:type="dxa"/>
              <w:bottom w:w="29" w:type="dxa"/>
              <w:right w:w="58" w:type="dxa"/>
            </w:tcMar>
            <w:vAlign w:val="center"/>
          </w:tcPr>
          <w:p w14:paraId="25F61E23"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In </w:t>
            </w:r>
            <w:r>
              <w:rPr>
                <w:rFonts w:asciiTheme="majorHAnsi" w:eastAsia="MS Mincho" w:hAnsiTheme="majorHAnsi" w:cstheme="majorHAnsi"/>
                <w:bCs/>
                <w:sz w:val="16"/>
                <w:szCs w:val="16"/>
                <w:lang w:val="en-CA"/>
              </w:rPr>
              <w:t xml:space="preserve">the </w:t>
            </w:r>
            <w:r w:rsidRPr="004A2697">
              <w:rPr>
                <w:rFonts w:asciiTheme="majorHAnsi" w:eastAsia="MS Mincho" w:hAnsiTheme="majorHAnsi" w:cstheme="majorHAnsi"/>
                <w:bCs/>
                <w:sz w:val="16"/>
                <w:szCs w:val="16"/>
                <w:lang w:val="en-CA"/>
              </w:rPr>
              <w:t>f</w:t>
            </w:r>
            <w:r>
              <w:rPr>
                <w:rFonts w:asciiTheme="majorHAnsi" w:eastAsia="MS Mincho" w:hAnsiTheme="majorHAnsi" w:cstheme="majorHAnsi"/>
                <w:bCs/>
                <w:sz w:val="16"/>
                <w:szCs w:val="16"/>
                <w:lang w:val="en-CA"/>
              </w:rPr>
              <w:t>unnel</w:t>
            </w:r>
            <w:r w:rsidRPr="004A2697">
              <w:rPr>
                <w:rFonts w:asciiTheme="majorHAnsi" w:eastAsia="MS Mincho" w:hAnsiTheme="majorHAnsi" w:cstheme="majorHAnsi"/>
                <w:bCs/>
                <w:sz w:val="16"/>
                <w:szCs w:val="16"/>
                <w:lang w:val="en-CA"/>
              </w:rPr>
              <w:t xml:space="preserve"> plot, almost all studies were symmetrically distributed, </w:t>
            </w:r>
            <w:r>
              <w:rPr>
                <w:rFonts w:asciiTheme="majorHAnsi" w:eastAsia="MS Mincho" w:hAnsiTheme="majorHAnsi" w:cstheme="majorHAnsi"/>
                <w:bCs/>
                <w:sz w:val="16"/>
                <w:szCs w:val="16"/>
                <w:lang w:val="en-CA"/>
              </w:rPr>
              <w:t>al</w:t>
            </w:r>
            <w:r w:rsidRPr="004A2697">
              <w:rPr>
                <w:rFonts w:asciiTheme="majorHAnsi" w:eastAsia="MS Mincho" w:hAnsiTheme="majorHAnsi" w:cstheme="majorHAnsi"/>
                <w:bCs/>
                <w:sz w:val="16"/>
                <w:szCs w:val="16"/>
                <w:lang w:val="en-CA"/>
              </w:rPr>
              <w:t xml:space="preserve">though only </w:t>
            </w:r>
            <w:r>
              <w:rPr>
                <w:rFonts w:asciiTheme="majorHAnsi" w:eastAsia="MS Mincho" w:hAnsiTheme="majorHAnsi" w:cstheme="majorHAnsi"/>
                <w:bCs/>
                <w:sz w:val="16"/>
                <w:szCs w:val="16"/>
                <w:lang w:val="en-CA"/>
              </w:rPr>
              <w:t>four</w:t>
            </w:r>
            <w:r w:rsidRPr="004A2697">
              <w:rPr>
                <w:rFonts w:asciiTheme="majorHAnsi" w:eastAsia="MS Mincho" w:hAnsiTheme="majorHAnsi" w:cstheme="majorHAnsi"/>
                <w:bCs/>
                <w:sz w:val="16"/>
                <w:szCs w:val="16"/>
                <w:lang w:val="en-CA"/>
              </w:rPr>
              <w:t xml:space="preserve"> studies were included. </w:t>
            </w:r>
          </w:p>
        </w:tc>
        <w:tc>
          <w:tcPr>
            <w:tcW w:w="1506" w:type="dxa"/>
            <w:vMerge/>
            <w:tcBorders>
              <w:right w:val="single" w:sz="4" w:space="0" w:color="auto"/>
            </w:tcBorders>
          </w:tcPr>
          <w:p w14:paraId="6DEEF197"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2AF959B5"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44C5B15B"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Other</w:t>
            </w:r>
          </w:p>
          <w:p w14:paraId="6F31D12A" w14:textId="77777777" w:rsidR="00D12264" w:rsidRPr="00FA6CF1" w:rsidRDefault="00D12264" w:rsidP="009C1F61">
            <w:pPr>
              <w:spacing w:after="160"/>
              <w:rPr>
                <w:rFonts w:ascii="Calibri" w:eastAsia="MS Mincho" w:hAnsi="Calibri" w:cs="Times New Roman"/>
                <w:bCs/>
                <w:sz w:val="16"/>
                <w:szCs w:val="16"/>
                <w:lang w:val="en-CA"/>
              </w:rPr>
            </w:pPr>
            <w:r w:rsidRPr="00FA6CF1">
              <w:rPr>
                <w:rFonts w:ascii="Calibri" w:eastAsia="MS Mincho" w:hAnsi="Calibri" w:cs="Times New Roman"/>
                <w:bCs/>
                <w:sz w:val="16"/>
                <w:szCs w:val="16"/>
                <w:lang w:val="en-CA"/>
              </w:rPr>
              <w:t>(upgrading factors, circle all that apply)</w:t>
            </w:r>
          </w:p>
        </w:tc>
        <w:tc>
          <w:tcPr>
            <w:tcW w:w="2237" w:type="dxa"/>
            <w:tcMar>
              <w:top w:w="29" w:type="dxa"/>
              <w:left w:w="58" w:type="dxa"/>
              <w:bottom w:w="29" w:type="dxa"/>
              <w:right w:w="58" w:type="dxa"/>
            </w:tcMar>
            <w:vAlign w:val="center"/>
          </w:tcPr>
          <w:p w14:paraId="653238AF"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Large effect (+1 or +2)</w:t>
            </w:r>
          </w:p>
          <w:p w14:paraId="52B5784D"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Dose response (+1)</w:t>
            </w:r>
          </w:p>
          <w:p w14:paraId="16D4FCF0" w14:textId="77777777" w:rsidR="00D12264" w:rsidRPr="00806756" w:rsidRDefault="00D12264" w:rsidP="009C1F61">
            <w:pPr>
              <w:spacing w:after="160"/>
              <w:rPr>
                <w:rFonts w:ascii="Calibri" w:eastAsia="MS Mincho" w:hAnsi="Calibri" w:cs="Times New Roman"/>
                <w:bCs/>
                <w:sz w:val="16"/>
                <w:szCs w:val="16"/>
                <w:lang w:val="en-CA"/>
              </w:rPr>
            </w:pPr>
            <w:r w:rsidRPr="00806756">
              <w:rPr>
                <w:rFonts w:ascii="Calibri" w:eastAsia="MS Mincho" w:hAnsi="Calibri" w:cs="Times New Roman"/>
                <w:bCs/>
                <w:sz w:val="16"/>
                <w:szCs w:val="16"/>
                <w:lang w:val="en-CA"/>
              </w:rPr>
              <w:t>Plausible confounding opposing the effect (+1)</w:t>
            </w:r>
          </w:p>
        </w:tc>
        <w:tc>
          <w:tcPr>
            <w:tcW w:w="4320" w:type="dxa"/>
            <w:tcMar>
              <w:top w:w="29" w:type="dxa"/>
              <w:left w:w="58" w:type="dxa"/>
              <w:bottom w:w="29" w:type="dxa"/>
              <w:right w:w="58" w:type="dxa"/>
            </w:tcMar>
            <w:vAlign w:val="center"/>
          </w:tcPr>
          <w:p w14:paraId="03F84A4C"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The effect is less significant and there is no plausible reason to rate</w:t>
            </w:r>
            <w:r>
              <w:rPr>
                <w:rFonts w:asciiTheme="majorHAnsi" w:eastAsia="MS Mincho" w:hAnsiTheme="majorHAnsi" w:cstheme="majorHAnsi"/>
                <w:bCs/>
                <w:sz w:val="16"/>
                <w:szCs w:val="16"/>
                <w:lang w:val="en-CA"/>
              </w:rPr>
              <w:t xml:space="preserve"> up</w:t>
            </w:r>
            <w:r w:rsidRPr="004A2697">
              <w:rPr>
                <w:rFonts w:asciiTheme="majorHAnsi" w:eastAsia="MS Mincho" w:hAnsiTheme="majorHAnsi" w:cstheme="majorHAnsi"/>
                <w:bCs/>
                <w:sz w:val="16"/>
                <w:szCs w:val="16"/>
                <w:lang w:val="en-CA"/>
              </w:rPr>
              <w:t xml:space="preserve">. </w:t>
            </w:r>
          </w:p>
        </w:tc>
        <w:tc>
          <w:tcPr>
            <w:tcW w:w="1506" w:type="dxa"/>
            <w:vMerge/>
            <w:tcBorders>
              <w:right w:val="single" w:sz="4" w:space="0" w:color="auto"/>
            </w:tcBorders>
          </w:tcPr>
          <w:p w14:paraId="6747078B" w14:textId="77777777" w:rsidR="00D12264" w:rsidRPr="00FA6CF1" w:rsidRDefault="00D12264" w:rsidP="009C1F61">
            <w:pPr>
              <w:spacing w:after="160"/>
              <w:rPr>
                <w:rFonts w:ascii="Calibri" w:eastAsia="MS Mincho" w:hAnsi="Calibri" w:cs="Times New Roman"/>
                <w:b/>
                <w:bCs/>
                <w:sz w:val="16"/>
                <w:szCs w:val="16"/>
                <w:lang w:val="en-CA"/>
              </w:rPr>
            </w:pPr>
          </w:p>
        </w:tc>
      </w:tr>
    </w:tbl>
    <w:p w14:paraId="3AF3320C" w14:textId="77777777" w:rsidR="00D12264" w:rsidRPr="00FA6CF1" w:rsidRDefault="00D12264" w:rsidP="00D12264">
      <w:pPr>
        <w:rPr>
          <w:rFonts w:ascii="Calibri" w:eastAsia="Times New Roman" w:hAnsi="Calibri" w:cs="Times New Roman"/>
        </w:rPr>
      </w:pPr>
    </w:p>
    <w:p w14:paraId="1ED3C02B" w14:textId="77777777" w:rsidR="00D12264" w:rsidRPr="00FA6CF1" w:rsidRDefault="00D12264" w:rsidP="00D12264">
      <w:pPr>
        <w:rPr>
          <w:rFonts w:ascii="Calibri" w:eastAsia="Times New Roman" w:hAnsi="Calibri" w:cs="Times New Roman"/>
        </w:rPr>
      </w:pPr>
    </w:p>
    <w:p w14:paraId="3C7FE1E0" w14:textId="77777777" w:rsidR="00D12264" w:rsidRPr="00FA6CF1" w:rsidRDefault="00D12264" w:rsidP="00D12264">
      <w:pPr>
        <w:rPr>
          <w:rFonts w:ascii="Calibri" w:eastAsia="Times New Roman" w:hAnsi="Calibri" w:cs="Times New Roman"/>
        </w:rPr>
      </w:pPr>
    </w:p>
    <w:p w14:paraId="11092751" w14:textId="77777777" w:rsidR="00D12264" w:rsidRPr="00FA6CF1" w:rsidRDefault="00D12264" w:rsidP="00D12264">
      <w:pPr>
        <w:rPr>
          <w:rFonts w:ascii="Calibri" w:eastAsia="Times New Roman" w:hAnsi="Calibri" w:cs="Times New Roman"/>
        </w:rPr>
      </w:pPr>
    </w:p>
    <w:p w14:paraId="27361935" w14:textId="77777777" w:rsidR="00D12264" w:rsidRPr="00FA6CF1" w:rsidRDefault="00D12264" w:rsidP="00D12264">
      <w:pPr>
        <w:rPr>
          <w:rFonts w:ascii="Calibri" w:eastAsia="Times New Roman" w:hAnsi="Calibri" w:cs="Times New Roman"/>
        </w:rPr>
      </w:pPr>
    </w:p>
    <w:p w14:paraId="6171C45E" w14:textId="77777777" w:rsidR="00D12264" w:rsidRDefault="00D12264" w:rsidP="00D12264">
      <w:pPr>
        <w:rPr>
          <w:rFonts w:ascii="Calibri" w:eastAsia="Times New Roman" w:hAnsi="Calibri" w:cs="Times New Roman"/>
        </w:rPr>
      </w:pPr>
    </w:p>
    <w:p w14:paraId="64873A3D" w14:textId="77777777" w:rsidR="00D12264" w:rsidRDefault="00D12264" w:rsidP="00D12264">
      <w:pPr>
        <w:rPr>
          <w:rFonts w:ascii="Calibri" w:eastAsia="Times New Roman" w:hAnsi="Calibri" w:cs="Times New Roman"/>
        </w:rPr>
      </w:pPr>
    </w:p>
    <w:p w14:paraId="32D22C2C" w14:textId="77777777" w:rsidR="00D12264" w:rsidRDefault="00D12264" w:rsidP="00D12264">
      <w:pPr>
        <w:rPr>
          <w:rFonts w:ascii="Calibri" w:eastAsia="Times New Roman" w:hAnsi="Calibri" w:cs="Times New Roman"/>
        </w:rPr>
      </w:pPr>
    </w:p>
    <w:p w14:paraId="43F5710C" w14:textId="77777777" w:rsidR="00D12264" w:rsidRDefault="00D12264" w:rsidP="00D12264">
      <w:pPr>
        <w:rPr>
          <w:rFonts w:ascii="Calibri" w:eastAsia="Times New Roman" w:hAnsi="Calibri" w:cs="Times New Roman"/>
        </w:rPr>
      </w:pPr>
    </w:p>
    <w:p w14:paraId="39FEA3C4" w14:textId="77777777" w:rsidR="00D12264" w:rsidRDefault="00D12264" w:rsidP="00D12264">
      <w:pPr>
        <w:rPr>
          <w:rFonts w:ascii="Calibri" w:eastAsia="Times New Roman" w:hAnsi="Calibri" w:cs="Times New Roman"/>
        </w:rPr>
      </w:pPr>
    </w:p>
    <w:p w14:paraId="78DD57D6" w14:textId="77777777" w:rsidR="00D12264" w:rsidRDefault="00D12264" w:rsidP="00D12264">
      <w:pPr>
        <w:rPr>
          <w:rFonts w:ascii="Calibri" w:eastAsia="Times New Roman" w:hAnsi="Calibri" w:cs="Times New Roman"/>
        </w:rPr>
      </w:pPr>
    </w:p>
    <w:p w14:paraId="5E7FB170" w14:textId="77777777" w:rsidR="00D12264" w:rsidRDefault="00D12264" w:rsidP="00D12264">
      <w:pPr>
        <w:rPr>
          <w:rFonts w:ascii="Calibri" w:eastAsia="Times New Roman" w:hAnsi="Calibri" w:cs="Times New Roman"/>
        </w:rPr>
      </w:pPr>
    </w:p>
    <w:p w14:paraId="63C709E6" w14:textId="77777777" w:rsidR="00D12264" w:rsidRDefault="00D12264" w:rsidP="00D12264">
      <w:pPr>
        <w:rPr>
          <w:rFonts w:ascii="Calibri" w:eastAsia="Times New Roman" w:hAnsi="Calibri" w:cs="Times New Roman"/>
        </w:rPr>
      </w:pPr>
    </w:p>
    <w:p w14:paraId="65D3B231" w14:textId="77777777" w:rsidR="00D12264" w:rsidRDefault="00D12264" w:rsidP="00D12264">
      <w:pPr>
        <w:rPr>
          <w:rFonts w:ascii="Calibri" w:eastAsia="Times New Roman" w:hAnsi="Calibri" w:cs="Times New Roman"/>
        </w:rPr>
      </w:pPr>
    </w:p>
    <w:p w14:paraId="0567E263" w14:textId="2B7E1105" w:rsidR="00D12264" w:rsidRPr="00890779" w:rsidRDefault="00D12264" w:rsidP="00D12264">
      <w:pPr>
        <w:rPr>
          <w:rFonts w:eastAsia="Times New Roman"/>
          <w:b/>
        </w:rPr>
      </w:pPr>
      <w:r w:rsidRPr="00890779">
        <w:rPr>
          <w:rFonts w:eastAsia="Times New Roman"/>
          <w:b/>
        </w:rPr>
        <w:t xml:space="preserve">Appendix </w:t>
      </w:r>
      <w:r w:rsidR="0040231B">
        <w:rPr>
          <w:rFonts w:eastAsia="Times New Roman"/>
          <w:b/>
        </w:rPr>
        <w:t>K</w:t>
      </w:r>
      <w:r>
        <w:rPr>
          <w:rFonts w:eastAsia="Times New Roman"/>
          <w:b/>
        </w:rPr>
        <w:t>.3</w:t>
      </w:r>
      <w:r w:rsidRPr="00890779">
        <w:rPr>
          <w:rFonts w:eastAsia="Times New Roman"/>
          <w:b/>
        </w:rPr>
        <w:t>: Assessment of the quality of the evidence for Surgery time</w:t>
      </w:r>
    </w:p>
    <w:p w14:paraId="7D64A89B" w14:textId="77777777" w:rsidR="00D12264" w:rsidRPr="00C94AE6" w:rsidRDefault="00D12264" w:rsidP="00D12264">
      <w:pPr>
        <w:rPr>
          <w:rFonts w:eastAsia="Times New Roman"/>
          <w:sz w:val="20"/>
        </w:rPr>
      </w:pPr>
    </w:p>
    <w:tbl>
      <w:tblPr>
        <w:tblStyle w:val="TableGrid"/>
        <w:tblW w:w="10079" w:type="dxa"/>
        <w:jc w:val="center"/>
        <w:tblBorders>
          <w:left w:val="none" w:sz="0" w:space="0" w:color="auto"/>
          <w:right w:val="none" w:sz="0" w:space="0" w:color="auto"/>
        </w:tblBorders>
        <w:tblLook w:val="01E0" w:firstRow="1" w:lastRow="1" w:firstColumn="1" w:lastColumn="1" w:noHBand="0" w:noVBand="0"/>
      </w:tblPr>
      <w:tblGrid>
        <w:gridCol w:w="2016"/>
        <w:gridCol w:w="2237"/>
        <w:gridCol w:w="4320"/>
        <w:gridCol w:w="1506"/>
      </w:tblGrid>
      <w:tr w:rsidR="00D12264" w:rsidRPr="00FA6CF1" w14:paraId="2B731937" w14:textId="77777777" w:rsidTr="009C1F61">
        <w:trPr>
          <w:jc w:val="center"/>
        </w:trPr>
        <w:tc>
          <w:tcPr>
            <w:tcW w:w="2016" w:type="dxa"/>
            <w:tcBorders>
              <w:top w:val="single" w:sz="4" w:space="0" w:color="auto"/>
              <w:left w:val="single" w:sz="4" w:space="0" w:color="auto"/>
              <w:bottom w:val="double" w:sz="4" w:space="0" w:color="auto"/>
            </w:tcBorders>
            <w:shd w:val="clear" w:color="auto" w:fill="auto"/>
            <w:tcMar>
              <w:top w:w="29" w:type="dxa"/>
              <w:left w:w="58" w:type="dxa"/>
              <w:bottom w:w="29" w:type="dxa"/>
              <w:right w:w="58" w:type="dxa"/>
            </w:tcMar>
            <w:vAlign w:val="center"/>
          </w:tcPr>
          <w:p w14:paraId="19A54ECD"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GRADE domains</w:t>
            </w:r>
          </w:p>
        </w:tc>
        <w:tc>
          <w:tcPr>
            <w:tcW w:w="2237"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75CCD820"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Rating </w:t>
            </w:r>
          </w:p>
          <w:p w14:paraId="4E8C32AB"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(remember borderline or close calls are possible)</w:t>
            </w:r>
          </w:p>
        </w:tc>
        <w:tc>
          <w:tcPr>
            <w:tcW w:w="4320"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7380AB73"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Footnotes</w:t>
            </w:r>
          </w:p>
          <w:p w14:paraId="2A3E591C"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(explain reasons for rating down)</w:t>
            </w:r>
          </w:p>
        </w:tc>
        <w:tc>
          <w:tcPr>
            <w:tcW w:w="1506" w:type="dxa"/>
            <w:tcBorders>
              <w:top w:val="single" w:sz="4" w:space="0" w:color="auto"/>
              <w:bottom w:val="double" w:sz="4" w:space="0" w:color="auto"/>
              <w:right w:val="single" w:sz="4" w:space="0" w:color="auto"/>
            </w:tcBorders>
            <w:shd w:val="clear" w:color="auto" w:fill="auto"/>
            <w:vAlign w:val="center"/>
          </w:tcPr>
          <w:p w14:paraId="34ED443D"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Certainty of the evidence </w:t>
            </w:r>
          </w:p>
          <w:p w14:paraId="0D5FB36D"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(Circle one)</w:t>
            </w:r>
          </w:p>
        </w:tc>
      </w:tr>
      <w:tr w:rsidR="00D12264" w:rsidRPr="00FA6CF1" w14:paraId="567DB214" w14:textId="77777777" w:rsidTr="009C1F61">
        <w:trPr>
          <w:jc w:val="center"/>
        </w:trPr>
        <w:tc>
          <w:tcPr>
            <w:tcW w:w="2016" w:type="dxa"/>
            <w:tcBorders>
              <w:top w:val="double" w:sz="4" w:space="0" w:color="auto"/>
              <w:left w:val="single" w:sz="4" w:space="0" w:color="auto"/>
            </w:tcBorders>
            <w:tcMar>
              <w:top w:w="29" w:type="dxa"/>
              <w:left w:w="58" w:type="dxa"/>
              <w:bottom w:w="29" w:type="dxa"/>
              <w:right w:w="58" w:type="dxa"/>
            </w:tcMar>
            <w:vAlign w:val="center"/>
          </w:tcPr>
          <w:p w14:paraId="799B2ACB"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Risk of Bias</w:t>
            </w:r>
          </w:p>
          <w:p w14:paraId="50C5A974"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Cs/>
                <w:i/>
                <w:sz w:val="16"/>
                <w:szCs w:val="16"/>
                <w:lang w:val="en-CA"/>
              </w:rPr>
              <w:t>(use the Risk of Bias tables and figures)</w:t>
            </w:r>
          </w:p>
        </w:tc>
        <w:tc>
          <w:tcPr>
            <w:tcW w:w="2237" w:type="dxa"/>
            <w:tcBorders>
              <w:top w:val="double" w:sz="4" w:space="0" w:color="auto"/>
            </w:tcBorders>
            <w:tcMar>
              <w:top w:w="29" w:type="dxa"/>
              <w:left w:w="58" w:type="dxa"/>
              <w:bottom w:w="29" w:type="dxa"/>
              <w:right w:w="58" w:type="dxa"/>
            </w:tcMar>
            <w:vAlign w:val="center"/>
          </w:tcPr>
          <w:p w14:paraId="4A029CC9" w14:textId="77777777" w:rsidR="00D12264" w:rsidRPr="00BC1F0D" w:rsidRDefault="00D12264" w:rsidP="009C1F61">
            <w:pPr>
              <w:spacing w:after="160"/>
              <w:rPr>
                <w:rFonts w:ascii="Calibri" w:eastAsia="MS Mincho" w:hAnsi="Calibri" w:cs="Times New Roman"/>
                <w:bCs/>
                <w:color w:val="FF0000"/>
                <w:sz w:val="16"/>
                <w:szCs w:val="16"/>
                <w:lang w:val="en-CA"/>
              </w:rPr>
            </w:pPr>
            <w:r w:rsidRPr="00BC1F0D">
              <w:rPr>
                <w:rFonts w:ascii="Calibri" w:eastAsia="MS Mincho" w:hAnsi="Calibri" w:cs="Times New Roman"/>
                <w:bCs/>
                <w:color w:val="FF0000"/>
                <w:sz w:val="16"/>
                <w:szCs w:val="16"/>
                <w:lang w:val="en-CA"/>
              </w:rPr>
              <w:t>Not serious</w:t>
            </w:r>
          </w:p>
          <w:p w14:paraId="61459619"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serious (-1)</w:t>
            </w:r>
          </w:p>
          <w:p w14:paraId="459C1712"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very serious (-2)</w:t>
            </w:r>
          </w:p>
        </w:tc>
        <w:tc>
          <w:tcPr>
            <w:tcW w:w="4320" w:type="dxa"/>
            <w:tcBorders>
              <w:top w:val="double" w:sz="4" w:space="0" w:color="auto"/>
            </w:tcBorders>
            <w:tcMar>
              <w:top w:w="29" w:type="dxa"/>
              <w:left w:w="58" w:type="dxa"/>
              <w:bottom w:w="29" w:type="dxa"/>
              <w:right w:w="58" w:type="dxa"/>
            </w:tcMar>
            <w:vAlign w:val="center"/>
          </w:tcPr>
          <w:p w14:paraId="102DED27"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We could not find specific problems about randomization in the included studies.</w:t>
            </w:r>
            <w:r>
              <w:rPr>
                <w:rFonts w:asciiTheme="majorHAnsi" w:eastAsia="MS Mincho" w:hAnsiTheme="majorHAnsi" w:cstheme="majorHAnsi"/>
                <w:bCs/>
                <w:sz w:val="16"/>
                <w:szCs w:val="16"/>
                <w:lang w:val="en-CA"/>
              </w:rPr>
              <w:t xml:space="preserve"> In surgical trials, surgeons and scrub nurses could not be blinded (performance bias). Nonetheless, risk of bias was minimized and we did not downgrade in the domain of risk of bias.</w:t>
            </w:r>
          </w:p>
        </w:tc>
        <w:tc>
          <w:tcPr>
            <w:tcW w:w="1506" w:type="dxa"/>
            <w:vMerge w:val="restart"/>
            <w:tcBorders>
              <w:top w:val="double" w:sz="4" w:space="0" w:color="auto"/>
              <w:right w:val="single" w:sz="4" w:space="0" w:color="auto"/>
            </w:tcBorders>
            <w:vAlign w:val="center"/>
          </w:tcPr>
          <w:p w14:paraId="4CEF9BF4" w14:textId="77777777" w:rsidR="00D12264" w:rsidRPr="00FA6CF1" w:rsidRDefault="00D12264" w:rsidP="009C1F61">
            <w:pPr>
              <w:spacing w:after="160"/>
              <w:jc w:val="center"/>
              <w:rPr>
                <w:rFonts w:ascii="Symbol" w:eastAsia="MS Mincho" w:hAnsi="Symbol" w:cs="Times New Roman"/>
                <w:sz w:val="16"/>
                <w:szCs w:val="16"/>
                <w:lang w:val="en-CA"/>
              </w:rPr>
            </w:pP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p>
          <w:p w14:paraId="1F3EAE9E" w14:textId="77777777" w:rsidR="00D12264" w:rsidRPr="00FA6CF1" w:rsidRDefault="00D12264" w:rsidP="009C1F61">
            <w:pPr>
              <w:spacing w:after="160"/>
              <w:jc w:val="center"/>
              <w:rPr>
                <w:rFonts w:ascii="Calibri" w:eastAsia="MS Mincho" w:hAnsi="Calibri" w:cs="Times New Roman"/>
                <w:color w:val="292526"/>
                <w:sz w:val="16"/>
                <w:szCs w:val="16"/>
                <w:lang w:val="en-CA" w:eastAsia="nb-NO"/>
              </w:rPr>
            </w:pPr>
            <w:r w:rsidRPr="00FA6CF1">
              <w:rPr>
                <w:rFonts w:ascii="Calibri" w:eastAsia="MS Mincho" w:hAnsi="Calibri" w:cs="Times New Roman"/>
                <w:color w:val="292526"/>
                <w:sz w:val="16"/>
                <w:szCs w:val="16"/>
                <w:lang w:val="en-CA" w:eastAsia="nb-NO"/>
              </w:rPr>
              <w:t>High</w:t>
            </w:r>
          </w:p>
          <w:p w14:paraId="42BDA81C" w14:textId="77777777" w:rsidR="00D12264" w:rsidRPr="00E7492F" w:rsidRDefault="00D12264" w:rsidP="009C1F61">
            <w:pPr>
              <w:spacing w:after="160"/>
              <w:jc w:val="center"/>
              <w:rPr>
                <w:rFonts w:ascii="Symbol" w:eastAsia="MS Mincho" w:hAnsi="Symbol" w:cs="Times New Roman"/>
                <w:sz w:val="16"/>
                <w:szCs w:val="16"/>
                <w:lang w:val="en-CA"/>
              </w:rPr>
            </w:pPr>
          </w:p>
          <w:p w14:paraId="00E7034E" w14:textId="77777777" w:rsidR="00D12264" w:rsidRPr="00E7492F" w:rsidRDefault="00D12264" w:rsidP="009C1F61">
            <w:pPr>
              <w:spacing w:after="160"/>
              <w:jc w:val="center"/>
              <w:rPr>
                <w:rFonts w:ascii="Symbol" w:eastAsia="MS Mincho" w:hAnsi="Symbol" w:cs="Times New Roman"/>
                <w:color w:val="FF0000"/>
                <w:sz w:val="16"/>
                <w:szCs w:val="16"/>
                <w:lang w:val="en-CA"/>
              </w:rPr>
            </w:pPr>
            <w:r w:rsidRPr="00E7492F">
              <w:rPr>
                <w:rFonts w:ascii="Symbol" w:eastAsia="MS Mincho" w:hAnsi="Symbol" w:cs="Times New Roman"/>
                <w:color w:val="FF0000"/>
                <w:sz w:val="16"/>
                <w:szCs w:val="16"/>
                <w:lang w:val="en-CA"/>
              </w:rPr>
              <w:t></w:t>
            </w:r>
            <w:r w:rsidRPr="00E7492F">
              <w:rPr>
                <w:rFonts w:ascii="Symbol" w:eastAsia="MS Mincho" w:hAnsi="Symbol" w:cs="Times New Roman"/>
                <w:color w:val="FF0000"/>
                <w:sz w:val="16"/>
                <w:szCs w:val="16"/>
                <w:lang w:val="en-CA"/>
              </w:rPr>
              <w:t></w:t>
            </w:r>
            <w:r w:rsidRPr="00E7492F">
              <w:rPr>
                <w:rFonts w:ascii="Symbol" w:eastAsia="MS Mincho" w:hAnsi="Symbol" w:cs="Times New Roman"/>
                <w:color w:val="FF0000"/>
                <w:sz w:val="16"/>
                <w:szCs w:val="16"/>
                <w:lang w:val="en-CA"/>
              </w:rPr>
              <w:t></w:t>
            </w:r>
            <w:r w:rsidRPr="00E7492F">
              <w:rPr>
                <w:rFonts w:ascii="Wingdings 2" w:eastAsia="MS Mincho" w:hAnsi="Wingdings 2" w:cs="Times New Roman"/>
                <w:color w:val="FF0000"/>
                <w:sz w:val="16"/>
                <w:szCs w:val="16"/>
                <w:lang w:val="en-CA"/>
              </w:rPr>
              <w:t></w:t>
            </w:r>
          </w:p>
          <w:p w14:paraId="3976859A" w14:textId="77777777" w:rsidR="00D12264" w:rsidRPr="00E7492F" w:rsidRDefault="00D12264" w:rsidP="009C1F61">
            <w:pPr>
              <w:spacing w:after="160"/>
              <w:jc w:val="center"/>
              <w:rPr>
                <w:rFonts w:ascii="Calibri" w:eastAsia="MS Mincho" w:hAnsi="Calibri" w:cs="Times New Roman"/>
                <w:color w:val="FF0000"/>
                <w:sz w:val="16"/>
                <w:szCs w:val="16"/>
                <w:lang w:val="en-CA" w:eastAsia="nb-NO"/>
              </w:rPr>
            </w:pPr>
            <w:r w:rsidRPr="00E7492F">
              <w:rPr>
                <w:rFonts w:ascii="Calibri" w:eastAsia="MS Mincho" w:hAnsi="Calibri" w:cs="Times New Roman"/>
                <w:color w:val="FF0000"/>
                <w:sz w:val="16"/>
                <w:szCs w:val="16"/>
                <w:lang w:val="en-CA"/>
              </w:rPr>
              <w:t>Moderate</w:t>
            </w:r>
          </w:p>
          <w:p w14:paraId="12F03C9E" w14:textId="77777777" w:rsidR="00D12264" w:rsidRPr="00E7492F" w:rsidRDefault="00D12264" w:rsidP="009C1F61">
            <w:pPr>
              <w:spacing w:after="160"/>
              <w:jc w:val="center"/>
              <w:rPr>
                <w:rFonts w:ascii="Calibri" w:eastAsia="MS Mincho" w:hAnsi="Calibri" w:cs="Times New Roman"/>
                <w:color w:val="292526"/>
                <w:sz w:val="16"/>
                <w:szCs w:val="16"/>
                <w:lang w:val="en-CA" w:eastAsia="nb-NO"/>
              </w:rPr>
            </w:pPr>
          </w:p>
          <w:p w14:paraId="255225E8" w14:textId="77777777" w:rsidR="00D12264" w:rsidRPr="00E7492F" w:rsidRDefault="00D12264" w:rsidP="009C1F61">
            <w:pPr>
              <w:spacing w:after="160"/>
              <w:jc w:val="center"/>
              <w:rPr>
                <w:rFonts w:ascii="Calibri" w:eastAsia="MS Mincho" w:hAnsi="Calibri" w:cs="Times New Roman"/>
                <w:sz w:val="16"/>
                <w:szCs w:val="16"/>
                <w:lang w:val="en-CA" w:eastAsia="nb-NO"/>
              </w:rPr>
            </w:pPr>
            <w:r w:rsidRPr="00E7492F">
              <w:rPr>
                <w:rFonts w:ascii="Symbol" w:eastAsia="MS Mincho" w:hAnsi="Symbol" w:cs="Times New Roman"/>
                <w:sz w:val="16"/>
                <w:szCs w:val="16"/>
                <w:lang w:val="en-CA"/>
              </w:rPr>
              <w:t></w:t>
            </w:r>
            <w:r w:rsidRPr="00E7492F">
              <w:rPr>
                <w:rFonts w:ascii="Symbol" w:eastAsia="MS Mincho" w:hAnsi="Symbol" w:cs="Times New Roman"/>
                <w:sz w:val="16"/>
                <w:szCs w:val="16"/>
                <w:lang w:val="en-CA"/>
              </w:rPr>
              <w:t></w:t>
            </w:r>
            <w:r w:rsidRPr="00E7492F">
              <w:rPr>
                <w:rFonts w:ascii="Wingdings 2" w:eastAsia="MS Mincho" w:hAnsi="Wingdings 2" w:cs="Times New Roman"/>
                <w:sz w:val="16"/>
                <w:szCs w:val="16"/>
                <w:lang w:val="en-CA"/>
              </w:rPr>
              <w:t></w:t>
            </w:r>
            <w:r w:rsidRPr="00E7492F">
              <w:rPr>
                <w:rFonts w:ascii="Wingdings 2" w:eastAsia="MS Mincho" w:hAnsi="Wingdings 2" w:cs="Times New Roman"/>
                <w:sz w:val="16"/>
                <w:szCs w:val="16"/>
                <w:lang w:val="en-CA"/>
              </w:rPr>
              <w:t></w:t>
            </w:r>
          </w:p>
          <w:p w14:paraId="5B850B13" w14:textId="77777777" w:rsidR="00D12264" w:rsidRPr="00FA6CF1" w:rsidRDefault="00D12264" w:rsidP="009C1F61">
            <w:pPr>
              <w:spacing w:after="160"/>
              <w:jc w:val="center"/>
              <w:rPr>
                <w:rFonts w:ascii="Calibri" w:eastAsia="MS Mincho" w:hAnsi="Calibri" w:cs="Times New Roman"/>
                <w:sz w:val="16"/>
                <w:szCs w:val="16"/>
                <w:lang w:val="en-CA" w:eastAsia="nb-NO"/>
              </w:rPr>
            </w:pPr>
            <w:r w:rsidRPr="00FA6CF1">
              <w:rPr>
                <w:rFonts w:ascii="Calibri" w:eastAsia="MS Mincho" w:hAnsi="Calibri" w:cs="Times New Roman"/>
                <w:sz w:val="16"/>
                <w:szCs w:val="16"/>
                <w:lang w:val="en-CA" w:eastAsia="nb-NO"/>
              </w:rPr>
              <w:t>Low</w:t>
            </w:r>
          </w:p>
          <w:p w14:paraId="1A06B0EB" w14:textId="77777777" w:rsidR="00D12264" w:rsidRPr="00FA6CF1" w:rsidRDefault="00D12264" w:rsidP="009C1F61">
            <w:pPr>
              <w:spacing w:after="160"/>
              <w:jc w:val="center"/>
              <w:rPr>
                <w:rFonts w:ascii="Symbol" w:eastAsia="MS Mincho" w:hAnsi="Symbol" w:cs="Times New Roman"/>
                <w:sz w:val="16"/>
                <w:szCs w:val="16"/>
                <w:lang w:val="en-CA"/>
              </w:rPr>
            </w:pPr>
          </w:p>
          <w:p w14:paraId="0DBDF91F"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Symbol" w:eastAsia="MS Mincho" w:hAnsi="Symbol"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p>
          <w:p w14:paraId="4C0AD441"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Calibri" w:eastAsia="MS Mincho" w:hAnsi="Calibri" w:cs="Times New Roman"/>
                <w:sz w:val="16"/>
                <w:szCs w:val="16"/>
                <w:lang w:val="en-CA"/>
              </w:rPr>
              <w:t>Very Low</w:t>
            </w:r>
          </w:p>
        </w:tc>
      </w:tr>
      <w:tr w:rsidR="00D12264" w:rsidRPr="00FA6CF1" w14:paraId="0FB4B8B4"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2F259BC2"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Inconsistency</w:t>
            </w:r>
          </w:p>
        </w:tc>
        <w:tc>
          <w:tcPr>
            <w:tcW w:w="2237" w:type="dxa"/>
            <w:tcMar>
              <w:top w:w="29" w:type="dxa"/>
              <w:left w:w="58" w:type="dxa"/>
              <w:bottom w:w="29" w:type="dxa"/>
              <w:right w:w="58" w:type="dxa"/>
            </w:tcMar>
            <w:vAlign w:val="center"/>
          </w:tcPr>
          <w:p w14:paraId="50D529EE"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Not serious</w:t>
            </w:r>
          </w:p>
          <w:p w14:paraId="1CB6821B" w14:textId="77777777" w:rsidR="00D12264" w:rsidRPr="00BC1F0D" w:rsidRDefault="00D12264" w:rsidP="009C1F61">
            <w:pPr>
              <w:spacing w:after="160"/>
              <w:rPr>
                <w:rFonts w:ascii="Calibri" w:eastAsia="MS Mincho" w:hAnsi="Calibri" w:cs="Times New Roman"/>
                <w:bCs/>
                <w:color w:val="FF0000"/>
                <w:sz w:val="16"/>
                <w:szCs w:val="16"/>
                <w:lang w:val="en-CA"/>
              </w:rPr>
            </w:pPr>
            <w:r w:rsidRPr="00BC1F0D">
              <w:rPr>
                <w:rFonts w:ascii="Calibri" w:eastAsia="MS Mincho" w:hAnsi="Calibri" w:cs="Times New Roman"/>
                <w:bCs/>
                <w:color w:val="FF0000"/>
                <w:sz w:val="16"/>
                <w:szCs w:val="16"/>
                <w:lang w:val="en-CA"/>
              </w:rPr>
              <w:t>serious (-1)</w:t>
            </w:r>
          </w:p>
          <w:p w14:paraId="20A9F5D7"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3348FD24" w14:textId="77777777" w:rsidR="00D12264" w:rsidRPr="00BC1F0D"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point estimates of the included studies were not on the same level and the confidence intervals did not overlap. The heterogeneity test showed p-value &lt;0.001 with I</w:t>
            </w:r>
            <w:r>
              <w:rPr>
                <w:rFonts w:asciiTheme="majorHAnsi" w:eastAsia="MS Mincho" w:hAnsiTheme="majorHAnsi" w:cstheme="majorHAnsi"/>
                <w:bCs/>
                <w:sz w:val="16"/>
                <w:szCs w:val="16"/>
                <w:vertAlign w:val="superscript"/>
                <w:lang w:val="en-CA"/>
              </w:rPr>
              <w:t>2</w:t>
            </w:r>
            <w:r>
              <w:rPr>
                <w:rFonts w:asciiTheme="majorHAnsi" w:eastAsia="MS Mincho" w:hAnsiTheme="majorHAnsi" w:cstheme="majorHAnsi"/>
                <w:bCs/>
                <w:sz w:val="16"/>
                <w:szCs w:val="16"/>
                <w:lang w:val="en-CA"/>
              </w:rPr>
              <w:t>= 94%. We downgraded in the domain of inconsistency.</w:t>
            </w:r>
          </w:p>
        </w:tc>
        <w:tc>
          <w:tcPr>
            <w:tcW w:w="1506" w:type="dxa"/>
            <w:vMerge/>
            <w:tcBorders>
              <w:right w:val="single" w:sz="4" w:space="0" w:color="auto"/>
            </w:tcBorders>
          </w:tcPr>
          <w:p w14:paraId="12242539"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4118D67F"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231E7F53"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Indirectness</w:t>
            </w:r>
          </w:p>
        </w:tc>
        <w:tc>
          <w:tcPr>
            <w:tcW w:w="2237" w:type="dxa"/>
            <w:tcMar>
              <w:top w:w="29" w:type="dxa"/>
              <w:left w:w="58" w:type="dxa"/>
              <w:bottom w:w="29" w:type="dxa"/>
              <w:right w:w="58" w:type="dxa"/>
            </w:tcMar>
            <w:vAlign w:val="center"/>
          </w:tcPr>
          <w:p w14:paraId="640753E3" w14:textId="77777777" w:rsidR="00D12264" w:rsidRPr="00BE426F" w:rsidRDefault="00D12264" w:rsidP="009C1F61">
            <w:pPr>
              <w:spacing w:after="160"/>
              <w:rPr>
                <w:rFonts w:ascii="Calibri" w:eastAsia="MS Mincho" w:hAnsi="Calibri" w:cs="Times New Roman"/>
                <w:bCs/>
                <w:color w:val="FF0000"/>
                <w:sz w:val="16"/>
                <w:szCs w:val="16"/>
                <w:lang w:val="en-CA"/>
              </w:rPr>
            </w:pPr>
            <w:r w:rsidRPr="00BE426F">
              <w:rPr>
                <w:rFonts w:ascii="Calibri" w:eastAsia="MS Mincho" w:hAnsi="Calibri" w:cs="Times New Roman"/>
                <w:bCs/>
                <w:color w:val="FF0000"/>
                <w:sz w:val="16"/>
                <w:szCs w:val="16"/>
                <w:lang w:val="en-CA"/>
              </w:rPr>
              <w:t>Not serious</w:t>
            </w:r>
          </w:p>
          <w:p w14:paraId="082A2946"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serious (-1)</w:t>
            </w:r>
          </w:p>
          <w:p w14:paraId="547E14EE"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03F5D8A3"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Overall the included studies recruited patients with osteoarthritis of the knee. Also, they were predominantly female and patients aged over 60, which reflected the general population. We did not downgrade in the domain of indirectness.</w:t>
            </w:r>
          </w:p>
        </w:tc>
        <w:tc>
          <w:tcPr>
            <w:tcW w:w="1506" w:type="dxa"/>
            <w:vMerge/>
            <w:tcBorders>
              <w:right w:val="single" w:sz="4" w:space="0" w:color="auto"/>
            </w:tcBorders>
          </w:tcPr>
          <w:p w14:paraId="0984A775"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15EDB128"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70E9994E"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Imprecision</w:t>
            </w:r>
          </w:p>
        </w:tc>
        <w:tc>
          <w:tcPr>
            <w:tcW w:w="2237" w:type="dxa"/>
            <w:tcMar>
              <w:top w:w="29" w:type="dxa"/>
              <w:left w:w="58" w:type="dxa"/>
              <w:bottom w:w="29" w:type="dxa"/>
              <w:right w:w="58" w:type="dxa"/>
            </w:tcMar>
            <w:vAlign w:val="center"/>
          </w:tcPr>
          <w:p w14:paraId="4CAB3700" w14:textId="77777777" w:rsidR="00D12264" w:rsidRPr="00BE426F" w:rsidRDefault="00D12264" w:rsidP="009C1F61">
            <w:pPr>
              <w:spacing w:after="160"/>
              <w:rPr>
                <w:rFonts w:ascii="Calibri" w:eastAsia="MS Mincho" w:hAnsi="Calibri" w:cs="Times New Roman"/>
                <w:bCs/>
                <w:color w:val="FF0000"/>
                <w:sz w:val="16"/>
                <w:szCs w:val="16"/>
                <w:lang w:val="en-CA"/>
              </w:rPr>
            </w:pPr>
            <w:r w:rsidRPr="00BE426F">
              <w:rPr>
                <w:rFonts w:ascii="Calibri" w:eastAsia="MS Mincho" w:hAnsi="Calibri" w:cs="Times New Roman"/>
                <w:bCs/>
                <w:color w:val="FF0000"/>
                <w:sz w:val="16"/>
                <w:szCs w:val="16"/>
                <w:lang w:val="en-CA"/>
              </w:rPr>
              <w:t>Not serious</w:t>
            </w:r>
          </w:p>
          <w:p w14:paraId="5F69E9F8"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serious (-1)</w:t>
            </w:r>
          </w:p>
          <w:p w14:paraId="7D41A94E"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5B0909D9"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We pooled 1592 patients in meta-analysis for surgery time. The mean difference in surgery time was 3.09 (95%CI -6.73 – 0.55) and we interpreted that the difference was not clinically important. We did not downgrade in the domain of imprecision.</w:t>
            </w:r>
          </w:p>
        </w:tc>
        <w:tc>
          <w:tcPr>
            <w:tcW w:w="1506" w:type="dxa"/>
            <w:vMerge/>
            <w:tcBorders>
              <w:right w:val="single" w:sz="4" w:space="0" w:color="auto"/>
            </w:tcBorders>
          </w:tcPr>
          <w:p w14:paraId="04CBB50F"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6CA1CE90"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5AB2018E"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Publication Bias</w:t>
            </w:r>
          </w:p>
        </w:tc>
        <w:tc>
          <w:tcPr>
            <w:tcW w:w="2237" w:type="dxa"/>
            <w:tcMar>
              <w:top w:w="29" w:type="dxa"/>
              <w:left w:w="58" w:type="dxa"/>
              <w:bottom w:w="29" w:type="dxa"/>
              <w:right w:w="58" w:type="dxa"/>
            </w:tcMar>
            <w:vAlign w:val="center"/>
          </w:tcPr>
          <w:p w14:paraId="79F27D00" w14:textId="77777777" w:rsidR="00D12264" w:rsidRPr="00BE426F" w:rsidRDefault="00D12264" w:rsidP="009C1F61">
            <w:pPr>
              <w:spacing w:after="160"/>
              <w:rPr>
                <w:rFonts w:ascii="Calibri" w:eastAsia="MS Mincho" w:hAnsi="Calibri" w:cs="Times New Roman"/>
                <w:bCs/>
                <w:color w:val="FF0000"/>
                <w:sz w:val="16"/>
                <w:szCs w:val="16"/>
                <w:lang w:val="en-CA"/>
              </w:rPr>
            </w:pPr>
            <w:r w:rsidRPr="00BE426F">
              <w:rPr>
                <w:rFonts w:ascii="Calibri" w:eastAsia="MS Mincho" w:hAnsi="Calibri" w:cs="Times New Roman"/>
                <w:bCs/>
                <w:color w:val="FF0000"/>
                <w:sz w:val="16"/>
                <w:szCs w:val="16"/>
                <w:lang w:val="en-CA"/>
              </w:rPr>
              <w:t>Undetected</w:t>
            </w:r>
          </w:p>
          <w:p w14:paraId="66B24FBA"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Strongly suspected (-1)</w:t>
            </w:r>
          </w:p>
        </w:tc>
        <w:tc>
          <w:tcPr>
            <w:tcW w:w="4320" w:type="dxa"/>
            <w:tcMar>
              <w:top w:w="29" w:type="dxa"/>
              <w:left w:w="58" w:type="dxa"/>
              <w:bottom w:w="29" w:type="dxa"/>
              <w:right w:w="58" w:type="dxa"/>
            </w:tcMar>
            <w:vAlign w:val="center"/>
          </w:tcPr>
          <w:p w14:paraId="61A96D9B"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In </w:t>
            </w:r>
            <w:r>
              <w:rPr>
                <w:rFonts w:asciiTheme="majorHAnsi" w:eastAsia="MS Mincho" w:hAnsiTheme="majorHAnsi" w:cstheme="majorHAnsi"/>
                <w:bCs/>
                <w:sz w:val="16"/>
                <w:szCs w:val="16"/>
                <w:lang w:val="en-CA"/>
              </w:rPr>
              <w:t xml:space="preserve">the </w:t>
            </w:r>
            <w:r w:rsidRPr="004A2697">
              <w:rPr>
                <w:rFonts w:asciiTheme="majorHAnsi" w:eastAsia="MS Mincho" w:hAnsiTheme="majorHAnsi" w:cstheme="majorHAnsi"/>
                <w:bCs/>
                <w:sz w:val="16"/>
                <w:szCs w:val="16"/>
                <w:lang w:val="en-CA"/>
              </w:rPr>
              <w:t>f</w:t>
            </w:r>
            <w:r>
              <w:rPr>
                <w:rFonts w:asciiTheme="majorHAnsi" w:eastAsia="MS Mincho" w:hAnsiTheme="majorHAnsi" w:cstheme="majorHAnsi"/>
                <w:bCs/>
                <w:sz w:val="16"/>
                <w:szCs w:val="16"/>
                <w:lang w:val="en-CA"/>
              </w:rPr>
              <w:t>unnel</w:t>
            </w:r>
            <w:r w:rsidRPr="004A2697">
              <w:rPr>
                <w:rFonts w:asciiTheme="majorHAnsi" w:eastAsia="MS Mincho" w:hAnsiTheme="majorHAnsi" w:cstheme="majorHAnsi"/>
                <w:bCs/>
                <w:sz w:val="16"/>
                <w:szCs w:val="16"/>
                <w:lang w:val="en-CA"/>
              </w:rPr>
              <w:t xml:space="preserve"> plot, studies were symmetrically distribute</w:t>
            </w:r>
            <w:r>
              <w:rPr>
                <w:rFonts w:asciiTheme="majorHAnsi" w:eastAsia="MS Mincho" w:hAnsiTheme="majorHAnsi" w:cstheme="majorHAnsi"/>
                <w:bCs/>
                <w:sz w:val="16"/>
                <w:szCs w:val="16"/>
                <w:lang w:val="en-CA"/>
              </w:rPr>
              <w:t>d.</w:t>
            </w:r>
          </w:p>
        </w:tc>
        <w:tc>
          <w:tcPr>
            <w:tcW w:w="1506" w:type="dxa"/>
            <w:vMerge/>
            <w:tcBorders>
              <w:right w:val="single" w:sz="4" w:space="0" w:color="auto"/>
            </w:tcBorders>
          </w:tcPr>
          <w:p w14:paraId="3BDEC7BF"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1D95FD01"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167E64E6"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Other</w:t>
            </w:r>
          </w:p>
          <w:p w14:paraId="09F18554" w14:textId="77777777" w:rsidR="00D12264" w:rsidRPr="00FA6CF1" w:rsidRDefault="00D12264" w:rsidP="009C1F61">
            <w:pPr>
              <w:spacing w:after="160"/>
              <w:rPr>
                <w:rFonts w:ascii="Calibri" w:eastAsia="MS Mincho" w:hAnsi="Calibri" w:cs="Times New Roman"/>
                <w:bCs/>
                <w:sz w:val="16"/>
                <w:szCs w:val="16"/>
                <w:lang w:val="en-CA"/>
              </w:rPr>
            </w:pPr>
            <w:r w:rsidRPr="00FA6CF1">
              <w:rPr>
                <w:rFonts w:ascii="Calibri" w:eastAsia="MS Mincho" w:hAnsi="Calibri" w:cs="Times New Roman"/>
                <w:bCs/>
                <w:sz w:val="16"/>
                <w:szCs w:val="16"/>
                <w:lang w:val="en-CA"/>
              </w:rPr>
              <w:t>(upgrading factors, circle all that apply)</w:t>
            </w:r>
          </w:p>
        </w:tc>
        <w:tc>
          <w:tcPr>
            <w:tcW w:w="2237" w:type="dxa"/>
            <w:tcMar>
              <w:top w:w="29" w:type="dxa"/>
              <w:left w:w="58" w:type="dxa"/>
              <w:bottom w:w="29" w:type="dxa"/>
              <w:right w:w="58" w:type="dxa"/>
            </w:tcMar>
            <w:vAlign w:val="center"/>
          </w:tcPr>
          <w:p w14:paraId="11949CB8"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Large effect (+1 or +2)</w:t>
            </w:r>
          </w:p>
          <w:p w14:paraId="0D4CF0F9"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Dose response (+1 )</w:t>
            </w:r>
          </w:p>
          <w:p w14:paraId="5BC547CA"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Plausible confounding opposing the effect (+1)</w:t>
            </w:r>
          </w:p>
        </w:tc>
        <w:tc>
          <w:tcPr>
            <w:tcW w:w="4320" w:type="dxa"/>
            <w:tcMar>
              <w:top w:w="29" w:type="dxa"/>
              <w:left w:w="58" w:type="dxa"/>
              <w:bottom w:w="29" w:type="dxa"/>
              <w:right w:w="58" w:type="dxa"/>
            </w:tcMar>
            <w:vAlign w:val="center"/>
          </w:tcPr>
          <w:p w14:paraId="3A5FE73A"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The effect is less significant and there is no plausible reason to rate up. </w:t>
            </w:r>
          </w:p>
        </w:tc>
        <w:tc>
          <w:tcPr>
            <w:tcW w:w="1506" w:type="dxa"/>
            <w:vMerge/>
            <w:tcBorders>
              <w:right w:val="single" w:sz="4" w:space="0" w:color="auto"/>
            </w:tcBorders>
          </w:tcPr>
          <w:p w14:paraId="0C36638E" w14:textId="77777777" w:rsidR="00D12264" w:rsidRPr="00FA6CF1" w:rsidRDefault="00D12264" w:rsidP="009C1F61">
            <w:pPr>
              <w:spacing w:after="160"/>
              <w:rPr>
                <w:rFonts w:ascii="Calibri" w:eastAsia="MS Mincho" w:hAnsi="Calibri" w:cs="Times New Roman"/>
                <w:b/>
                <w:bCs/>
                <w:sz w:val="16"/>
                <w:szCs w:val="16"/>
                <w:lang w:val="en-CA"/>
              </w:rPr>
            </w:pPr>
          </w:p>
        </w:tc>
      </w:tr>
    </w:tbl>
    <w:p w14:paraId="1E17CE9B" w14:textId="77777777" w:rsidR="00D12264" w:rsidRPr="00FA6CF1" w:rsidRDefault="00D12264" w:rsidP="00D12264">
      <w:pPr>
        <w:rPr>
          <w:rFonts w:ascii="Calibri" w:eastAsia="Times New Roman" w:hAnsi="Calibri" w:cs="Times New Roman"/>
        </w:rPr>
      </w:pPr>
    </w:p>
    <w:p w14:paraId="125DCF7A" w14:textId="77777777" w:rsidR="00D12264" w:rsidRPr="00FA6CF1" w:rsidRDefault="00D12264" w:rsidP="00D12264">
      <w:pPr>
        <w:rPr>
          <w:rFonts w:ascii="Calibri" w:eastAsia="Times New Roman" w:hAnsi="Calibri" w:cs="Times New Roman"/>
        </w:rPr>
      </w:pPr>
    </w:p>
    <w:p w14:paraId="33ED3385" w14:textId="77777777" w:rsidR="00D12264" w:rsidRPr="00FA6CF1" w:rsidRDefault="00D12264" w:rsidP="00D12264">
      <w:pPr>
        <w:rPr>
          <w:rFonts w:ascii="Calibri" w:eastAsia="Times New Roman" w:hAnsi="Calibri" w:cs="Times New Roman"/>
        </w:rPr>
      </w:pPr>
    </w:p>
    <w:p w14:paraId="2DDE31A3" w14:textId="77777777" w:rsidR="00D12264" w:rsidRPr="00FA6CF1" w:rsidRDefault="00D12264" w:rsidP="00D12264">
      <w:pPr>
        <w:rPr>
          <w:rFonts w:ascii="Calibri" w:eastAsia="Times New Roman" w:hAnsi="Calibri" w:cs="Times New Roman"/>
        </w:rPr>
      </w:pPr>
    </w:p>
    <w:p w14:paraId="4022F628" w14:textId="77777777" w:rsidR="00D12264" w:rsidRPr="00FA6CF1" w:rsidRDefault="00D12264" w:rsidP="00D12264">
      <w:pPr>
        <w:rPr>
          <w:rFonts w:ascii="Calibri" w:eastAsia="Times New Roman" w:hAnsi="Calibri" w:cs="Times New Roman"/>
        </w:rPr>
      </w:pPr>
    </w:p>
    <w:p w14:paraId="184A425D" w14:textId="77777777" w:rsidR="00D12264" w:rsidRDefault="00D12264" w:rsidP="00D12264">
      <w:pPr>
        <w:rPr>
          <w:rFonts w:ascii="Calibri" w:eastAsia="Times New Roman" w:hAnsi="Calibri" w:cs="Times New Roman"/>
        </w:rPr>
      </w:pPr>
    </w:p>
    <w:p w14:paraId="73E0977D" w14:textId="77777777" w:rsidR="00D12264" w:rsidRDefault="00D12264" w:rsidP="00D12264">
      <w:pPr>
        <w:rPr>
          <w:rFonts w:ascii="Calibri" w:eastAsia="Times New Roman" w:hAnsi="Calibri" w:cs="Times New Roman"/>
        </w:rPr>
      </w:pPr>
    </w:p>
    <w:p w14:paraId="0A208EF9" w14:textId="77777777" w:rsidR="00D12264" w:rsidRDefault="00D12264" w:rsidP="00D12264">
      <w:pPr>
        <w:rPr>
          <w:rFonts w:ascii="Calibri" w:eastAsia="Times New Roman" w:hAnsi="Calibri" w:cs="Times New Roman"/>
        </w:rPr>
      </w:pPr>
    </w:p>
    <w:p w14:paraId="1E19A3FA" w14:textId="77777777" w:rsidR="00D12264" w:rsidRDefault="00D12264" w:rsidP="00D12264">
      <w:pPr>
        <w:rPr>
          <w:rFonts w:ascii="Calibri" w:eastAsia="Times New Roman" w:hAnsi="Calibri" w:cs="Times New Roman"/>
        </w:rPr>
      </w:pPr>
    </w:p>
    <w:p w14:paraId="58B4662A" w14:textId="77777777" w:rsidR="00D12264" w:rsidRDefault="00D12264" w:rsidP="00D12264">
      <w:pPr>
        <w:rPr>
          <w:rFonts w:ascii="Calibri" w:eastAsia="Times New Roman" w:hAnsi="Calibri" w:cs="Times New Roman"/>
        </w:rPr>
      </w:pPr>
    </w:p>
    <w:p w14:paraId="1BC049E1" w14:textId="77777777" w:rsidR="00D12264" w:rsidRDefault="00D12264" w:rsidP="00D12264">
      <w:pPr>
        <w:rPr>
          <w:rFonts w:ascii="Calibri" w:eastAsia="Times New Roman" w:hAnsi="Calibri" w:cs="Times New Roman"/>
        </w:rPr>
      </w:pPr>
    </w:p>
    <w:p w14:paraId="3ADEF070" w14:textId="77777777" w:rsidR="00D12264" w:rsidRDefault="00D12264" w:rsidP="00D12264">
      <w:pPr>
        <w:rPr>
          <w:rFonts w:ascii="Calibri" w:eastAsia="Times New Roman" w:hAnsi="Calibri" w:cs="Times New Roman"/>
        </w:rPr>
      </w:pPr>
    </w:p>
    <w:p w14:paraId="15BADF44" w14:textId="77777777" w:rsidR="00D12264" w:rsidRDefault="00D12264" w:rsidP="00D12264">
      <w:pPr>
        <w:rPr>
          <w:rFonts w:ascii="Calibri" w:eastAsia="Times New Roman" w:hAnsi="Calibri" w:cs="Times New Roman"/>
        </w:rPr>
      </w:pPr>
    </w:p>
    <w:p w14:paraId="3D1400BB" w14:textId="77777777" w:rsidR="00D12264" w:rsidRDefault="00D12264" w:rsidP="00D12264">
      <w:pPr>
        <w:rPr>
          <w:rFonts w:ascii="Calibri" w:eastAsia="Times New Roman" w:hAnsi="Calibri" w:cs="Times New Roman"/>
        </w:rPr>
      </w:pPr>
    </w:p>
    <w:p w14:paraId="436CD548" w14:textId="77777777" w:rsidR="00D12264" w:rsidRDefault="00D12264" w:rsidP="00D12264">
      <w:pPr>
        <w:rPr>
          <w:rFonts w:ascii="Calibri" w:eastAsia="Times New Roman" w:hAnsi="Calibri" w:cs="Times New Roman"/>
        </w:rPr>
      </w:pPr>
    </w:p>
    <w:p w14:paraId="413F12B5" w14:textId="44A8B693" w:rsidR="00D12264" w:rsidRPr="00890779" w:rsidRDefault="00D12264" w:rsidP="00D12264">
      <w:pPr>
        <w:rPr>
          <w:rFonts w:eastAsia="Times New Roman"/>
          <w:b/>
        </w:rPr>
      </w:pPr>
      <w:r w:rsidRPr="00890779">
        <w:rPr>
          <w:rFonts w:eastAsia="Times New Roman"/>
          <w:b/>
        </w:rPr>
        <w:t xml:space="preserve">Appendix </w:t>
      </w:r>
      <w:r w:rsidR="0040231B">
        <w:rPr>
          <w:rFonts w:eastAsia="Times New Roman"/>
          <w:b/>
        </w:rPr>
        <w:t>K</w:t>
      </w:r>
      <w:r>
        <w:rPr>
          <w:rFonts w:eastAsia="Times New Roman"/>
          <w:b/>
        </w:rPr>
        <w:t>.4</w:t>
      </w:r>
      <w:r w:rsidRPr="00890779">
        <w:rPr>
          <w:rFonts w:eastAsia="Times New Roman"/>
          <w:b/>
        </w:rPr>
        <w:t>: Assessment of the quality of the evidence for Blood loss</w:t>
      </w:r>
    </w:p>
    <w:p w14:paraId="2BBD84A5" w14:textId="77777777" w:rsidR="00D12264" w:rsidRPr="00C94AE6" w:rsidRDefault="00D12264" w:rsidP="00D12264">
      <w:pPr>
        <w:rPr>
          <w:rFonts w:eastAsia="Times New Roman"/>
          <w:sz w:val="20"/>
        </w:rPr>
      </w:pPr>
    </w:p>
    <w:tbl>
      <w:tblPr>
        <w:tblStyle w:val="TableGrid"/>
        <w:tblW w:w="10079" w:type="dxa"/>
        <w:jc w:val="center"/>
        <w:tblBorders>
          <w:left w:val="none" w:sz="0" w:space="0" w:color="auto"/>
          <w:right w:val="none" w:sz="0" w:space="0" w:color="auto"/>
        </w:tblBorders>
        <w:tblLook w:val="01E0" w:firstRow="1" w:lastRow="1" w:firstColumn="1" w:lastColumn="1" w:noHBand="0" w:noVBand="0"/>
      </w:tblPr>
      <w:tblGrid>
        <w:gridCol w:w="2016"/>
        <w:gridCol w:w="2237"/>
        <w:gridCol w:w="4320"/>
        <w:gridCol w:w="1506"/>
      </w:tblGrid>
      <w:tr w:rsidR="00D12264" w:rsidRPr="00FA6CF1" w14:paraId="542F5830" w14:textId="77777777" w:rsidTr="009C1F61">
        <w:trPr>
          <w:jc w:val="center"/>
        </w:trPr>
        <w:tc>
          <w:tcPr>
            <w:tcW w:w="2016" w:type="dxa"/>
            <w:tcBorders>
              <w:top w:val="single" w:sz="4" w:space="0" w:color="auto"/>
              <w:left w:val="single" w:sz="4" w:space="0" w:color="auto"/>
              <w:bottom w:val="double" w:sz="4" w:space="0" w:color="auto"/>
            </w:tcBorders>
            <w:shd w:val="clear" w:color="auto" w:fill="auto"/>
            <w:tcMar>
              <w:top w:w="29" w:type="dxa"/>
              <w:left w:w="58" w:type="dxa"/>
              <w:bottom w:w="29" w:type="dxa"/>
              <w:right w:w="58" w:type="dxa"/>
            </w:tcMar>
            <w:vAlign w:val="center"/>
          </w:tcPr>
          <w:p w14:paraId="20966E15"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GRADE domains</w:t>
            </w:r>
          </w:p>
        </w:tc>
        <w:tc>
          <w:tcPr>
            <w:tcW w:w="2237"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4609E1B0"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Rating </w:t>
            </w:r>
          </w:p>
          <w:p w14:paraId="0423F069"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(remember borderline or close calls are possible)</w:t>
            </w:r>
          </w:p>
        </w:tc>
        <w:tc>
          <w:tcPr>
            <w:tcW w:w="4320"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71CAACF4"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Footnotes</w:t>
            </w:r>
          </w:p>
          <w:p w14:paraId="075A116B"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(explain reasons for rating down)</w:t>
            </w:r>
          </w:p>
        </w:tc>
        <w:tc>
          <w:tcPr>
            <w:tcW w:w="1506" w:type="dxa"/>
            <w:tcBorders>
              <w:top w:val="single" w:sz="4" w:space="0" w:color="auto"/>
              <w:bottom w:val="double" w:sz="4" w:space="0" w:color="auto"/>
              <w:right w:val="single" w:sz="4" w:space="0" w:color="auto"/>
            </w:tcBorders>
            <w:shd w:val="clear" w:color="auto" w:fill="auto"/>
            <w:vAlign w:val="center"/>
          </w:tcPr>
          <w:p w14:paraId="255AE441"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Certainty of the evidence </w:t>
            </w:r>
          </w:p>
          <w:p w14:paraId="2AF355CD"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(Circle one)</w:t>
            </w:r>
          </w:p>
        </w:tc>
      </w:tr>
      <w:tr w:rsidR="00D12264" w:rsidRPr="00FA6CF1" w14:paraId="5BE1421B" w14:textId="77777777" w:rsidTr="009C1F61">
        <w:trPr>
          <w:jc w:val="center"/>
        </w:trPr>
        <w:tc>
          <w:tcPr>
            <w:tcW w:w="2016" w:type="dxa"/>
            <w:tcBorders>
              <w:top w:val="double" w:sz="4" w:space="0" w:color="auto"/>
              <w:left w:val="single" w:sz="4" w:space="0" w:color="auto"/>
            </w:tcBorders>
            <w:tcMar>
              <w:top w:w="29" w:type="dxa"/>
              <w:left w:w="58" w:type="dxa"/>
              <w:bottom w:w="29" w:type="dxa"/>
              <w:right w:w="58" w:type="dxa"/>
            </w:tcMar>
            <w:vAlign w:val="center"/>
          </w:tcPr>
          <w:p w14:paraId="3757048D"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Risk of Bias</w:t>
            </w:r>
          </w:p>
          <w:p w14:paraId="20566A45"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Cs/>
                <w:i/>
                <w:sz w:val="16"/>
                <w:szCs w:val="16"/>
                <w:lang w:val="en-CA"/>
              </w:rPr>
              <w:t>(use the Risk of Bias tables and figures)</w:t>
            </w:r>
          </w:p>
        </w:tc>
        <w:tc>
          <w:tcPr>
            <w:tcW w:w="2237" w:type="dxa"/>
            <w:tcBorders>
              <w:top w:val="double" w:sz="4" w:space="0" w:color="auto"/>
            </w:tcBorders>
            <w:tcMar>
              <w:top w:w="29" w:type="dxa"/>
              <w:left w:w="58" w:type="dxa"/>
              <w:bottom w:w="29" w:type="dxa"/>
              <w:right w:w="58" w:type="dxa"/>
            </w:tcMar>
            <w:vAlign w:val="center"/>
          </w:tcPr>
          <w:p w14:paraId="2E3792C3" w14:textId="77777777" w:rsidR="00D12264" w:rsidRPr="005961D3" w:rsidRDefault="00D12264" w:rsidP="009C1F61">
            <w:pPr>
              <w:spacing w:after="160"/>
              <w:rPr>
                <w:rFonts w:ascii="Calibri" w:eastAsia="MS Mincho" w:hAnsi="Calibri" w:cs="Times New Roman"/>
                <w:bCs/>
                <w:color w:val="FF0000"/>
                <w:sz w:val="16"/>
                <w:szCs w:val="16"/>
                <w:lang w:val="en-CA"/>
              </w:rPr>
            </w:pPr>
            <w:r w:rsidRPr="005961D3">
              <w:rPr>
                <w:rFonts w:ascii="Calibri" w:eastAsia="MS Mincho" w:hAnsi="Calibri" w:cs="Times New Roman"/>
                <w:bCs/>
                <w:color w:val="FF0000"/>
                <w:sz w:val="16"/>
                <w:szCs w:val="16"/>
                <w:lang w:val="en-CA"/>
              </w:rPr>
              <w:t>Not serious</w:t>
            </w:r>
          </w:p>
          <w:p w14:paraId="25061770"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serious (-1)</w:t>
            </w:r>
          </w:p>
          <w:p w14:paraId="75BDD9EF"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very serious (-2)</w:t>
            </w:r>
          </w:p>
        </w:tc>
        <w:tc>
          <w:tcPr>
            <w:tcW w:w="4320" w:type="dxa"/>
            <w:tcBorders>
              <w:top w:val="double" w:sz="4" w:space="0" w:color="auto"/>
            </w:tcBorders>
            <w:tcMar>
              <w:top w:w="29" w:type="dxa"/>
              <w:left w:w="58" w:type="dxa"/>
              <w:bottom w:w="29" w:type="dxa"/>
              <w:right w:w="58" w:type="dxa"/>
            </w:tcMar>
            <w:vAlign w:val="center"/>
          </w:tcPr>
          <w:p w14:paraId="0F5E9326"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We could not find specific problems </w:t>
            </w:r>
            <w:r>
              <w:rPr>
                <w:rFonts w:asciiTheme="majorHAnsi" w:eastAsia="MS Mincho" w:hAnsiTheme="majorHAnsi" w:cstheme="majorHAnsi"/>
                <w:bCs/>
                <w:sz w:val="16"/>
                <w:szCs w:val="16"/>
                <w:lang w:val="en-CA"/>
              </w:rPr>
              <w:t>regarding</w:t>
            </w:r>
            <w:r w:rsidRPr="004A2697">
              <w:rPr>
                <w:rFonts w:asciiTheme="majorHAnsi" w:eastAsia="MS Mincho" w:hAnsiTheme="majorHAnsi" w:cstheme="majorHAnsi"/>
                <w:bCs/>
                <w:sz w:val="16"/>
                <w:szCs w:val="16"/>
                <w:lang w:val="en-CA"/>
              </w:rPr>
              <w:t xml:space="preserve"> randomization in the included studies</w:t>
            </w:r>
            <w:r>
              <w:rPr>
                <w:rFonts w:asciiTheme="majorHAnsi" w:eastAsia="MS Mincho" w:hAnsiTheme="majorHAnsi" w:cstheme="majorHAnsi"/>
                <w:bCs/>
                <w:sz w:val="16"/>
                <w:szCs w:val="16"/>
                <w:lang w:val="en-CA"/>
              </w:rPr>
              <w:t xml:space="preserve">, except </w:t>
            </w:r>
            <w:proofErr w:type="spellStart"/>
            <w:r>
              <w:rPr>
                <w:rFonts w:asciiTheme="majorHAnsi" w:eastAsia="MS Mincho" w:hAnsiTheme="majorHAnsi" w:cstheme="majorHAnsi"/>
                <w:bCs/>
                <w:sz w:val="16"/>
                <w:szCs w:val="16"/>
                <w:lang w:val="en-CA"/>
              </w:rPr>
              <w:t>Vundelinckx</w:t>
            </w:r>
            <w:proofErr w:type="spellEnd"/>
            <w:r>
              <w:rPr>
                <w:rFonts w:asciiTheme="majorHAnsi" w:eastAsia="MS Mincho" w:hAnsiTheme="majorHAnsi" w:cstheme="majorHAnsi"/>
                <w:bCs/>
                <w:sz w:val="16"/>
                <w:szCs w:val="16"/>
                <w:lang w:val="en-CA"/>
              </w:rPr>
              <w:t xml:space="preserve"> 2013 (6.5% weighted)</w:t>
            </w:r>
            <w:r w:rsidRPr="004A2697">
              <w:rPr>
                <w:rFonts w:asciiTheme="majorHAnsi" w:eastAsia="MS Mincho" w:hAnsiTheme="majorHAnsi" w:cstheme="majorHAnsi"/>
                <w:bCs/>
                <w:sz w:val="16"/>
                <w:szCs w:val="16"/>
                <w:lang w:val="en-CA"/>
              </w:rPr>
              <w:t>.</w:t>
            </w:r>
            <w:r>
              <w:rPr>
                <w:rFonts w:asciiTheme="majorHAnsi" w:eastAsia="MS Mincho" w:hAnsiTheme="majorHAnsi" w:cstheme="majorHAnsi"/>
                <w:bCs/>
                <w:sz w:val="16"/>
                <w:szCs w:val="16"/>
                <w:lang w:val="en-CA"/>
              </w:rPr>
              <w:t xml:space="preserve"> In surgical trials, surgeons and scrub nurses could not be blinded (performance bias). Nonetheless, risk of bias was minimized and we did not downgrade in the domain of risk of bias.</w:t>
            </w:r>
          </w:p>
        </w:tc>
        <w:tc>
          <w:tcPr>
            <w:tcW w:w="1506" w:type="dxa"/>
            <w:vMerge w:val="restart"/>
            <w:tcBorders>
              <w:top w:val="double" w:sz="4" w:space="0" w:color="auto"/>
              <w:right w:val="single" w:sz="4" w:space="0" w:color="auto"/>
            </w:tcBorders>
            <w:vAlign w:val="center"/>
          </w:tcPr>
          <w:p w14:paraId="3A3FCCE1" w14:textId="77777777" w:rsidR="00D12264" w:rsidRPr="00FA6CF1" w:rsidRDefault="00D12264" w:rsidP="009C1F61">
            <w:pPr>
              <w:spacing w:after="160"/>
              <w:jc w:val="center"/>
              <w:rPr>
                <w:rFonts w:ascii="Symbol" w:eastAsia="MS Mincho" w:hAnsi="Symbol" w:cs="Times New Roman"/>
                <w:sz w:val="16"/>
                <w:szCs w:val="16"/>
                <w:lang w:val="en-CA"/>
              </w:rPr>
            </w:pP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p>
          <w:p w14:paraId="3CA3B6CB" w14:textId="77777777" w:rsidR="00D12264" w:rsidRPr="00FA6CF1" w:rsidRDefault="00D12264" w:rsidP="009C1F61">
            <w:pPr>
              <w:spacing w:after="160"/>
              <w:jc w:val="center"/>
              <w:rPr>
                <w:rFonts w:ascii="Calibri" w:eastAsia="MS Mincho" w:hAnsi="Calibri" w:cs="Times New Roman"/>
                <w:color w:val="292526"/>
                <w:sz w:val="16"/>
                <w:szCs w:val="16"/>
                <w:lang w:val="en-CA" w:eastAsia="nb-NO"/>
              </w:rPr>
            </w:pPr>
            <w:r w:rsidRPr="00FA6CF1">
              <w:rPr>
                <w:rFonts w:ascii="Calibri" w:eastAsia="MS Mincho" w:hAnsi="Calibri" w:cs="Times New Roman"/>
                <w:color w:val="292526"/>
                <w:sz w:val="16"/>
                <w:szCs w:val="16"/>
                <w:lang w:val="en-CA" w:eastAsia="nb-NO"/>
              </w:rPr>
              <w:t>High</w:t>
            </w:r>
          </w:p>
          <w:p w14:paraId="6FA86887" w14:textId="77777777" w:rsidR="00D12264" w:rsidRPr="00E7492F" w:rsidRDefault="00D12264" w:rsidP="009C1F61">
            <w:pPr>
              <w:spacing w:after="160"/>
              <w:jc w:val="center"/>
              <w:rPr>
                <w:rFonts w:ascii="Symbol" w:eastAsia="MS Mincho" w:hAnsi="Symbol" w:cs="Times New Roman"/>
                <w:sz w:val="16"/>
                <w:szCs w:val="16"/>
                <w:lang w:val="en-CA"/>
              </w:rPr>
            </w:pPr>
          </w:p>
          <w:p w14:paraId="2ABEFAA1" w14:textId="77777777" w:rsidR="00D12264" w:rsidRPr="00E7492F" w:rsidRDefault="00D12264" w:rsidP="009C1F61">
            <w:pPr>
              <w:spacing w:after="160"/>
              <w:jc w:val="center"/>
              <w:rPr>
                <w:rFonts w:ascii="Symbol" w:eastAsia="MS Mincho" w:hAnsi="Symbol" w:cs="Times New Roman"/>
                <w:color w:val="FF0000"/>
                <w:sz w:val="16"/>
                <w:szCs w:val="16"/>
                <w:lang w:val="en-CA"/>
              </w:rPr>
            </w:pPr>
            <w:r w:rsidRPr="00E7492F">
              <w:rPr>
                <w:rFonts w:ascii="Symbol" w:eastAsia="MS Mincho" w:hAnsi="Symbol" w:cs="Times New Roman"/>
                <w:color w:val="FF0000"/>
                <w:sz w:val="16"/>
                <w:szCs w:val="16"/>
                <w:lang w:val="en-CA"/>
              </w:rPr>
              <w:t></w:t>
            </w:r>
            <w:r w:rsidRPr="00E7492F">
              <w:rPr>
                <w:rFonts w:ascii="Symbol" w:eastAsia="MS Mincho" w:hAnsi="Symbol" w:cs="Times New Roman"/>
                <w:color w:val="FF0000"/>
                <w:sz w:val="16"/>
                <w:szCs w:val="16"/>
                <w:lang w:val="en-CA"/>
              </w:rPr>
              <w:t></w:t>
            </w:r>
            <w:r w:rsidRPr="00E7492F">
              <w:rPr>
                <w:rFonts w:ascii="Symbol" w:eastAsia="MS Mincho" w:hAnsi="Symbol" w:cs="Times New Roman"/>
                <w:color w:val="FF0000"/>
                <w:sz w:val="16"/>
                <w:szCs w:val="16"/>
                <w:lang w:val="en-CA"/>
              </w:rPr>
              <w:t></w:t>
            </w:r>
            <w:r w:rsidRPr="00E7492F">
              <w:rPr>
                <w:rFonts w:ascii="Wingdings 2" w:eastAsia="MS Mincho" w:hAnsi="Wingdings 2" w:cs="Times New Roman"/>
                <w:color w:val="FF0000"/>
                <w:sz w:val="16"/>
                <w:szCs w:val="16"/>
                <w:lang w:val="en-CA"/>
              </w:rPr>
              <w:t></w:t>
            </w:r>
          </w:p>
          <w:p w14:paraId="7BA1C86D" w14:textId="77777777" w:rsidR="00D12264" w:rsidRPr="00E7492F" w:rsidRDefault="00D12264" w:rsidP="009C1F61">
            <w:pPr>
              <w:spacing w:after="160"/>
              <w:jc w:val="center"/>
              <w:rPr>
                <w:rFonts w:ascii="Calibri" w:eastAsia="MS Mincho" w:hAnsi="Calibri" w:cs="Times New Roman"/>
                <w:color w:val="FF0000"/>
                <w:sz w:val="16"/>
                <w:szCs w:val="16"/>
                <w:lang w:val="en-CA" w:eastAsia="nb-NO"/>
              </w:rPr>
            </w:pPr>
            <w:r w:rsidRPr="00E7492F">
              <w:rPr>
                <w:rFonts w:ascii="Calibri" w:eastAsia="MS Mincho" w:hAnsi="Calibri" w:cs="Times New Roman"/>
                <w:color w:val="FF0000"/>
                <w:sz w:val="16"/>
                <w:szCs w:val="16"/>
                <w:lang w:val="en-CA"/>
              </w:rPr>
              <w:t>Moderate</w:t>
            </w:r>
          </w:p>
          <w:p w14:paraId="08930AEB" w14:textId="77777777" w:rsidR="00D12264" w:rsidRPr="00E7492F" w:rsidRDefault="00D12264" w:rsidP="009C1F61">
            <w:pPr>
              <w:spacing w:after="160"/>
              <w:jc w:val="center"/>
              <w:rPr>
                <w:rFonts w:ascii="Calibri" w:eastAsia="MS Mincho" w:hAnsi="Calibri" w:cs="Times New Roman"/>
                <w:color w:val="292526"/>
                <w:sz w:val="16"/>
                <w:szCs w:val="16"/>
                <w:lang w:val="en-CA" w:eastAsia="nb-NO"/>
              </w:rPr>
            </w:pPr>
          </w:p>
          <w:p w14:paraId="0C167CAA" w14:textId="77777777" w:rsidR="00D12264" w:rsidRPr="00FA6CF1" w:rsidRDefault="00D12264" w:rsidP="009C1F61">
            <w:pPr>
              <w:spacing w:after="160"/>
              <w:jc w:val="center"/>
              <w:rPr>
                <w:rFonts w:ascii="Calibri" w:eastAsia="MS Mincho" w:hAnsi="Calibri" w:cs="Times New Roman"/>
                <w:sz w:val="16"/>
                <w:szCs w:val="16"/>
                <w:lang w:val="en-CA" w:eastAsia="nb-NO"/>
              </w:rPr>
            </w:pP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p>
          <w:p w14:paraId="55B94E70" w14:textId="77777777" w:rsidR="00D12264" w:rsidRPr="00FA6CF1" w:rsidRDefault="00D12264" w:rsidP="009C1F61">
            <w:pPr>
              <w:spacing w:after="160"/>
              <w:jc w:val="center"/>
              <w:rPr>
                <w:rFonts w:ascii="Calibri" w:eastAsia="MS Mincho" w:hAnsi="Calibri" w:cs="Times New Roman"/>
                <w:sz w:val="16"/>
                <w:szCs w:val="16"/>
                <w:lang w:val="en-CA" w:eastAsia="nb-NO"/>
              </w:rPr>
            </w:pPr>
            <w:r w:rsidRPr="00FA6CF1">
              <w:rPr>
                <w:rFonts w:ascii="Calibri" w:eastAsia="MS Mincho" w:hAnsi="Calibri" w:cs="Times New Roman"/>
                <w:sz w:val="16"/>
                <w:szCs w:val="16"/>
                <w:lang w:val="en-CA" w:eastAsia="nb-NO"/>
              </w:rPr>
              <w:t>Low</w:t>
            </w:r>
          </w:p>
          <w:p w14:paraId="4102FFDF" w14:textId="77777777" w:rsidR="00D12264" w:rsidRPr="00FA6CF1" w:rsidRDefault="00D12264" w:rsidP="009C1F61">
            <w:pPr>
              <w:spacing w:after="160"/>
              <w:jc w:val="center"/>
              <w:rPr>
                <w:rFonts w:ascii="Symbol" w:eastAsia="MS Mincho" w:hAnsi="Symbol" w:cs="Times New Roman"/>
                <w:sz w:val="16"/>
                <w:szCs w:val="16"/>
                <w:lang w:val="en-CA"/>
              </w:rPr>
            </w:pPr>
          </w:p>
          <w:p w14:paraId="2B1ED80B"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Symbol" w:eastAsia="MS Mincho" w:hAnsi="Symbol"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p>
          <w:p w14:paraId="5952E327"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Calibri" w:eastAsia="MS Mincho" w:hAnsi="Calibri" w:cs="Times New Roman"/>
                <w:sz w:val="16"/>
                <w:szCs w:val="16"/>
                <w:lang w:val="en-CA"/>
              </w:rPr>
              <w:t>Very Low</w:t>
            </w:r>
          </w:p>
        </w:tc>
      </w:tr>
      <w:tr w:rsidR="00D12264" w:rsidRPr="00FA6CF1" w14:paraId="6B9371CF"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6BB1F812"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Inconsistency</w:t>
            </w:r>
          </w:p>
        </w:tc>
        <w:tc>
          <w:tcPr>
            <w:tcW w:w="2237" w:type="dxa"/>
            <w:tcMar>
              <w:top w:w="29" w:type="dxa"/>
              <w:left w:w="58" w:type="dxa"/>
              <w:bottom w:w="29" w:type="dxa"/>
              <w:right w:w="58" w:type="dxa"/>
            </w:tcMar>
            <w:vAlign w:val="center"/>
          </w:tcPr>
          <w:p w14:paraId="2586CAD1"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Not serious</w:t>
            </w:r>
          </w:p>
          <w:p w14:paraId="3F1F8C91" w14:textId="77777777" w:rsidR="00D12264" w:rsidRPr="005961D3" w:rsidRDefault="00D12264" w:rsidP="009C1F61">
            <w:pPr>
              <w:spacing w:after="160"/>
              <w:rPr>
                <w:rFonts w:ascii="Calibri" w:eastAsia="MS Mincho" w:hAnsi="Calibri" w:cs="Times New Roman"/>
                <w:bCs/>
                <w:color w:val="FF0000"/>
                <w:sz w:val="16"/>
                <w:szCs w:val="16"/>
                <w:lang w:val="en-CA"/>
              </w:rPr>
            </w:pPr>
            <w:r w:rsidRPr="005961D3">
              <w:rPr>
                <w:rFonts w:ascii="Calibri" w:eastAsia="MS Mincho" w:hAnsi="Calibri" w:cs="Times New Roman"/>
                <w:bCs/>
                <w:color w:val="FF0000"/>
                <w:sz w:val="16"/>
                <w:szCs w:val="16"/>
                <w:lang w:val="en-CA"/>
              </w:rPr>
              <w:t>serious (-1)</w:t>
            </w:r>
          </w:p>
          <w:p w14:paraId="38606BF2"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6619F183" w14:textId="77777777" w:rsidR="00D12264" w:rsidRPr="00BC1F0D"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point estimates of the included studies were not on the same level and the confidence intervals did not overlap well. The heterogeneity test showed p-value &lt;0.001 with I</w:t>
            </w:r>
            <w:r>
              <w:rPr>
                <w:rFonts w:asciiTheme="majorHAnsi" w:eastAsia="MS Mincho" w:hAnsiTheme="majorHAnsi" w:cstheme="majorHAnsi"/>
                <w:bCs/>
                <w:sz w:val="16"/>
                <w:szCs w:val="16"/>
                <w:vertAlign w:val="superscript"/>
                <w:lang w:val="en-CA"/>
              </w:rPr>
              <w:t>2</w:t>
            </w:r>
            <w:r>
              <w:rPr>
                <w:rFonts w:asciiTheme="majorHAnsi" w:eastAsia="MS Mincho" w:hAnsiTheme="majorHAnsi" w:cstheme="majorHAnsi"/>
                <w:bCs/>
                <w:sz w:val="16"/>
                <w:szCs w:val="16"/>
                <w:lang w:val="en-CA"/>
              </w:rPr>
              <w:t>= 75%. We downgraded in the domain of inconsistency.</w:t>
            </w:r>
          </w:p>
        </w:tc>
        <w:tc>
          <w:tcPr>
            <w:tcW w:w="1506" w:type="dxa"/>
            <w:vMerge/>
            <w:tcBorders>
              <w:right w:val="single" w:sz="4" w:space="0" w:color="auto"/>
            </w:tcBorders>
          </w:tcPr>
          <w:p w14:paraId="0C531D30"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6AEF0D6A"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1281F4F5"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Indirectness</w:t>
            </w:r>
          </w:p>
        </w:tc>
        <w:tc>
          <w:tcPr>
            <w:tcW w:w="2237" w:type="dxa"/>
            <w:tcMar>
              <w:top w:w="29" w:type="dxa"/>
              <w:left w:w="58" w:type="dxa"/>
              <w:bottom w:w="29" w:type="dxa"/>
              <w:right w:w="58" w:type="dxa"/>
            </w:tcMar>
            <w:vAlign w:val="center"/>
          </w:tcPr>
          <w:p w14:paraId="1E9F1E11" w14:textId="77777777" w:rsidR="00D12264" w:rsidRPr="00F953A8" w:rsidRDefault="00D12264" w:rsidP="009C1F61">
            <w:pPr>
              <w:spacing w:after="160"/>
              <w:rPr>
                <w:rFonts w:ascii="Calibri" w:eastAsia="MS Mincho" w:hAnsi="Calibri" w:cs="Times New Roman"/>
                <w:bCs/>
                <w:color w:val="FF0000"/>
                <w:sz w:val="16"/>
                <w:szCs w:val="16"/>
                <w:lang w:val="en-CA"/>
              </w:rPr>
            </w:pPr>
            <w:r w:rsidRPr="00F953A8">
              <w:rPr>
                <w:rFonts w:ascii="Calibri" w:eastAsia="MS Mincho" w:hAnsi="Calibri" w:cs="Times New Roman"/>
                <w:bCs/>
                <w:color w:val="FF0000"/>
                <w:sz w:val="16"/>
                <w:szCs w:val="16"/>
                <w:lang w:val="en-CA"/>
              </w:rPr>
              <w:t>Not serious</w:t>
            </w:r>
          </w:p>
          <w:p w14:paraId="59513B74"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serious (-1)</w:t>
            </w:r>
          </w:p>
          <w:p w14:paraId="1C62C3B5"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13FAC62E"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Overall the included studies recruited patients with osteoarthritis of the knee. Also, they were predominantly female and patients aged over 60, which reflected the general population. We did not downgrade in the domain of indirectness.</w:t>
            </w:r>
          </w:p>
        </w:tc>
        <w:tc>
          <w:tcPr>
            <w:tcW w:w="1506" w:type="dxa"/>
            <w:vMerge/>
            <w:tcBorders>
              <w:right w:val="single" w:sz="4" w:space="0" w:color="auto"/>
            </w:tcBorders>
          </w:tcPr>
          <w:p w14:paraId="16919ADF"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72A79A17"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6FE28262"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Imprecision</w:t>
            </w:r>
          </w:p>
        </w:tc>
        <w:tc>
          <w:tcPr>
            <w:tcW w:w="2237" w:type="dxa"/>
            <w:tcMar>
              <w:top w:w="29" w:type="dxa"/>
              <w:left w:w="58" w:type="dxa"/>
              <w:bottom w:w="29" w:type="dxa"/>
              <w:right w:w="58" w:type="dxa"/>
            </w:tcMar>
            <w:vAlign w:val="center"/>
          </w:tcPr>
          <w:p w14:paraId="5FB0D293" w14:textId="77777777" w:rsidR="00D12264" w:rsidRPr="00283EAC" w:rsidRDefault="00D12264" w:rsidP="009C1F61">
            <w:pPr>
              <w:spacing w:after="160"/>
              <w:rPr>
                <w:rFonts w:ascii="Calibri" w:eastAsia="MS Mincho" w:hAnsi="Calibri" w:cs="Times New Roman"/>
                <w:bCs/>
                <w:color w:val="FF0000"/>
                <w:sz w:val="16"/>
                <w:szCs w:val="16"/>
                <w:lang w:val="en-CA"/>
              </w:rPr>
            </w:pPr>
            <w:r w:rsidRPr="00283EAC">
              <w:rPr>
                <w:rFonts w:ascii="Calibri" w:eastAsia="MS Mincho" w:hAnsi="Calibri" w:cs="Times New Roman"/>
                <w:bCs/>
                <w:color w:val="FF0000"/>
                <w:sz w:val="16"/>
                <w:szCs w:val="16"/>
                <w:lang w:val="en-CA"/>
              </w:rPr>
              <w:t>Not serious</w:t>
            </w:r>
          </w:p>
          <w:p w14:paraId="1D8B3DAD"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serious (-1)</w:t>
            </w:r>
          </w:p>
          <w:p w14:paraId="01C9DB63"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37F207A8" w14:textId="1AAE4906"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In meta-analysis, we pooled 1258 patients and the mean difference was a small effect size, which corresponded to 0.4 g/dl (95%CI 0.</w:t>
            </w:r>
            <w:r w:rsidR="002611B5">
              <w:rPr>
                <w:rFonts w:asciiTheme="majorHAnsi" w:eastAsia="MS Mincho" w:hAnsiTheme="majorHAnsi" w:cstheme="majorHAnsi"/>
                <w:bCs/>
                <w:sz w:val="16"/>
                <w:szCs w:val="16"/>
                <w:lang w:val="en-CA"/>
              </w:rPr>
              <w:t>2</w:t>
            </w:r>
            <w:r>
              <w:rPr>
                <w:rFonts w:asciiTheme="majorHAnsi" w:eastAsia="MS Mincho" w:hAnsiTheme="majorHAnsi" w:cstheme="majorHAnsi"/>
                <w:bCs/>
                <w:sz w:val="16"/>
                <w:szCs w:val="16"/>
                <w:lang w:val="en-CA"/>
              </w:rPr>
              <w:t>-0.</w:t>
            </w:r>
            <w:r w:rsidR="002611B5">
              <w:rPr>
                <w:rFonts w:asciiTheme="majorHAnsi" w:eastAsia="MS Mincho" w:hAnsiTheme="majorHAnsi" w:cstheme="majorHAnsi"/>
                <w:bCs/>
                <w:sz w:val="16"/>
                <w:szCs w:val="16"/>
                <w:lang w:val="en-CA"/>
              </w:rPr>
              <w:t>9</w:t>
            </w:r>
            <w:r>
              <w:rPr>
                <w:rFonts w:asciiTheme="majorHAnsi" w:eastAsia="MS Mincho" w:hAnsiTheme="majorHAnsi" w:cstheme="majorHAnsi"/>
                <w:bCs/>
                <w:sz w:val="16"/>
                <w:szCs w:val="16"/>
                <w:lang w:val="en-CA"/>
              </w:rPr>
              <w:t>) hemoglobin decrease. The degree of hemoglobin reduction does not clinically influence patients’ health and does not require transfusion. We did not downgrade in the domain of imprecision.</w:t>
            </w:r>
          </w:p>
        </w:tc>
        <w:tc>
          <w:tcPr>
            <w:tcW w:w="1506" w:type="dxa"/>
            <w:vMerge/>
            <w:tcBorders>
              <w:right w:val="single" w:sz="4" w:space="0" w:color="auto"/>
            </w:tcBorders>
          </w:tcPr>
          <w:p w14:paraId="5B1C95B1"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5F6EAF90"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22CF48B0"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Publication Bias</w:t>
            </w:r>
          </w:p>
        </w:tc>
        <w:tc>
          <w:tcPr>
            <w:tcW w:w="2237" w:type="dxa"/>
            <w:tcMar>
              <w:top w:w="29" w:type="dxa"/>
              <w:left w:w="58" w:type="dxa"/>
              <w:bottom w:w="29" w:type="dxa"/>
              <w:right w:w="58" w:type="dxa"/>
            </w:tcMar>
            <w:vAlign w:val="center"/>
          </w:tcPr>
          <w:p w14:paraId="052443CF" w14:textId="77777777" w:rsidR="00D12264" w:rsidRPr="008236AD" w:rsidRDefault="00D12264" w:rsidP="009C1F61">
            <w:pPr>
              <w:spacing w:after="160"/>
              <w:rPr>
                <w:rFonts w:ascii="Calibri" w:eastAsia="MS Mincho" w:hAnsi="Calibri" w:cs="Times New Roman"/>
                <w:bCs/>
                <w:color w:val="FF0000"/>
                <w:sz w:val="16"/>
                <w:szCs w:val="16"/>
                <w:lang w:val="en-CA"/>
              </w:rPr>
            </w:pPr>
            <w:r w:rsidRPr="008236AD">
              <w:rPr>
                <w:rFonts w:ascii="Calibri" w:eastAsia="MS Mincho" w:hAnsi="Calibri" w:cs="Times New Roman"/>
                <w:bCs/>
                <w:color w:val="FF0000"/>
                <w:sz w:val="16"/>
                <w:szCs w:val="16"/>
                <w:lang w:val="en-CA"/>
              </w:rPr>
              <w:t>Undetected</w:t>
            </w:r>
          </w:p>
          <w:p w14:paraId="5B4A14B2"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Strongly suspected (-1)</w:t>
            </w:r>
          </w:p>
        </w:tc>
        <w:tc>
          <w:tcPr>
            <w:tcW w:w="4320" w:type="dxa"/>
            <w:tcMar>
              <w:top w:w="29" w:type="dxa"/>
              <w:left w:w="58" w:type="dxa"/>
              <w:bottom w:w="29" w:type="dxa"/>
              <w:right w:w="58" w:type="dxa"/>
            </w:tcMar>
            <w:vAlign w:val="center"/>
          </w:tcPr>
          <w:p w14:paraId="4408C8DB"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In</w:t>
            </w:r>
            <w:r>
              <w:rPr>
                <w:rFonts w:asciiTheme="majorHAnsi" w:eastAsia="MS Mincho" w:hAnsiTheme="majorHAnsi" w:cstheme="majorHAnsi"/>
                <w:bCs/>
                <w:sz w:val="16"/>
                <w:szCs w:val="16"/>
                <w:lang w:val="en-CA"/>
              </w:rPr>
              <w:t xml:space="preserve"> the</w:t>
            </w:r>
            <w:r w:rsidRPr="004A2697">
              <w:rPr>
                <w:rFonts w:asciiTheme="majorHAnsi" w:eastAsia="MS Mincho" w:hAnsiTheme="majorHAnsi" w:cstheme="majorHAnsi"/>
                <w:bCs/>
                <w:sz w:val="16"/>
                <w:szCs w:val="16"/>
                <w:lang w:val="en-CA"/>
              </w:rPr>
              <w:t xml:space="preserve"> f</w:t>
            </w:r>
            <w:r>
              <w:rPr>
                <w:rFonts w:asciiTheme="majorHAnsi" w:eastAsia="MS Mincho" w:hAnsiTheme="majorHAnsi" w:cstheme="majorHAnsi"/>
                <w:bCs/>
                <w:sz w:val="16"/>
                <w:szCs w:val="16"/>
                <w:lang w:val="en-CA"/>
              </w:rPr>
              <w:t>unnel</w:t>
            </w:r>
            <w:r w:rsidRPr="004A2697">
              <w:rPr>
                <w:rFonts w:asciiTheme="majorHAnsi" w:eastAsia="MS Mincho" w:hAnsiTheme="majorHAnsi" w:cstheme="majorHAnsi"/>
                <w:bCs/>
                <w:sz w:val="16"/>
                <w:szCs w:val="16"/>
                <w:lang w:val="en-CA"/>
              </w:rPr>
              <w:t xml:space="preserve"> plot, studies were symmetrically distribute</w:t>
            </w:r>
            <w:r>
              <w:rPr>
                <w:rFonts w:asciiTheme="majorHAnsi" w:eastAsia="MS Mincho" w:hAnsiTheme="majorHAnsi" w:cstheme="majorHAnsi"/>
                <w:bCs/>
                <w:sz w:val="16"/>
                <w:szCs w:val="16"/>
                <w:lang w:val="en-CA"/>
              </w:rPr>
              <w:t>d.</w:t>
            </w:r>
          </w:p>
        </w:tc>
        <w:tc>
          <w:tcPr>
            <w:tcW w:w="1506" w:type="dxa"/>
            <w:vMerge/>
            <w:tcBorders>
              <w:right w:val="single" w:sz="4" w:space="0" w:color="auto"/>
            </w:tcBorders>
          </w:tcPr>
          <w:p w14:paraId="200E4B62"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34F176D1"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345213A9"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Other</w:t>
            </w:r>
          </w:p>
          <w:p w14:paraId="4BC906E5" w14:textId="77777777" w:rsidR="00D12264" w:rsidRPr="00FA6CF1" w:rsidRDefault="00D12264" w:rsidP="009C1F61">
            <w:pPr>
              <w:spacing w:after="160"/>
              <w:rPr>
                <w:rFonts w:ascii="Calibri" w:eastAsia="MS Mincho" w:hAnsi="Calibri" w:cs="Times New Roman"/>
                <w:bCs/>
                <w:sz w:val="16"/>
                <w:szCs w:val="16"/>
                <w:lang w:val="en-CA"/>
              </w:rPr>
            </w:pPr>
            <w:r w:rsidRPr="00FA6CF1">
              <w:rPr>
                <w:rFonts w:ascii="Calibri" w:eastAsia="MS Mincho" w:hAnsi="Calibri" w:cs="Times New Roman"/>
                <w:bCs/>
                <w:sz w:val="16"/>
                <w:szCs w:val="16"/>
                <w:lang w:val="en-CA"/>
              </w:rPr>
              <w:t>(upgrading factors, circle all that apply)</w:t>
            </w:r>
          </w:p>
        </w:tc>
        <w:tc>
          <w:tcPr>
            <w:tcW w:w="2237" w:type="dxa"/>
            <w:tcMar>
              <w:top w:w="29" w:type="dxa"/>
              <w:left w:w="58" w:type="dxa"/>
              <w:bottom w:w="29" w:type="dxa"/>
              <w:right w:w="58" w:type="dxa"/>
            </w:tcMar>
            <w:vAlign w:val="center"/>
          </w:tcPr>
          <w:p w14:paraId="7A1A6A7C"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Large effect (+1 or +2)</w:t>
            </w:r>
          </w:p>
          <w:p w14:paraId="62741B72"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Dose response (+1)</w:t>
            </w:r>
          </w:p>
          <w:p w14:paraId="1B4DBCC2" w14:textId="77777777" w:rsidR="00D12264" w:rsidRPr="00372A0D" w:rsidRDefault="00D12264" w:rsidP="009C1F61">
            <w:pPr>
              <w:spacing w:after="160"/>
              <w:rPr>
                <w:rFonts w:ascii="Calibri" w:eastAsia="MS Mincho" w:hAnsi="Calibri" w:cs="Times New Roman"/>
                <w:bCs/>
                <w:sz w:val="16"/>
                <w:szCs w:val="16"/>
                <w:lang w:val="en-CA"/>
              </w:rPr>
            </w:pPr>
            <w:r w:rsidRPr="00372A0D">
              <w:rPr>
                <w:rFonts w:ascii="Calibri" w:eastAsia="MS Mincho" w:hAnsi="Calibri" w:cs="Times New Roman"/>
                <w:bCs/>
                <w:sz w:val="16"/>
                <w:szCs w:val="16"/>
                <w:lang w:val="en-CA"/>
              </w:rPr>
              <w:t>Plausible confounding opposing the effect (+1)</w:t>
            </w:r>
          </w:p>
        </w:tc>
        <w:tc>
          <w:tcPr>
            <w:tcW w:w="4320" w:type="dxa"/>
            <w:tcMar>
              <w:top w:w="29" w:type="dxa"/>
              <w:left w:w="58" w:type="dxa"/>
              <w:bottom w:w="29" w:type="dxa"/>
              <w:right w:w="58" w:type="dxa"/>
            </w:tcMar>
            <w:vAlign w:val="center"/>
          </w:tcPr>
          <w:p w14:paraId="104F17E0"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The effect is less significant and there is no plausible reason to rate up. </w:t>
            </w:r>
          </w:p>
        </w:tc>
        <w:tc>
          <w:tcPr>
            <w:tcW w:w="1506" w:type="dxa"/>
            <w:vMerge/>
            <w:tcBorders>
              <w:right w:val="single" w:sz="4" w:space="0" w:color="auto"/>
            </w:tcBorders>
          </w:tcPr>
          <w:p w14:paraId="4553A519" w14:textId="77777777" w:rsidR="00D12264" w:rsidRPr="00FA6CF1" w:rsidRDefault="00D12264" w:rsidP="009C1F61">
            <w:pPr>
              <w:spacing w:after="160"/>
              <w:rPr>
                <w:rFonts w:ascii="Calibri" w:eastAsia="MS Mincho" w:hAnsi="Calibri" w:cs="Times New Roman"/>
                <w:b/>
                <w:bCs/>
                <w:sz w:val="16"/>
                <w:szCs w:val="16"/>
                <w:lang w:val="en-CA"/>
              </w:rPr>
            </w:pPr>
          </w:p>
        </w:tc>
      </w:tr>
    </w:tbl>
    <w:p w14:paraId="2E67F563" w14:textId="77777777" w:rsidR="00D12264" w:rsidRPr="00FA6CF1" w:rsidRDefault="00D12264" w:rsidP="00D12264">
      <w:pPr>
        <w:rPr>
          <w:rFonts w:ascii="Calibri" w:eastAsia="Times New Roman" w:hAnsi="Calibri" w:cs="Times New Roman"/>
        </w:rPr>
      </w:pPr>
    </w:p>
    <w:p w14:paraId="653D990D" w14:textId="77777777" w:rsidR="00D12264" w:rsidRPr="00FA6CF1" w:rsidRDefault="00D12264" w:rsidP="00D12264">
      <w:pPr>
        <w:rPr>
          <w:rFonts w:ascii="Calibri" w:eastAsia="Times New Roman" w:hAnsi="Calibri" w:cs="Times New Roman"/>
        </w:rPr>
      </w:pPr>
    </w:p>
    <w:p w14:paraId="07256982" w14:textId="77777777" w:rsidR="00D12264" w:rsidRPr="00FA6CF1" w:rsidRDefault="00D12264" w:rsidP="00D12264">
      <w:pPr>
        <w:rPr>
          <w:rFonts w:ascii="Calibri" w:eastAsia="Times New Roman" w:hAnsi="Calibri" w:cs="Times New Roman"/>
        </w:rPr>
      </w:pPr>
    </w:p>
    <w:p w14:paraId="414D5547" w14:textId="77777777" w:rsidR="00D12264" w:rsidRPr="00FA6CF1" w:rsidRDefault="00D12264" w:rsidP="00D12264">
      <w:pPr>
        <w:rPr>
          <w:rFonts w:ascii="Calibri" w:eastAsia="Times New Roman" w:hAnsi="Calibri" w:cs="Times New Roman"/>
        </w:rPr>
      </w:pPr>
    </w:p>
    <w:p w14:paraId="4ECD4F59" w14:textId="77777777" w:rsidR="00D12264" w:rsidRPr="00FA6CF1" w:rsidRDefault="00D12264" w:rsidP="00D12264">
      <w:pPr>
        <w:rPr>
          <w:rFonts w:ascii="Calibri" w:eastAsia="Times New Roman" w:hAnsi="Calibri" w:cs="Times New Roman"/>
        </w:rPr>
      </w:pPr>
    </w:p>
    <w:p w14:paraId="3569D8E8" w14:textId="77777777" w:rsidR="00D12264" w:rsidRDefault="00D12264" w:rsidP="00D12264">
      <w:pPr>
        <w:rPr>
          <w:rFonts w:ascii="Calibri" w:eastAsia="Times New Roman" w:hAnsi="Calibri" w:cs="Times New Roman"/>
        </w:rPr>
      </w:pPr>
    </w:p>
    <w:p w14:paraId="38B31260" w14:textId="77777777" w:rsidR="00D12264" w:rsidRDefault="00D12264" w:rsidP="00D12264">
      <w:pPr>
        <w:rPr>
          <w:rFonts w:ascii="Calibri" w:eastAsia="Times New Roman" w:hAnsi="Calibri" w:cs="Times New Roman"/>
        </w:rPr>
      </w:pPr>
    </w:p>
    <w:p w14:paraId="48D4BB66" w14:textId="77777777" w:rsidR="00D12264" w:rsidRDefault="00D12264" w:rsidP="00D12264">
      <w:pPr>
        <w:rPr>
          <w:rFonts w:ascii="Calibri" w:eastAsia="Times New Roman" w:hAnsi="Calibri" w:cs="Times New Roman"/>
        </w:rPr>
      </w:pPr>
    </w:p>
    <w:p w14:paraId="24261FAF" w14:textId="77777777" w:rsidR="00D12264" w:rsidRDefault="00D12264" w:rsidP="00D12264">
      <w:pPr>
        <w:rPr>
          <w:rFonts w:ascii="Calibri" w:eastAsia="Times New Roman" w:hAnsi="Calibri" w:cs="Times New Roman"/>
        </w:rPr>
      </w:pPr>
    </w:p>
    <w:p w14:paraId="659A3811" w14:textId="77777777" w:rsidR="00D12264" w:rsidRDefault="00D12264" w:rsidP="00D12264">
      <w:pPr>
        <w:rPr>
          <w:rFonts w:ascii="Calibri" w:eastAsia="Times New Roman" w:hAnsi="Calibri" w:cs="Times New Roman"/>
        </w:rPr>
      </w:pPr>
    </w:p>
    <w:p w14:paraId="6865C68E" w14:textId="77777777" w:rsidR="00D12264" w:rsidRDefault="00D12264" w:rsidP="00D12264">
      <w:pPr>
        <w:rPr>
          <w:rFonts w:ascii="Calibri" w:eastAsia="Times New Roman" w:hAnsi="Calibri" w:cs="Times New Roman"/>
        </w:rPr>
      </w:pPr>
    </w:p>
    <w:p w14:paraId="237F2262" w14:textId="77777777" w:rsidR="00D12264" w:rsidRDefault="00D12264" w:rsidP="00D12264">
      <w:pPr>
        <w:rPr>
          <w:rFonts w:ascii="Calibri" w:eastAsia="Times New Roman" w:hAnsi="Calibri" w:cs="Times New Roman"/>
        </w:rPr>
      </w:pPr>
    </w:p>
    <w:p w14:paraId="5F56D98C" w14:textId="77777777" w:rsidR="00D12264" w:rsidRDefault="00D12264" w:rsidP="00D12264">
      <w:pPr>
        <w:rPr>
          <w:rFonts w:ascii="Calibri" w:eastAsia="Times New Roman" w:hAnsi="Calibri" w:cs="Times New Roman"/>
        </w:rPr>
      </w:pPr>
    </w:p>
    <w:p w14:paraId="21E4C8CC" w14:textId="77777777" w:rsidR="00D12264" w:rsidRDefault="00D12264" w:rsidP="00D12264">
      <w:pPr>
        <w:rPr>
          <w:rFonts w:ascii="Calibri" w:eastAsia="Times New Roman" w:hAnsi="Calibri" w:cs="Times New Roman"/>
        </w:rPr>
      </w:pPr>
    </w:p>
    <w:p w14:paraId="60F7F407" w14:textId="65671A69" w:rsidR="00D12264" w:rsidRPr="00890779" w:rsidRDefault="00D12264" w:rsidP="00D12264">
      <w:pPr>
        <w:rPr>
          <w:rFonts w:eastAsia="Times New Roman"/>
          <w:b/>
        </w:rPr>
      </w:pPr>
      <w:r w:rsidRPr="00890779">
        <w:rPr>
          <w:rFonts w:eastAsia="Times New Roman"/>
          <w:b/>
        </w:rPr>
        <w:t xml:space="preserve">Appendix </w:t>
      </w:r>
      <w:r w:rsidR="0040231B">
        <w:rPr>
          <w:rFonts w:eastAsia="Times New Roman"/>
          <w:b/>
        </w:rPr>
        <w:t>K</w:t>
      </w:r>
      <w:r>
        <w:rPr>
          <w:rFonts w:eastAsia="Times New Roman"/>
          <w:b/>
        </w:rPr>
        <w:t>.5</w:t>
      </w:r>
      <w:r w:rsidRPr="00890779">
        <w:rPr>
          <w:rFonts w:eastAsia="Times New Roman"/>
          <w:b/>
        </w:rPr>
        <w:t>: Assessment of the quality of the evidence for transfusion rate</w:t>
      </w:r>
    </w:p>
    <w:p w14:paraId="23599A0B" w14:textId="77777777" w:rsidR="00D12264" w:rsidRPr="00C94AE6" w:rsidRDefault="00D12264" w:rsidP="00D12264">
      <w:pPr>
        <w:rPr>
          <w:rFonts w:eastAsia="Times New Roman"/>
          <w:sz w:val="20"/>
        </w:rPr>
      </w:pPr>
    </w:p>
    <w:tbl>
      <w:tblPr>
        <w:tblStyle w:val="TableGrid"/>
        <w:tblW w:w="10079" w:type="dxa"/>
        <w:jc w:val="center"/>
        <w:tblBorders>
          <w:left w:val="none" w:sz="0" w:space="0" w:color="auto"/>
          <w:right w:val="none" w:sz="0" w:space="0" w:color="auto"/>
        </w:tblBorders>
        <w:tblLook w:val="01E0" w:firstRow="1" w:lastRow="1" w:firstColumn="1" w:lastColumn="1" w:noHBand="0" w:noVBand="0"/>
      </w:tblPr>
      <w:tblGrid>
        <w:gridCol w:w="2016"/>
        <w:gridCol w:w="2237"/>
        <w:gridCol w:w="4320"/>
        <w:gridCol w:w="1506"/>
      </w:tblGrid>
      <w:tr w:rsidR="00D12264" w:rsidRPr="00FA6CF1" w14:paraId="140717CE" w14:textId="77777777" w:rsidTr="009C1F61">
        <w:trPr>
          <w:jc w:val="center"/>
        </w:trPr>
        <w:tc>
          <w:tcPr>
            <w:tcW w:w="2016" w:type="dxa"/>
            <w:tcBorders>
              <w:top w:val="single" w:sz="4" w:space="0" w:color="auto"/>
              <w:left w:val="single" w:sz="4" w:space="0" w:color="auto"/>
              <w:bottom w:val="double" w:sz="4" w:space="0" w:color="auto"/>
            </w:tcBorders>
            <w:shd w:val="clear" w:color="auto" w:fill="auto"/>
            <w:tcMar>
              <w:top w:w="29" w:type="dxa"/>
              <w:left w:w="58" w:type="dxa"/>
              <w:bottom w:w="29" w:type="dxa"/>
              <w:right w:w="58" w:type="dxa"/>
            </w:tcMar>
            <w:vAlign w:val="center"/>
          </w:tcPr>
          <w:p w14:paraId="3F77683F"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GRADE domains</w:t>
            </w:r>
          </w:p>
        </w:tc>
        <w:tc>
          <w:tcPr>
            <w:tcW w:w="2237"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62E700F7"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Rating </w:t>
            </w:r>
          </w:p>
          <w:p w14:paraId="531CF9E4"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(remember borderline or close calls are possible)</w:t>
            </w:r>
          </w:p>
        </w:tc>
        <w:tc>
          <w:tcPr>
            <w:tcW w:w="4320"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19AB8AD4"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Footnotes</w:t>
            </w:r>
          </w:p>
          <w:p w14:paraId="64F9A92D"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(explain reasons for rating down)</w:t>
            </w:r>
          </w:p>
        </w:tc>
        <w:tc>
          <w:tcPr>
            <w:tcW w:w="1506" w:type="dxa"/>
            <w:tcBorders>
              <w:top w:val="single" w:sz="4" w:space="0" w:color="auto"/>
              <w:bottom w:val="double" w:sz="4" w:space="0" w:color="auto"/>
              <w:right w:val="single" w:sz="4" w:space="0" w:color="auto"/>
            </w:tcBorders>
            <w:shd w:val="clear" w:color="auto" w:fill="auto"/>
            <w:vAlign w:val="center"/>
          </w:tcPr>
          <w:p w14:paraId="58DC0C19"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Certainty of the evidence </w:t>
            </w:r>
          </w:p>
          <w:p w14:paraId="0CC8F260"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(Circle one)</w:t>
            </w:r>
          </w:p>
        </w:tc>
      </w:tr>
      <w:tr w:rsidR="00D12264" w:rsidRPr="00FA6CF1" w14:paraId="7E3B1AAF" w14:textId="77777777" w:rsidTr="009C1F61">
        <w:trPr>
          <w:jc w:val="center"/>
        </w:trPr>
        <w:tc>
          <w:tcPr>
            <w:tcW w:w="2016" w:type="dxa"/>
            <w:tcBorders>
              <w:top w:val="double" w:sz="4" w:space="0" w:color="auto"/>
              <w:left w:val="single" w:sz="4" w:space="0" w:color="auto"/>
            </w:tcBorders>
            <w:tcMar>
              <w:top w:w="29" w:type="dxa"/>
              <w:left w:w="58" w:type="dxa"/>
              <w:bottom w:w="29" w:type="dxa"/>
              <w:right w:w="58" w:type="dxa"/>
            </w:tcMar>
            <w:vAlign w:val="center"/>
          </w:tcPr>
          <w:p w14:paraId="6F2905E3"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Risk of Bias</w:t>
            </w:r>
          </w:p>
          <w:p w14:paraId="13D3BD52"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Cs/>
                <w:i/>
                <w:sz w:val="16"/>
                <w:szCs w:val="16"/>
                <w:lang w:val="en-CA"/>
              </w:rPr>
              <w:t>(use the Risk of Bias tables and figures)</w:t>
            </w:r>
          </w:p>
        </w:tc>
        <w:tc>
          <w:tcPr>
            <w:tcW w:w="2237" w:type="dxa"/>
            <w:tcBorders>
              <w:top w:val="double" w:sz="4" w:space="0" w:color="auto"/>
            </w:tcBorders>
            <w:tcMar>
              <w:top w:w="29" w:type="dxa"/>
              <w:left w:w="58" w:type="dxa"/>
              <w:bottom w:w="29" w:type="dxa"/>
              <w:right w:w="58" w:type="dxa"/>
            </w:tcMar>
            <w:vAlign w:val="center"/>
          </w:tcPr>
          <w:p w14:paraId="3D129CF9" w14:textId="77777777" w:rsidR="00D12264" w:rsidRPr="00BC1F0D" w:rsidRDefault="00D12264" w:rsidP="009C1F61">
            <w:pPr>
              <w:spacing w:after="160"/>
              <w:rPr>
                <w:rFonts w:ascii="Calibri" w:eastAsia="MS Mincho" w:hAnsi="Calibri" w:cs="Times New Roman"/>
                <w:bCs/>
                <w:color w:val="FF0000"/>
                <w:sz w:val="16"/>
                <w:szCs w:val="16"/>
                <w:lang w:val="en-CA"/>
              </w:rPr>
            </w:pPr>
            <w:r w:rsidRPr="00BC1F0D">
              <w:rPr>
                <w:rFonts w:ascii="Calibri" w:eastAsia="MS Mincho" w:hAnsi="Calibri" w:cs="Times New Roman"/>
                <w:bCs/>
                <w:color w:val="FF0000"/>
                <w:sz w:val="16"/>
                <w:szCs w:val="16"/>
                <w:lang w:val="en-CA"/>
              </w:rPr>
              <w:t>Not serious</w:t>
            </w:r>
          </w:p>
          <w:p w14:paraId="0E1CE06A"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serious (-1)</w:t>
            </w:r>
          </w:p>
          <w:p w14:paraId="04DA01D3"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very serious (-2)</w:t>
            </w:r>
          </w:p>
        </w:tc>
        <w:tc>
          <w:tcPr>
            <w:tcW w:w="4320" w:type="dxa"/>
            <w:tcBorders>
              <w:top w:val="double" w:sz="4" w:space="0" w:color="auto"/>
            </w:tcBorders>
            <w:tcMar>
              <w:top w:w="29" w:type="dxa"/>
              <w:left w:w="58" w:type="dxa"/>
              <w:bottom w:w="29" w:type="dxa"/>
              <w:right w:w="58" w:type="dxa"/>
            </w:tcMar>
            <w:vAlign w:val="center"/>
          </w:tcPr>
          <w:p w14:paraId="3A84C1C9"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We could not find specific problems </w:t>
            </w:r>
            <w:r>
              <w:rPr>
                <w:rFonts w:asciiTheme="majorHAnsi" w:eastAsia="MS Mincho" w:hAnsiTheme="majorHAnsi" w:cstheme="majorHAnsi"/>
                <w:bCs/>
                <w:sz w:val="16"/>
                <w:szCs w:val="16"/>
                <w:lang w:val="en-CA"/>
              </w:rPr>
              <w:t>regarding</w:t>
            </w:r>
            <w:r w:rsidRPr="004A2697">
              <w:rPr>
                <w:rFonts w:asciiTheme="majorHAnsi" w:eastAsia="MS Mincho" w:hAnsiTheme="majorHAnsi" w:cstheme="majorHAnsi"/>
                <w:bCs/>
                <w:sz w:val="16"/>
                <w:szCs w:val="16"/>
                <w:lang w:val="en-CA"/>
              </w:rPr>
              <w:t xml:space="preserve"> randomization in the included studies</w:t>
            </w:r>
            <w:r>
              <w:rPr>
                <w:rFonts w:asciiTheme="majorHAnsi" w:eastAsia="MS Mincho" w:hAnsiTheme="majorHAnsi" w:cstheme="majorHAnsi"/>
                <w:bCs/>
                <w:sz w:val="16"/>
                <w:szCs w:val="16"/>
                <w:lang w:val="en-CA"/>
              </w:rPr>
              <w:t xml:space="preserve">, except </w:t>
            </w:r>
            <w:proofErr w:type="spellStart"/>
            <w:r>
              <w:rPr>
                <w:rFonts w:asciiTheme="majorHAnsi" w:eastAsia="MS Mincho" w:hAnsiTheme="majorHAnsi" w:cstheme="majorHAnsi"/>
                <w:bCs/>
                <w:sz w:val="16"/>
                <w:szCs w:val="16"/>
                <w:lang w:val="en-CA"/>
              </w:rPr>
              <w:t>Vundelinckx</w:t>
            </w:r>
            <w:proofErr w:type="spellEnd"/>
            <w:r>
              <w:rPr>
                <w:rFonts w:asciiTheme="majorHAnsi" w:eastAsia="MS Mincho" w:hAnsiTheme="majorHAnsi" w:cstheme="majorHAnsi"/>
                <w:bCs/>
                <w:sz w:val="16"/>
                <w:szCs w:val="16"/>
                <w:lang w:val="en-CA"/>
              </w:rPr>
              <w:t xml:space="preserve"> 2013 (weighted 6.9%)</w:t>
            </w:r>
            <w:r w:rsidRPr="004A2697">
              <w:rPr>
                <w:rFonts w:asciiTheme="majorHAnsi" w:eastAsia="MS Mincho" w:hAnsiTheme="majorHAnsi" w:cstheme="majorHAnsi"/>
                <w:bCs/>
                <w:sz w:val="16"/>
                <w:szCs w:val="16"/>
                <w:lang w:val="en-CA"/>
              </w:rPr>
              <w:t>.</w:t>
            </w:r>
            <w:r>
              <w:rPr>
                <w:rFonts w:asciiTheme="majorHAnsi" w:eastAsia="MS Mincho" w:hAnsiTheme="majorHAnsi" w:cstheme="majorHAnsi"/>
                <w:bCs/>
                <w:sz w:val="16"/>
                <w:szCs w:val="16"/>
                <w:lang w:val="en-CA"/>
              </w:rPr>
              <w:t xml:space="preserve"> In surgical trials, surgeons and scrub nurses could not be blinded (performance bias). Nonetheless, risk of bias was minimized and we did not downgrade in the domain of risk of bias.</w:t>
            </w:r>
          </w:p>
        </w:tc>
        <w:tc>
          <w:tcPr>
            <w:tcW w:w="1506" w:type="dxa"/>
            <w:vMerge w:val="restart"/>
            <w:tcBorders>
              <w:top w:val="double" w:sz="4" w:space="0" w:color="auto"/>
              <w:right w:val="single" w:sz="4" w:space="0" w:color="auto"/>
            </w:tcBorders>
            <w:vAlign w:val="center"/>
          </w:tcPr>
          <w:p w14:paraId="120B1676" w14:textId="77777777" w:rsidR="00D12264" w:rsidRPr="00D76D36" w:rsidRDefault="00D12264" w:rsidP="009C1F61">
            <w:pPr>
              <w:spacing w:after="160"/>
              <w:jc w:val="center"/>
              <w:rPr>
                <w:rFonts w:ascii="Symbol" w:eastAsia="MS Mincho" w:hAnsi="Symbol" w:cs="Times New Roman"/>
                <w:sz w:val="16"/>
                <w:szCs w:val="16"/>
                <w:lang w:val="en-CA"/>
              </w:rPr>
            </w:pPr>
            <w:r w:rsidRPr="00D76D36">
              <w:rPr>
                <w:rFonts w:ascii="Symbol" w:eastAsia="MS Mincho" w:hAnsi="Symbol" w:cs="Times New Roman"/>
                <w:sz w:val="16"/>
                <w:szCs w:val="16"/>
                <w:lang w:val="en-CA"/>
              </w:rPr>
              <w:t></w:t>
            </w:r>
            <w:r w:rsidRPr="00D76D36">
              <w:rPr>
                <w:rFonts w:ascii="Symbol" w:eastAsia="MS Mincho" w:hAnsi="Symbol" w:cs="Times New Roman"/>
                <w:sz w:val="16"/>
                <w:szCs w:val="16"/>
                <w:lang w:val="en-CA"/>
              </w:rPr>
              <w:t></w:t>
            </w:r>
            <w:r w:rsidRPr="00D76D36">
              <w:rPr>
                <w:rFonts w:ascii="Symbol" w:eastAsia="MS Mincho" w:hAnsi="Symbol" w:cs="Times New Roman"/>
                <w:sz w:val="16"/>
                <w:szCs w:val="16"/>
                <w:lang w:val="en-CA"/>
              </w:rPr>
              <w:t></w:t>
            </w:r>
            <w:r w:rsidRPr="00D76D36">
              <w:rPr>
                <w:rFonts w:ascii="Symbol" w:eastAsia="MS Mincho" w:hAnsi="Symbol" w:cs="Times New Roman"/>
                <w:sz w:val="16"/>
                <w:szCs w:val="16"/>
                <w:lang w:val="en-CA"/>
              </w:rPr>
              <w:t></w:t>
            </w:r>
            <w:r w:rsidRPr="00D76D36">
              <w:rPr>
                <w:rFonts w:ascii="Symbol" w:eastAsia="MS Mincho" w:hAnsi="Symbol" w:cs="Times New Roman"/>
                <w:sz w:val="16"/>
                <w:szCs w:val="16"/>
                <w:lang w:val="en-CA"/>
              </w:rPr>
              <w:t></w:t>
            </w:r>
          </w:p>
          <w:p w14:paraId="4E69698F" w14:textId="77777777" w:rsidR="00D12264" w:rsidRPr="00D76D36" w:rsidRDefault="00D12264" w:rsidP="009C1F61">
            <w:pPr>
              <w:spacing w:after="160"/>
              <w:jc w:val="center"/>
              <w:rPr>
                <w:rFonts w:ascii="Calibri" w:eastAsia="MS Mincho" w:hAnsi="Calibri" w:cs="Times New Roman"/>
                <w:sz w:val="16"/>
                <w:szCs w:val="16"/>
                <w:lang w:val="en-CA" w:eastAsia="nb-NO"/>
              </w:rPr>
            </w:pPr>
            <w:r w:rsidRPr="00D76D36">
              <w:rPr>
                <w:rFonts w:ascii="Calibri" w:eastAsia="MS Mincho" w:hAnsi="Calibri" w:cs="Times New Roman"/>
                <w:sz w:val="16"/>
                <w:szCs w:val="16"/>
                <w:lang w:val="en-CA" w:eastAsia="nb-NO"/>
              </w:rPr>
              <w:t>High</w:t>
            </w:r>
          </w:p>
          <w:p w14:paraId="3D0371BC" w14:textId="77777777" w:rsidR="00D12264" w:rsidRPr="00D76D36" w:rsidRDefault="00D12264" w:rsidP="009C1F61">
            <w:pPr>
              <w:spacing w:after="160"/>
              <w:jc w:val="center"/>
              <w:rPr>
                <w:rFonts w:ascii="Symbol" w:eastAsia="MS Mincho" w:hAnsi="Symbol" w:cs="Times New Roman"/>
                <w:sz w:val="16"/>
                <w:szCs w:val="16"/>
                <w:lang w:val="en-CA"/>
              </w:rPr>
            </w:pPr>
          </w:p>
          <w:p w14:paraId="482F0A85" w14:textId="77777777" w:rsidR="00D12264" w:rsidRPr="00D76D36" w:rsidRDefault="00D12264" w:rsidP="009C1F61">
            <w:pPr>
              <w:spacing w:after="160"/>
              <w:jc w:val="center"/>
              <w:rPr>
                <w:rFonts w:ascii="Symbol" w:eastAsia="MS Mincho" w:hAnsi="Symbol" w:cs="Times New Roman"/>
                <w:color w:val="FF0000"/>
                <w:sz w:val="16"/>
                <w:szCs w:val="16"/>
                <w:lang w:val="en-CA"/>
              </w:rPr>
            </w:pPr>
            <w:r w:rsidRPr="00D76D36">
              <w:rPr>
                <w:rFonts w:ascii="Symbol" w:eastAsia="MS Mincho" w:hAnsi="Symbol" w:cs="Times New Roman"/>
                <w:color w:val="FF0000"/>
                <w:sz w:val="16"/>
                <w:szCs w:val="16"/>
                <w:lang w:val="en-CA"/>
              </w:rPr>
              <w:t></w:t>
            </w:r>
            <w:r w:rsidRPr="00D76D36">
              <w:rPr>
                <w:rFonts w:ascii="Symbol" w:eastAsia="MS Mincho" w:hAnsi="Symbol" w:cs="Times New Roman"/>
                <w:color w:val="FF0000"/>
                <w:sz w:val="16"/>
                <w:szCs w:val="16"/>
                <w:lang w:val="en-CA"/>
              </w:rPr>
              <w:t></w:t>
            </w:r>
            <w:r w:rsidRPr="00D76D36">
              <w:rPr>
                <w:rFonts w:ascii="Symbol" w:eastAsia="MS Mincho" w:hAnsi="Symbol" w:cs="Times New Roman"/>
                <w:color w:val="FF0000"/>
                <w:sz w:val="16"/>
                <w:szCs w:val="16"/>
                <w:lang w:val="en-CA"/>
              </w:rPr>
              <w:t></w:t>
            </w:r>
            <w:r w:rsidRPr="00D76D36">
              <w:rPr>
                <w:rFonts w:ascii="Wingdings 2" w:eastAsia="MS Mincho" w:hAnsi="Wingdings 2" w:cs="Times New Roman"/>
                <w:color w:val="FF0000"/>
                <w:sz w:val="16"/>
                <w:szCs w:val="16"/>
                <w:lang w:val="en-CA"/>
              </w:rPr>
              <w:t></w:t>
            </w:r>
          </w:p>
          <w:p w14:paraId="4FB36642" w14:textId="77777777" w:rsidR="00D12264" w:rsidRPr="00D76D36" w:rsidRDefault="00D12264" w:rsidP="009C1F61">
            <w:pPr>
              <w:spacing w:after="160"/>
              <w:jc w:val="center"/>
              <w:rPr>
                <w:rFonts w:ascii="Calibri" w:eastAsia="MS Mincho" w:hAnsi="Calibri" w:cs="Times New Roman"/>
                <w:color w:val="FF0000"/>
                <w:sz w:val="16"/>
                <w:szCs w:val="16"/>
                <w:lang w:val="en-CA" w:eastAsia="nb-NO"/>
              </w:rPr>
            </w:pPr>
            <w:r w:rsidRPr="00D76D36">
              <w:rPr>
                <w:rFonts w:ascii="Calibri" w:eastAsia="MS Mincho" w:hAnsi="Calibri" w:cs="Times New Roman"/>
                <w:color w:val="FF0000"/>
                <w:sz w:val="16"/>
                <w:szCs w:val="16"/>
                <w:lang w:val="en-CA"/>
              </w:rPr>
              <w:t>Moderate</w:t>
            </w:r>
          </w:p>
          <w:p w14:paraId="3066D8EE" w14:textId="77777777" w:rsidR="00D12264" w:rsidRPr="00D76D36" w:rsidRDefault="00D12264" w:rsidP="009C1F61">
            <w:pPr>
              <w:spacing w:after="160"/>
              <w:jc w:val="center"/>
              <w:rPr>
                <w:rFonts w:ascii="Calibri" w:eastAsia="MS Mincho" w:hAnsi="Calibri" w:cs="Times New Roman"/>
                <w:sz w:val="16"/>
                <w:szCs w:val="16"/>
                <w:lang w:val="en-CA" w:eastAsia="nb-NO"/>
              </w:rPr>
            </w:pPr>
          </w:p>
          <w:p w14:paraId="749CEBF6" w14:textId="77777777" w:rsidR="00D12264" w:rsidRPr="00D76D36" w:rsidRDefault="00D12264" w:rsidP="009C1F61">
            <w:pPr>
              <w:spacing w:after="160"/>
              <w:jc w:val="center"/>
              <w:rPr>
                <w:rFonts w:ascii="Calibri" w:eastAsia="MS Mincho" w:hAnsi="Calibri" w:cs="Times New Roman"/>
                <w:sz w:val="16"/>
                <w:szCs w:val="16"/>
                <w:lang w:val="en-CA" w:eastAsia="nb-NO"/>
              </w:rPr>
            </w:pPr>
            <w:r w:rsidRPr="00D76D36">
              <w:rPr>
                <w:rFonts w:ascii="Symbol" w:eastAsia="MS Mincho" w:hAnsi="Symbol" w:cs="Times New Roman"/>
                <w:sz w:val="16"/>
                <w:szCs w:val="16"/>
                <w:lang w:val="en-CA"/>
              </w:rPr>
              <w:t></w:t>
            </w:r>
            <w:r w:rsidRPr="00D76D36">
              <w:rPr>
                <w:rFonts w:ascii="Symbol" w:eastAsia="MS Mincho" w:hAnsi="Symbol" w:cs="Times New Roman"/>
                <w:sz w:val="16"/>
                <w:szCs w:val="16"/>
                <w:lang w:val="en-CA"/>
              </w:rPr>
              <w:t></w:t>
            </w:r>
            <w:r w:rsidRPr="00D76D36">
              <w:rPr>
                <w:rFonts w:ascii="Wingdings 2" w:eastAsia="MS Mincho" w:hAnsi="Wingdings 2" w:cs="Times New Roman"/>
                <w:sz w:val="16"/>
                <w:szCs w:val="16"/>
                <w:lang w:val="en-CA"/>
              </w:rPr>
              <w:t></w:t>
            </w:r>
            <w:r w:rsidRPr="00D76D36">
              <w:rPr>
                <w:rFonts w:ascii="Wingdings 2" w:eastAsia="MS Mincho" w:hAnsi="Wingdings 2" w:cs="Times New Roman"/>
                <w:sz w:val="16"/>
                <w:szCs w:val="16"/>
                <w:lang w:val="en-CA"/>
              </w:rPr>
              <w:t></w:t>
            </w:r>
          </w:p>
          <w:p w14:paraId="431543D6" w14:textId="77777777" w:rsidR="00D12264" w:rsidRPr="00D76D36" w:rsidRDefault="00D12264" w:rsidP="009C1F61">
            <w:pPr>
              <w:spacing w:after="160"/>
              <w:jc w:val="center"/>
              <w:rPr>
                <w:rFonts w:ascii="Calibri" w:eastAsia="MS Mincho" w:hAnsi="Calibri" w:cs="Times New Roman"/>
                <w:sz w:val="16"/>
                <w:szCs w:val="16"/>
                <w:lang w:val="en-CA" w:eastAsia="nb-NO"/>
              </w:rPr>
            </w:pPr>
            <w:r w:rsidRPr="00D76D36">
              <w:rPr>
                <w:rFonts w:ascii="Calibri" w:eastAsia="MS Mincho" w:hAnsi="Calibri" w:cs="Times New Roman"/>
                <w:sz w:val="16"/>
                <w:szCs w:val="16"/>
                <w:lang w:val="en-CA" w:eastAsia="nb-NO"/>
              </w:rPr>
              <w:t>Low</w:t>
            </w:r>
          </w:p>
          <w:p w14:paraId="21D8522B" w14:textId="77777777" w:rsidR="00D12264" w:rsidRPr="00FA6CF1" w:rsidRDefault="00D12264" w:rsidP="009C1F61">
            <w:pPr>
              <w:spacing w:after="160"/>
              <w:jc w:val="center"/>
              <w:rPr>
                <w:rFonts w:ascii="Symbol" w:eastAsia="MS Mincho" w:hAnsi="Symbol" w:cs="Times New Roman"/>
                <w:sz w:val="16"/>
                <w:szCs w:val="16"/>
                <w:lang w:val="en-CA"/>
              </w:rPr>
            </w:pPr>
          </w:p>
          <w:p w14:paraId="02D504E8"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Symbol" w:eastAsia="MS Mincho" w:hAnsi="Symbol"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p>
          <w:p w14:paraId="4129DE1F"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Calibri" w:eastAsia="MS Mincho" w:hAnsi="Calibri" w:cs="Times New Roman"/>
                <w:sz w:val="16"/>
                <w:szCs w:val="16"/>
                <w:lang w:val="en-CA"/>
              </w:rPr>
              <w:t>Very Low</w:t>
            </w:r>
          </w:p>
        </w:tc>
      </w:tr>
      <w:tr w:rsidR="00D12264" w:rsidRPr="00FA6CF1" w14:paraId="1C01EFDE"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3C7BB119"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Inconsistency</w:t>
            </w:r>
          </w:p>
        </w:tc>
        <w:tc>
          <w:tcPr>
            <w:tcW w:w="2237" w:type="dxa"/>
            <w:tcMar>
              <w:top w:w="29" w:type="dxa"/>
              <w:left w:w="58" w:type="dxa"/>
              <w:bottom w:w="29" w:type="dxa"/>
              <w:right w:w="58" w:type="dxa"/>
            </w:tcMar>
            <w:vAlign w:val="center"/>
          </w:tcPr>
          <w:p w14:paraId="7045D9EE" w14:textId="77777777" w:rsidR="00D12264" w:rsidRPr="00AE4C56" w:rsidRDefault="00D12264" w:rsidP="009C1F61">
            <w:pPr>
              <w:spacing w:after="160"/>
              <w:rPr>
                <w:rFonts w:ascii="Calibri" w:eastAsia="MS Mincho" w:hAnsi="Calibri" w:cs="Times New Roman"/>
                <w:bCs/>
                <w:color w:val="FF0000"/>
                <w:sz w:val="16"/>
                <w:szCs w:val="16"/>
                <w:lang w:val="en-CA"/>
              </w:rPr>
            </w:pPr>
            <w:r w:rsidRPr="00AE4C56">
              <w:rPr>
                <w:rFonts w:ascii="Calibri" w:eastAsia="MS Mincho" w:hAnsi="Calibri" w:cs="Times New Roman"/>
                <w:bCs/>
                <w:color w:val="FF0000"/>
                <w:sz w:val="16"/>
                <w:szCs w:val="16"/>
                <w:lang w:val="en-CA"/>
              </w:rPr>
              <w:t>Not serious</w:t>
            </w:r>
          </w:p>
          <w:p w14:paraId="42C67519" w14:textId="77777777" w:rsidR="00D12264" w:rsidRPr="00AE4C56" w:rsidRDefault="00D12264" w:rsidP="009C1F61">
            <w:pPr>
              <w:spacing w:after="160"/>
              <w:rPr>
                <w:rFonts w:ascii="Calibri" w:eastAsia="MS Mincho" w:hAnsi="Calibri" w:cs="Times New Roman"/>
                <w:bCs/>
                <w:sz w:val="16"/>
                <w:szCs w:val="16"/>
                <w:lang w:val="en-CA"/>
              </w:rPr>
            </w:pPr>
            <w:r w:rsidRPr="00AE4C56">
              <w:rPr>
                <w:rFonts w:ascii="Calibri" w:eastAsia="MS Mincho" w:hAnsi="Calibri" w:cs="Times New Roman"/>
                <w:bCs/>
                <w:sz w:val="16"/>
                <w:szCs w:val="16"/>
                <w:lang w:val="en-CA"/>
              </w:rPr>
              <w:t>serious (-1)</w:t>
            </w:r>
          </w:p>
          <w:p w14:paraId="528720D0"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2502B883" w14:textId="77777777" w:rsidR="00D12264" w:rsidRPr="005B375A"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point estimates of the included studies were almost on the same level and the confidence intervals overlapped. The heterogeneity test presented p-value 0.28 with I</w:t>
            </w:r>
            <w:r>
              <w:rPr>
                <w:rFonts w:asciiTheme="majorHAnsi" w:eastAsia="MS Mincho" w:hAnsiTheme="majorHAnsi" w:cstheme="majorHAnsi"/>
                <w:bCs/>
                <w:sz w:val="16"/>
                <w:szCs w:val="16"/>
                <w:vertAlign w:val="superscript"/>
                <w:lang w:val="en-CA"/>
              </w:rPr>
              <w:t>2</w:t>
            </w:r>
            <w:r>
              <w:rPr>
                <w:rFonts w:asciiTheme="majorHAnsi" w:eastAsia="MS Mincho" w:hAnsiTheme="majorHAnsi" w:cstheme="majorHAnsi"/>
                <w:bCs/>
                <w:sz w:val="16"/>
                <w:szCs w:val="16"/>
                <w:lang w:val="en-CA"/>
              </w:rPr>
              <w:t>= 19%. We did not downgrade in the domain of inconsistency.</w:t>
            </w:r>
          </w:p>
        </w:tc>
        <w:tc>
          <w:tcPr>
            <w:tcW w:w="1506" w:type="dxa"/>
            <w:vMerge/>
            <w:tcBorders>
              <w:right w:val="single" w:sz="4" w:space="0" w:color="auto"/>
            </w:tcBorders>
          </w:tcPr>
          <w:p w14:paraId="746D311C"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223BED33"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115BD252"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Indirectness</w:t>
            </w:r>
          </w:p>
        </w:tc>
        <w:tc>
          <w:tcPr>
            <w:tcW w:w="2237" w:type="dxa"/>
            <w:tcMar>
              <w:top w:w="29" w:type="dxa"/>
              <w:left w:w="58" w:type="dxa"/>
              <w:bottom w:w="29" w:type="dxa"/>
              <w:right w:w="58" w:type="dxa"/>
            </w:tcMar>
            <w:vAlign w:val="center"/>
          </w:tcPr>
          <w:p w14:paraId="0AA04FE3" w14:textId="77777777" w:rsidR="00D12264" w:rsidRPr="00BE426F" w:rsidRDefault="00D12264" w:rsidP="009C1F61">
            <w:pPr>
              <w:spacing w:after="160"/>
              <w:rPr>
                <w:rFonts w:ascii="Calibri" w:eastAsia="MS Mincho" w:hAnsi="Calibri" w:cs="Times New Roman"/>
                <w:bCs/>
                <w:color w:val="FF0000"/>
                <w:sz w:val="16"/>
                <w:szCs w:val="16"/>
                <w:lang w:val="en-CA"/>
              </w:rPr>
            </w:pPr>
            <w:r w:rsidRPr="00BE426F">
              <w:rPr>
                <w:rFonts w:ascii="Calibri" w:eastAsia="MS Mincho" w:hAnsi="Calibri" w:cs="Times New Roman"/>
                <w:bCs/>
                <w:color w:val="FF0000"/>
                <w:sz w:val="16"/>
                <w:szCs w:val="16"/>
                <w:lang w:val="en-CA"/>
              </w:rPr>
              <w:t>Not serious</w:t>
            </w:r>
          </w:p>
          <w:p w14:paraId="43255E81"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serious (-1)</w:t>
            </w:r>
          </w:p>
          <w:p w14:paraId="0BA746B2"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2B4FC73F"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Overall the included studies recruited patients with osteoarthritis of the knee. Also, females and age over 60 were predominant in the pooled population, which highly reflected the general population. We did not downgrade in the domain of indirectness.</w:t>
            </w:r>
          </w:p>
        </w:tc>
        <w:tc>
          <w:tcPr>
            <w:tcW w:w="1506" w:type="dxa"/>
            <w:vMerge/>
            <w:tcBorders>
              <w:right w:val="single" w:sz="4" w:space="0" w:color="auto"/>
            </w:tcBorders>
          </w:tcPr>
          <w:p w14:paraId="2E9B98A6"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57F70816"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70078FA5"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Imprecision</w:t>
            </w:r>
          </w:p>
        </w:tc>
        <w:tc>
          <w:tcPr>
            <w:tcW w:w="2237" w:type="dxa"/>
            <w:tcMar>
              <w:top w:w="29" w:type="dxa"/>
              <w:left w:w="58" w:type="dxa"/>
              <w:bottom w:w="29" w:type="dxa"/>
              <w:right w:w="58" w:type="dxa"/>
            </w:tcMar>
            <w:vAlign w:val="center"/>
          </w:tcPr>
          <w:p w14:paraId="6D1EB023" w14:textId="77777777" w:rsidR="00D12264" w:rsidRPr="009336D5" w:rsidRDefault="00D12264" w:rsidP="009C1F61">
            <w:pPr>
              <w:spacing w:after="160"/>
              <w:rPr>
                <w:rFonts w:ascii="Calibri" w:eastAsia="MS Mincho" w:hAnsi="Calibri" w:cs="Times New Roman"/>
                <w:bCs/>
                <w:sz w:val="16"/>
                <w:szCs w:val="16"/>
                <w:lang w:val="en-CA"/>
              </w:rPr>
            </w:pPr>
            <w:r w:rsidRPr="009336D5">
              <w:rPr>
                <w:rFonts w:ascii="Calibri" w:eastAsia="MS Mincho" w:hAnsi="Calibri" w:cs="Times New Roman"/>
                <w:bCs/>
                <w:sz w:val="16"/>
                <w:szCs w:val="16"/>
                <w:lang w:val="en-CA"/>
              </w:rPr>
              <w:t>Not serious</w:t>
            </w:r>
          </w:p>
          <w:p w14:paraId="4D583104" w14:textId="77777777" w:rsidR="00D12264" w:rsidRPr="00FB1298" w:rsidRDefault="00D12264" w:rsidP="009C1F61">
            <w:pPr>
              <w:spacing w:after="160"/>
              <w:rPr>
                <w:rFonts w:ascii="Calibri" w:eastAsia="MS Mincho" w:hAnsi="Calibri" w:cs="Times New Roman"/>
                <w:bCs/>
                <w:color w:val="FF0000"/>
                <w:sz w:val="16"/>
                <w:szCs w:val="16"/>
                <w:lang w:val="en-CA"/>
              </w:rPr>
            </w:pPr>
            <w:r w:rsidRPr="00FB1298">
              <w:rPr>
                <w:rFonts w:ascii="Calibri" w:eastAsia="MS Mincho" w:hAnsi="Calibri" w:cs="Times New Roman"/>
                <w:bCs/>
                <w:color w:val="FF0000"/>
                <w:sz w:val="16"/>
                <w:szCs w:val="16"/>
                <w:lang w:val="en-CA"/>
              </w:rPr>
              <w:t>serious (-1)</w:t>
            </w:r>
          </w:p>
          <w:p w14:paraId="4B5D3B7F"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52C05732"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risk difference was 0.04 (95%CI -0.09 – 0.01, p=0.16). The overall transfusion rate in standard TKA was 20% and the transfusion rate potentially would be shifted to 11% to 21% with wide confidence interval. Also, the pooled events were 98, which is not enough to be confidently conclusive. We downgraded in the domain of imprecision.</w:t>
            </w:r>
          </w:p>
        </w:tc>
        <w:tc>
          <w:tcPr>
            <w:tcW w:w="1506" w:type="dxa"/>
            <w:vMerge/>
            <w:tcBorders>
              <w:right w:val="single" w:sz="4" w:space="0" w:color="auto"/>
            </w:tcBorders>
          </w:tcPr>
          <w:p w14:paraId="37DDEDC2"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105922E0"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3AFE2150"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Publication Bias</w:t>
            </w:r>
          </w:p>
        </w:tc>
        <w:tc>
          <w:tcPr>
            <w:tcW w:w="2237" w:type="dxa"/>
            <w:tcMar>
              <w:top w:w="29" w:type="dxa"/>
              <w:left w:w="58" w:type="dxa"/>
              <w:bottom w:w="29" w:type="dxa"/>
              <w:right w:w="58" w:type="dxa"/>
            </w:tcMar>
            <w:vAlign w:val="center"/>
          </w:tcPr>
          <w:p w14:paraId="4250D46D" w14:textId="77777777" w:rsidR="00D12264" w:rsidRPr="00D76D36" w:rsidRDefault="00D12264" w:rsidP="009C1F61">
            <w:pPr>
              <w:spacing w:after="160"/>
              <w:rPr>
                <w:rFonts w:ascii="Calibri" w:eastAsia="MS Mincho" w:hAnsi="Calibri" w:cs="Times New Roman"/>
                <w:bCs/>
                <w:color w:val="FF0000"/>
                <w:sz w:val="16"/>
                <w:szCs w:val="16"/>
                <w:lang w:val="en-CA"/>
              </w:rPr>
            </w:pPr>
            <w:r w:rsidRPr="00D76D36">
              <w:rPr>
                <w:rFonts w:ascii="Calibri" w:eastAsia="MS Mincho" w:hAnsi="Calibri" w:cs="Times New Roman"/>
                <w:bCs/>
                <w:color w:val="FF0000"/>
                <w:sz w:val="16"/>
                <w:szCs w:val="16"/>
                <w:lang w:val="en-CA"/>
              </w:rPr>
              <w:t>Undetected</w:t>
            </w:r>
          </w:p>
          <w:p w14:paraId="31F235B0" w14:textId="77777777" w:rsidR="00D12264" w:rsidRPr="005F3579" w:rsidRDefault="00D12264" w:rsidP="009C1F61">
            <w:pPr>
              <w:spacing w:after="160"/>
              <w:rPr>
                <w:rFonts w:ascii="Calibri" w:eastAsia="MS Mincho" w:hAnsi="Calibri" w:cs="Times New Roman"/>
                <w:bCs/>
                <w:sz w:val="16"/>
                <w:szCs w:val="16"/>
                <w:lang w:val="en-CA"/>
              </w:rPr>
            </w:pPr>
            <w:r w:rsidRPr="00D76D36">
              <w:rPr>
                <w:rFonts w:ascii="Calibri" w:eastAsia="MS Mincho" w:hAnsi="Calibri" w:cs="Times New Roman"/>
                <w:bCs/>
                <w:color w:val="000000" w:themeColor="text1"/>
                <w:sz w:val="16"/>
                <w:szCs w:val="16"/>
                <w:lang w:val="en-CA"/>
              </w:rPr>
              <w:t>Strongly suspected (-1)</w:t>
            </w:r>
          </w:p>
        </w:tc>
        <w:tc>
          <w:tcPr>
            <w:tcW w:w="4320" w:type="dxa"/>
            <w:tcMar>
              <w:top w:w="29" w:type="dxa"/>
              <w:left w:w="58" w:type="dxa"/>
              <w:bottom w:w="29" w:type="dxa"/>
              <w:right w:w="58" w:type="dxa"/>
            </w:tcMar>
            <w:vAlign w:val="center"/>
          </w:tcPr>
          <w:p w14:paraId="34025D7B"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In </w:t>
            </w:r>
            <w:r>
              <w:rPr>
                <w:rFonts w:asciiTheme="majorHAnsi" w:eastAsia="MS Mincho" w:hAnsiTheme="majorHAnsi" w:cstheme="majorHAnsi"/>
                <w:bCs/>
                <w:sz w:val="16"/>
                <w:szCs w:val="16"/>
                <w:lang w:val="en-CA"/>
              </w:rPr>
              <w:t xml:space="preserve">the </w:t>
            </w:r>
            <w:r w:rsidRPr="004A2697">
              <w:rPr>
                <w:rFonts w:asciiTheme="majorHAnsi" w:eastAsia="MS Mincho" w:hAnsiTheme="majorHAnsi" w:cstheme="majorHAnsi"/>
                <w:bCs/>
                <w:sz w:val="16"/>
                <w:szCs w:val="16"/>
                <w:lang w:val="en-CA"/>
              </w:rPr>
              <w:t>f</w:t>
            </w:r>
            <w:r>
              <w:rPr>
                <w:rFonts w:asciiTheme="majorHAnsi" w:eastAsia="MS Mincho" w:hAnsiTheme="majorHAnsi" w:cstheme="majorHAnsi"/>
                <w:bCs/>
                <w:sz w:val="16"/>
                <w:szCs w:val="16"/>
                <w:lang w:val="en-CA"/>
              </w:rPr>
              <w:t>unnel plot, there was empty area around the right bottom area, suggesting studies with a small sample size might not have been published because of negative results for TKA using PSI. However, the number of included studies was small and the presence of publication bias is debatable. We did not downgrade in the domain of publication bias.</w:t>
            </w:r>
          </w:p>
        </w:tc>
        <w:tc>
          <w:tcPr>
            <w:tcW w:w="1506" w:type="dxa"/>
            <w:vMerge/>
            <w:tcBorders>
              <w:right w:val="single" w:sz="4" w:space="0" w:color="auto"/>
            </w:tcBorders>
          </w:tcPr>
          <w:p w14:paraId="59C90888"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53ED9A0E"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469B9A35"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Other</w:t>
            </w:r>
          </w:p>
          <w:p w14:paraId="5A77AAE2" w14:textId="77777777" w:rsidR="00D12264" w:rsidRPr="00FA6CF1" w:rsidRDefault="00D12264" w:rsidP="009C1F61">
            <w:pPr>
              <w:spacing w:after="160"/>
              <w:rPr>
                <w:rFonts w:ascii="Calibri" w:eastAsia="MS Mincho" w:hAnsi="Calibri" w:cs="Times New Roman"/>
                <w:bCs/>
                <w:sz w:val="16"/>
                <w:szCs w:val="16"/>
                <w:lang w:val="en-CA"/>
              </w:rPr>
            </w:pPr>
            <w:r w:rsidRPr="00FA6CF1">
              <w:rPr>
                <w:rFonts w:ascii="Calibri" w:eastAsia="MS Mincho" w:hAnsi="Calibri" w:cs="Times New Roman"/>
                <w:bCs/>
                <w:sz w:val="16"/>
                <w:szCs w:val="16"/>
                <w:lang w:val="en-CA"/>
              </w:rPr>
              <w:t>(upgrading factors, circle all that apply)</w:t>
            </w:r>
          </w:p>
        </w:tc>
        <w:tc>
          <w:tcPr>
            <w:tcW w:w="2237" w:type="dxa"/>
            <w:tcMar>
              <w:top w:w="29" w:type="dxa"/>
              <w:left w:w="58" w:type="dxa"/>
              <w:bottom w:w="29" w:type="dxa"/>
              <w:right w:w="58" w:type="dxa"/>
            </w:tcMar>
            <w:vAlign w:val="center"/>
          </w:tcPr>
          <w:p w14:paraId="3BE392D1"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Large effect (+1 or +2)</w:t>
            </w:r>
          </w:p>
          <w:p w14:paraId="2484394A"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Dose response (+1 )</w:t>
            </w:r>
          </w:p>
          <w:p w14:paraId="7F968BCB"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Plausible confounding opposing the effect (+1)</w:t>
            </w:r>
          </w:p>
        </w:tc>
        <w:tc>
          <w:tcPr>
            <w:tcW w:w="4320" w:type="dxa"/>
            <w:tcMar>
              <w:top w:w="29" w:type="dxa"/>
              <w:left w:w="58" w:type="dxa"/>
              <w:bottom w:w="29" w:type="dxa"/>
              <w:right w:w="58" w:type="dxa"/>
            </w:tcMar>
            <w:vAlign w:val="center"/>
          </w:tcPr>
          <w:p w14:paraId="4D7DE8A0"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The effect is less significant and there is no plausible reason to rate up. </w:t>
            </w:r>
          </w:p>
        </w:tc>
        <w:tc>
          <w:tcPr>
            <w:tcW w:w="1506" w:type="dxa"/>
            <w:vMerge/>
            <w:tcBorders>
              <w:right w:val="single" w:sz="4" w:space="0" w:color="auto"/>
            </w:tcBorders>
          </w:tcPr>
          <w:p w14:paraId="725221F5" w14:textId="77777777" w:rsidR="00D12264" w:rsidRPr="00FA6CF1" w:rsidRDefault="00D12264" w:rsidP="009C1F61">
            <w:pPr>
              <w:spacing w:after="160"/>
              <w:rPr>
                <w:rFonts w:ascii="Calibri" w:eastAsia="MS Mincho" w:hAnsi="Calibri" w:cs="Times New Roman"/>
                <w:b/>
                <w:bCs/>
                <w:sz w:val="16"/>
                <w:szCs w:val="16"/>
                <w:lang w:val="en-CA"/>
              </w:rPr>
            </w:pPr>
          </w:p>
        </w:tc>
      </w:tr>
    </w:tbl>
    <w:p w14:paraId="5D3BF435" w14:textId="77777777" w:rsidR="00D12264" w:rsidRPr="00FA6CF1" w:rsidRDefault="00D12264" w:rsidP="00D12264">
      <w:pPr>
        <w:rPr>
          <w:rFonts w:ascii="Calibri" w:eastAsia="Times New Roman" w:hAnsi="Calibri" w:cs="Times New Roman"/>
        </w:rPr>
      </w:pPr>
    </w:p>
    <w:p w14:paraId="60148F63" w14:textId="77777777" w:rsidR="00D12264" w:rsidRPr="00FA6CF1" w:rsidRDefault="00D12264" w:rsidP="00D12264">
      <w:pPr>
        <w:rPr>
          <w:rFonts w:ascii="Calibri" w:eastAsia="Times New Roman" w:hAnsi="Calibri" w:cs="Times New Roman"/>
        </w:rPr>
      </w:pPr>
    </w:p>
    <w:p w14:paraId="0FCDA5A8" w14:textId="77777777" w:rsidR="00D12264" w:rsidRPr="00FA6CF1" w:rsidRDefault="00D12264" w:rsidP="00D12264">
      <w:pPr>
        <w:rPr>
          <w:rFonts w:ascii="Calibri" w:eastAsia="Times New Roman" w:hAnsi="Calibri" w:cs="Times New Roman"/>
        </w:rPr>
      </w:pPr>
    </w:p>
    <w:p w14:paraId="5F58C598" w14:textId="77777777" w:rsidR="00D12264" w:rsidRPr="00FA6CF1" w:rsidRDefault="00D12264" w:rsidP="00D12264">
      <w:pPr>
        <w:rPr>
          <w:rFonts w:ascii="Calibri" w:eastAsia="Times New Roman" w:hAnsi="Calibri" w:cs="Times New Roman"/>
        </w:rPr>
      </w:pPr>
    </w:p>
    <w:p w14:paraId="6BA12E75" w14:textId="77777777" w:rsidR="00D12264" w:rsidRDefault="00D12264" w:rsidP="00D12264">
      <w:pPr>
        <w:rPr>
          <w:rFonts w:ascii="Calibri" w:eastAsia="Times New Roman" w:hAnsi="Calibri" w:cs="Times New Roman"/>
        </w:rPr>
      </w:pPr>
    </w:p>
    <w:p w14:paraId="21804155" w14:textId="77777777" w:rsidR="00D12264" w:rsidRDefault="00D12264" w:rsidP="00D12264">
      <w:pPr>
        <w:rPr>
          <w:rFonts w:ascii="Calibri" w:eastAsia="Times New Roman" w:hAnsi="Calibri" w:cs="Times New Roman"/>
        </w:rPr>
      </w:pPr>
    </w:p>
    <w:p w14:paraId="5057130C" w14:textId="77777777" w:rsidR="00D12264" w:rsidRDefault="00D12264" w:rsidP="00D12264">
      <w:pPr>
        <w:rPr>
          <w:rFonts w:ascii="Calibri" w:eastAsia="Times New Roman" w:hAnsi="Calibri" w:cs="Times New Roman"/>
        </w:rPr>
      </w:pPr>
    </w:p>
    <w:p w14:paraId="3782A3E7" w14:textId="77777777" w:rsidR="00D12264" w:rsidRDefault="00D12264" w:rsidP="00D12264">
      <w:pPr>
        <w:rPr>
          <w:rFonts w:ascii="Calibri" w:eastAsia="Times New Roman" w:hAnsi="Calibri" w:cs="Times New Roman"/>
        </w:rPr>
      </w:pPr>
    </w:p>
    <w:p w14:paraId="29D6A804" w14:textId="77777777" w:rsidR="00D12264" w:rsidRDefault="00D12264" w:rsidP="00D12264">
      <w:pPr>
        <w:rPr>
          <w:rFonts w:ascii="Calibri" w:eastAsia="Times New Roman" w:hAnsi="Calibri" w:cs="Times New Roman"/>
        </w:rPr>
      </w:pPr>
    </w:p>
    <w:p w14:paraId="2AF865CA" w14:textId="77777777" w:rsidR="00D12264" w:rsidRPr="00FA6CF1" w:rsidRDefault="00D12264" w:rsidP="00D12264">
      <w:pPr>
        <w:rPr>
          <w:rFonts w:ascii="Calibri" w:eastAsia="Times New Roman" w:hAnsi="Calibri" w:cs="Times New Roman"/>
        </w:rPr>
      </w:pPr>
    </w:p>
    <w:p w14:paraId="1665C30A" w14:textId="77777777" w:rsidR="00D12264" w:rsidRDefault="00D12264" w:rsidP="00D12264">
      <w:pPr>
        <w:rPr>
          <w:rFonts w:ascii="Calibri" w:eastAsia="Times New Roman" w:hAnsi="Calibri" w:cs="Times New Roman"/>
        </w:rPr>
      </w:pPr>
    </w:p>
    <w:p w14:paraId="58F80324" w14:textId="77777777" w:rsidR="00D12264" w:rsidRDefault="00D12264" w:rsidP="00D12264">
      <w:pPr>
        <w:rPr>
          <w:rFonts w:ascii="Calibri" w:eastAsia="Times New Roman" w:hAnsi="Calibri" w:cs="Times New Roman"/>
        </w:rPr>
      </w:pPr>
    </w:p>
    <w:p w14:paraId="3D9D51DF" w14:textId="54EC3F50" w:rsidR="00D12264" w:rsidRPr="00890779" w:rsidRDefault="00D12264" w:rsidP="00D12264">
      <w:pPr>
        <w:rPr>
          <w:rFonts w:eastAsia="Times New Roman"/>
          <w:b/>
        </w:rPr>
      </w:pPr>
      <w:r w:rsidRPr="00890779">
        <w:rPr>
          <w:rFonts w:eastAsia="Times New Roman"/>
          <w:b/>
        </w:rPr>
        <w:t xml:space="preserve">Appendix </w:t>
      </w:r>
      <w:r w:rsidR="0040231B">
        <w:rPr>
          <w:rFonts w:eastAsia="Times New Roman"/>
          <w:b/>
        </w:rPr>
        <w:t>K</w:t>
      </w:r>
      <w:r>
        <w:rPr>
          <w:rFonts w:eastAsia="Times New Roman"/>
          <w:b/>
        </w:rPr>
        <w:t>.6</w:t>
      </w:r>
      <w:r w:rsidRPr="00890779">
        <w:rPr>
          <w:rFonts w:eastAsia="Times New Roman"/>
          <w:b/>
        </w:rPr>
        <w:t xml:space="preserve">: Assessment of the quality of the evidence for complications </w:t>
      </w:r>
    </w:p>
    <w:p w14:paraId="575AB107" w14:textId="77777777" w:rsidR="00D12264" w:rsidRPr="00C94AE6" w:rsidRDefault="00D12264" w:rsidP="00D12264">
      <w:pPr>
        <w:rPr>
          <w:rFonts w:eastAsia="Times New Roman"/>
          <w:sz w:val="20"/>
        </w:rPr>
      </w:pPr>
    </w:p>
    <w:tbl>
      <w:tblPr>
        <w:tblStyle w:val="TableGrid"/>
        <w:tblW w:w="10079" w:type="dxa"/>
        <w:jc w:val="center"/>
        <w:tblBorders>
          <w:left w:val="none" w:sz="0" w:space="0" w:color="auto"/>
          <w:right w:val="none" w:sz="0" w:space="0" w:color="auto"/>
        </w:tblBorders>
        <w:tblLook w:val="01E0" w:firstRow="1" w:lastRow="1" w:firstColumn="1" w:lastColumn="1" w:noHBand="0" w:noVBand="0"/>
      </w:tblPr>
      <w:tblGrid>
        <w:gridCol w:w="2016"/>
        <w:gridCol w:w="2237"/>
        <w:gridCol w:w="4320"/>
        <w:gridCol w:w="1506"/>
      </w:tblGrid>
      <w:tr w:rsidR="00D12264" w:rsidRPr="00FA6CF1" w14:paraId="12F66E7F" w14:textId="77777777" w:rsidTr="009C1F61">
        <w:trPr>
          <w:jc w:val="center"/>
        </w:trPr>
        <w:tc>
          <w:tcPr>
            <w:tcW w:w="2016" w:type="dxa"/>
            <w:tcBorders>
              <w:top w:val="single" w:sz="4" w:space="0" w:color="auto"/>
              <w:left w:val="single" w:sz="4" w:space="0" w:color="auto"/>
              <w:bottom w:val="double" w:sz="4" w:space="0" w:color="auto"/>
            </w:tcBorders>
            <w:shd w:val="clear" w:color="auto" w:fill="auto"/>
            <w:tcMar>
              <w:top w:w="29" w:type="dxa"/>
              <w:left w:w="58" w:type="dxa"/>
              <w:bottom w:w="29" w:type="dxa"/>
              <w:right w:w="58" w:type="dxa"/>
            </w:tcMar>
            <w:vAlign w:val="center"/>
          </w:tcPr>
          <w:p w14:paraId="4D462B4A"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GRADE domains</w:t>
            </w:r>
          </w:p>
        </w:tc>
        <w:tc>
          <w:tcPr>
            <w:tcW w:w="2237"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17F7963E"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Rating </w:t>
            </w:r>
          </w:p>
          <w:p w14:paraId="104B92A1"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(remember borderline or close calls are possible)</w:t>
            </w:r>
          </w:p>
        </w:tc>
        <w:tc>
          <w:tcPr>
            <w:tcW w:w="4320" w:type="dxa"/>
            <w:tcBorders>
              <w:top w:val="single" w:sz="4" w:space="0" w:color="auto"/>
              <w:bottom w:val="double" w:sz="4" w:space="0" w:color="auto"/>
            </w:tcBorders>
            <w:shd w:val="clear" w:color="auto" w:fill="auto"/>
            <w:tcMar>
              <w:top w:w="29" w:type="dxa"/>
              <w:left w:w="58" w:type="dxa"/>
              <w:bottom w:w="29" w:type="dxa"/>
              <w:right w:w="58" w:type="dxa"/>
            </w:tcMar>
            <w:vAlign w:val="center"/>
          </w:tcPr>
          <w:p w14:paraId="3E44F69E"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Footnotes</w:t>
            </w:r>
          </w:p>
          <w:p w14:paraId="76B5D3DA"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(explain reasons for rating down)</w:t>
            </w:r>
          </w:p>
        </w:tc>
        <w:tc>
          <w:tcPr>
            <w:tcW w:w="1506" w:type="dxa"/>
            <w:tcBorders>
              <w:top w:val="single" w:sz="4" w:space="0" w:color="auto"/>
              <w:bottom w:val="double" w:sz="4" w:space="0" w:color="auto"/>
              <w:right w:val="single" w:sz="4" w:space="0" w:color="auto"/>
            </w:tcBorders>
            <w:shd w:val="clear" w:color="auto" w:fill="auto"/>
            <w:vAlign w:val="center"/>
          </w:tcPr>
          <w:p w14:paraId="388D44D6"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 xml:space="preserve">Certainty of the evidence </w:t>
            </w:r>
          </w:p>
          <w:p w14:paraId="1E969C49" w14:textId="77777777" w:rsidR="00D12264" w:rsidRPr="00FA6CF1" w:rsidRDefault="00D12264" w:rsidP="009C1F61">
            <w:pPr>
              <w:spacing w:after="160"/>
              <w:rPr>
                <w:rFonts w:ascii="Calibri" w:eastAsia="MS Mincho" w:hAnsi="Calibri" w:cs="Times New Roman"/>
                <w:b/>
                <w:bCs/>
                <w:color w:val="000000"/>
                <w:sz w:val="16"/>
                <w:szCs w:val="16"/>
                <w:lang w:val="en-CA"/>
              </w:rPr>
            </w:pPr>
            <w:r w:rsidRPr="00FA6CF1">
              <w:rPr>
                <w:rFonts w:ascii="Calibri" w:eastAsia="MS Mincho" w:hAnsi="Calibri" w:cs="Times New Roman"/>
                <w:b/>
                <w:bCs/>
                <w:color w:val="000000"/>
                <w:sz w:val="16"/>
                <w:szCs w:val="16"/>
                <w:lang w:val="en-CA"/>
              </w:rPr>
              <w:t>(Circle one)</w:t>
            </w:r>
          </w:p>
        </w:tc>
      </w:tr>
      <w:tr w:rsidR="00D12264" w:rsidRPr="00FA6CF1" w14:paraId="4D53BD72" w14:textId="77777777" w:rsidTr="009C1F61">
        <w:trPr>
          <w:jc w:val="center"/>
        </w:trPr>
        <w:tc>
          <w:tcPr>
            <w:tcW w:w="2016" w:type="dxa"/>
            <w:tcBorders>
              <w:top w:val="double" w:sz="4" w:space="0" w:color="auto"/>
              <w:left w:val="single" w:sz="4" w:space="0" w:color="auto"/>
            </w:tcBorders>
            <w:tcMar>
              <w:top w:w="29" w:type="dxa"/>
              <w:left w:w="58" w:type="dxa"/>
              <w:bottom w:w="29" w:type="dxa"/>
              <w:right w:w="58" w:type="dxa"/>
            </w:tcMar>
            <w:vAlign w:val="center"/>
          </w:tcPr>
          <w:p w14:paraId="12F9A6AD"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Risk of Bias</w:t>
            </w:r>
          </w:p>
          <w:p w14:paraId="0E7BF898"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Cs/>
                <w:i/>
                <w:sz w:val="16"/>
                <w:szCs w:val="16"/>
                <w:lang w:val="en-CA"/>
              </w:rPr>
              <w:t>(use the Risk of Bias tables and figures)</w:t>
            </w:r>
          </w:p>
        </w:tc>
        <w:tc>
          <w:tcPr>
            <w:tcW w:w="2237" w:type="dxa"/>
            <w:tcBorders>
              <w:top w:val="double" w:sz="4" w:space="0" w:color="auto"/>
            </w:tcBorders>
            <w:tcMar>
              <w:top w:w="29" w:type="dxa"/>
              <w:left w:w="58" w:type="dxa"/>
              <w:bottom w:w="29" w:type="dxa"/>
              <w:right w:w="58" w:type="dxa"/>
            </w:tcMar>
            <w:vAlign w:val="center"/>
          </w:tcPr>
          <w:p w14:paraId="44FC861B" w14:textId="77777777" w:rsidR="00D12264" w:rsidRPr="00BC1F0D" w:rsidRDefault="00D12264" w:rsidP="009C1F61">
            <w:pPr>
              <w:spacing w:after="160"/>
              <w:rPr>
                <w:rFonts w:ascii="Calibri" w:eastAsia="MS Mincho" w:hAnsi="Calibri" w:cs="Times New Roman"/>
                <w:bCs/>
                <w:color w:val="FF0000"/>
                <w:sz w:val="16"/>
                <w:szCs w:val="16"/>
                <w:lang w:val="en-CA"/>
              </w:rPr>
            </w:pPr>
            <w:r w:rsidRPr="00BC1F0D">
              <w:rPr>
                <w:rFonts w:ascii="Calibri" w:eastAsia="MS Mincho" w:hAnsi="Calibri" w:cs="Times New Roman"/>
                <w:bCs/>
                <w:color w:val="FF0000"/>
                <w:sz w:val="16"/>
                <w:szCs w:val="16"/>
                <w:lang w:val="en-CA"/>
              </w:rPr>
              <w:t>Not serious</w:t>
            </w:r>
          </w:p>
          <w:p w14:paraId="26B19E11"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serious (-1)</w:t>
            </w:r>
          </w:p>
          <w:p w14:paraId="0709A701"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very serious (-2)</w:t>
            </w:r>
          </w:p>
        </w:tc>
        <w:tc>
          <w:tcPr>
            <w:tcW w:w="4320" w:type="dxa"/>
            <w:tcBorders>
              <w:top w:val="double" w:sz="4" w:space="0" w:color="auto"/>
            </w:tcBorders>
            <w:tcMar>
              <w:top w:w="29" w:type="dxa"/>
              <w:left w:w="58" w:type="dxa"/>
              <w:bottom w:w="29" w:type="dxa"/>
              <w:right w:w="58" w:type="dxa"/>
            </w:tcMar>
            <w:vAlign w:val="center"/>
          </w:tcPr>
          <w:p w14:paraId="18588704"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 xml:space="preserve">In non-RCTs, the MINORS score was favorable with low risk of bias. Also, in RCTs, almost all studies properly performed randomization, except </w:t>
            </w:r>
            <w:proofErr w:type="spellStart"/>
            <w:r>
              <w:rPr>
                <w:rFonts w:asciiTheme="majorHAnsi" w:eastAsia="MS Mincho" w:hAnsiTheme="majorHAnsi" w:cstheme="majorHAnsi"/>
                <w:bCs/>
                <w:sz w:val="16"/>
                <w:szCs w:val="16"/>
                <w:lang w:val="en-CA"/>
              </w:rPr>
              <w:t>Vundelinckx</w:t>
            </w:r>
            <w:proofErr w:type="spellEnd"/>
            <w:r>
              <w:rPr>
                <w:rFonts w:asciiTheme="majorHAnsi" w:eastAsia="MS Mincho" w:hAnsiTheme="majorHAnsi" w:cstheme="majorHAnsi"/>
                <w:bCs/>
                <w:sz w:val="16"/>
                <w:szCs w:val="16"/>
                <w:lang w:val="en-CA"/>
              </w:rPr>
              <w:t xml:space="preserve"> 2013 (weighted 9.0%). Also, overall blinding was properly performed. We did not downgrade in the domain of risk of bias.</w:t>
            </w:r>
          </w:p>
        </w:tc>
        <w:tc>
          <w:tcPr>
            <w:tcW w:w="1506" w:type="dxa"/>
            <w:vMerge w:val="restart"/>
            <w:tcBorders>
              <w:top w:val="double" w:sz="4" w:space="0" w:color="auto"/>
              <w:right w:val="single" w:sz="4" w:space="0" w:color="auto"/>
            </w:tcBorders>
            <w:vAlign w:val="center"/>
          </w:tcPr>
          <w:p w14:paraId="17405A08" w14:textId="77777777" w:rsidR="00D12264" w:rsidRPr="00B82C93" w:rsidRDefault="00D12264" w:rsidP="009C1F61">
            <w:pPr>
              <w:spacing w:after="160"/>
              <w:jc w:val="center"/>
              <w:rPr>
                <w:rFonts w:ascii="Symbol" w:eastAsia="MS Mincho" w:hAnsi="Symbol" w:cs="Times New Roman"/>
                <w:sz w:val="16"/>
                <w:szCs w:val="16"/>
                <w:lang w:val="en-CA"/>
              </w:rPr>
            </w:pPr>
            <w:r w:rsidRPr="00B82C93">
              <w:rPr>
                <w:rFonts w:ascii="Symbol" w:eastAsia="MS Mincho" w:hAnsi="Symbol" w:cs="Times New Roman"/>
                <w:sz w:val="16"/>
                <w:szCs w:val="16"/>
                <w:lang w:val="en-CA"/>
              </w:rPr>
              <w:t></w:t>
            </w:r>
            <w:r w:rsidRPr="00B82C93">
              <w:rPr>
                <w:rFonts w:ascii="Symbol" w:eastAsia="MS Mincho" w:hAnsi="Symbol" w:cs="Times New Roman"/>
                <w:sz w:val="16"/>
                <w:szCs w:val="16"/>
                <w:lang w:val="en-CA"/>
              </w:rPr>
              <w:t></w:t>
            </w:r>
            <w:r w:rsidRPr="00B82C93">
              <w:rPr>
                <w:rFonts w:ascii="Symbol" w:eastAsia="MS Mincho" w:hAnsi="Symbol" w:cs="Times New Roman"/>
                <w:sz w:val="16"/>
                <w:szCs w:val="16"/>
                <w:lang w:val="en-CA"/>
              </w:rPr>
              <w:t></w:t>
            </w:r>
            <w:r w:rsidRPr="00B82C93">
              <w:rPr>
                <w:rFonts w:ascii="Symbol" w:eastAsia="MS Mincho" w:hAnsi="Symbol" w:cs="Times New Roman"/>
                <w:sz w:val="16"/>
                <w:szCs w:val="16"/>
                <w:lang w:val="en-CA"/>
              </w:rPr>
              <w:t></w:t>
            </w:r>
            <w:r w:rsidRPr="00B82C93">
              <w:rPr>
                <w:rFonts w:ascii="Symbol" w:eastAsia="MS Mincho" w:hAnsi="Symbol" w:cs="Times New Roman"/>
                <w:sz w:val="16"/>
                <w:szCs w:val="16"/>
                <w:lang w:val="en-CA"/>
              </w:rPr>
              <w:t></w:t>
            </w:r>
          </w:p>
          <w:p w14:paraId="1ACA9384" w14:textId="77777777" w:rsidR="00D12264" w:rsidRPr="00B82C93" w:rsidRDefault="00D12264" w:rsidP="009C1F61">
            <w:pPr>
              <w:spacing w:after="160"/>
              <w:jc w:val="center"/>
              <w:rPr>
                <w:rFonts w:ascii="Calibri" w:eastAsia="MS Mincho" w:hAnsi="Calibri" w:cs="Times New Roman"/>
                <w:sz w:val="16"/>
                <w:szCs w:val="16"/>
                <w:lang w:val="en-CA" w:eastAsia="nb-NO"/>
              </w:rPr>
            </w:pPr>
            <w:r w:rsidRPr="00B82C93">
              <w:rPr>
                <w:rFonts w:ascii="Calibri" w:eastAsia="MS Mincho" w:hAnsi="Calibri" w:cs="Times New Roman"/>
                <w:sz w:val="16"/>
                <w:szCs w:val="16"/>
                <w:lang w:val="en-CA" w:eastAsia="nb-NO"/>
              </w:rPr>
              <w:t>High</w:t>
            </w:r>
          </w:p>
          <w:p w14:paraId="6889E1AD" w14:textId="77777777" w:rsidR="00D12264" w:rsidRPr="00B82C93" w:rsidRDefault="00D12264" w:rsidP="009C1F61">
            <w:pPr>
              <w:spacing w:after="160"/>
              <w:jc w:val="center"/>
              <w:rPr>
                <w:rFonts w:ascii="Symbol" w:eastAsia="MS Mincho" w:hAnsi="Symbol" w:cs="Times New Roman"/>
                <w:sz w:val="16"/>
                <w:szCs w:val="16"/>
                <w:lang w:val="en-CA"/>
              </w:rPr>
            </w:pPr>
          </w:p>
          <w:p w14:paraId="0CA3A8EE" w14:textId="77777777" w:rsidR="00D12264" w:rsidRPr="00EC29D8" w:rsidRDefault="00D12264" w:rsidP="009C1F61">
            <w:pPr>
              <w:spacing w:after="160"/>
              <w:jc w:val="center"/>
              <w:rPr>
                <w:rFonts w:ascii="Symbol" w:eastAsia="MS Mincho" w:hAnsi="Symbol" w:cs="Times New Roman"/>
                <w:color w:val="FF0000"/>
                <w:sz w:val="16"/>
                <w:szCs w:val="16"/>
                <w:lang w:val="en-CA"/>
              </w:rPr>
            </w:pPr>
            <w:r w:rsidRPr="00EC29D8">
              <w:rPr>
                <w:rFonts w:ascii="Symbol" w:eastAsia="MS Mincho" w:hAnsi="Symbol" w:cs="Times New Roman"/>
                <w:color w:val="FF0000"/>
                <w:sz w:val="16"/>
                <w:szCs w:val="16"/>
                <w:lang w:val="en-CA"/>
              </w:rPr>
              <w:t></w:t>
            </w:r>
            <w:r w:rsidRPr="00EC29D8">
              <w:rPr>
                <w:rFonts w:ascii="Symbol" w:eastAsia="MS Mincho" w:hAnsi="Symbol" w:cs="Times New Roman"/>
                <w:color w:val="FF0000"/>
                <w:sz w:val="16"/>
                <w:szCs w:val="16"/>
                <w:lang w:val="en-CA"/>
              </w:rPr>
              <w:t></w:t>
            </w:r>
            <w:r w:rsidRPr="00EC29D8">
              <w:rPr>
                <w:rFonts w:ascii="Symbol" w:eastAsia="MS Mincho" w:hAnsi="Symbol" w:cs="Times New Roman"/>
                <w:color w:val="FF0000"/>
                <w:sz w:val="16"/>
                <w:szCs w:val="16"/>
                <w:lang w:val="en-CA"/>
              </w:rPr>
              <w:t></w:t>
            </w:r>
            <w:r w:rsidRPr="00EC29D8">
              <w:rPr>
                <w:rFonts w:ascii="Wingdings 2" w:eastAsia="MS Mincho" w:hAnsi="Wingdings 2" w:cs="Times New Roman"/>
                <w:color w:val="FF0000"/>
                <w:sz w:val="16"/>
                <w:szCs w:val="16"/>
                <w:lang w:val="en-CA"/>
              </w:rPr>
              <w:t></w:t>
            </w:r>
          </w:p>
          <w:p w14:paraId="7D946855" w14:textId="77777777" w:rsidR="00D12264" w:rsidRPr="00EC29D8" w:rsidRDefault="00D12264" w:rsidP="009C1F61">
            <w:pPr>
              <w:spacing w:after="160"/>
              <w:jc w:val="center"/>
              <w:rPr>
                <w:rFonts w:ascii="Calibri" w:eastAsia="MS Mincho" w:hAnsi="Calibri" w:cs="Times New Roman"/>
                <w:color w:val="FF0000"/>
                <w:sz w:val="16"/>
                <w:szCs w:val="16"/>
                <w:lang w:val="en-CA" w:eastAsia="nb-NO"/>
              </w:rPr>
            </w:pPr>
            <w:r w:rsidRPr="00EC29D8">
              <w:rPr>
                <w:rFonts w:ascii="Calibri" w:eastAsia="MS Mincho" w:hAnsi="Calibri" w:cs="Times New Roman"/>
                <w:color w:val="FF0000"/>
                <w:sz w:val="16"/>
                <w:szCs w:val="16"/>
                <w:lang w:val="en-CA"/>
              </w:rPr>
              <w:t>Moderate</w:t>
            </w:r>
          </w:p>
          <w:p w14:paraId="417375B9" w14:textId="77777777" w:rsidR="00D12264" w:rsidRPr="00B82C93" w:rsidRDefault="00D12264" w:rsidP="009C1F61">
            <w:pPr>
              <w:spacing w:after="160"/>
              <w:jc w:val="center"/>
              <w:rPr>
                <w:rFonts w:ascii="Calibri" w:eastAsia="MS Mincho" w:hAnsi="Calibri" w:cs="Times New Roman"/>
                <w:sz w:val="16"/>
                <w:szCs w:val="16"/>
                <w:lang w:val="en-CA" w:eastAsia="nb-NO"/>
              </w:rPr>
            </w:pPr>
          </w:p>
          <w:p w14:paraId="057802F7" w14:textId="77777777" w:rsidR="00D12264" w:rsidRPr="00FA6CF1" w:rsidRDefault="00D12264" w:rsidP="009C1F61">
            <w:pPr>
              <w:spacing w:after="160"/>
              <w:jc w:val="center"/>
              <w:rPr>
                <w:rFonts w:ascii="Calibri" w:eastAsia="MS Mincho" w:hAnsi="Calibri" w:cs="Times New Roman"/>
                <w:sz w:val="16"/>
                <w:szCs w:val="16"/>
                <w:lang w:val="en-CA" w:eastAsia="nb-NO"/>
              </w:rPr>
            </w:pPr>
            <w:r w:rsidRPr="00FA6CF1">
              <w:rPr>
                <w:rFonts w:ascii="Symbol" w:eastAsia="MS Mincho" w:hAnsi="Symbol" w:cs="Times New Roman"/>
                <w:sz w:val="16"/>
                <w:szCs w:val="16"/>
                <w:lang w:val="en-CA"/>
              </w:rPr>
              <w:t></w:t>
            </w:r>
            <w:r w:rsidRPr="00FA6CF1">
              <w:rPr>
                <w:rFonts w:ascii="Symbol" w:eastAsia="MS Mincho" w:hAnsi="Symbol"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p>
          <w:p w14:paraId="68167F84" w14:textId="77777777" w:rsidR="00D12264" w:rsidRPr="00FA6CF1" w:rsidRDefault="00D12264" w:rsidP="009C1F61">
            <w:pPr>
              <w:spacing w:after="160"/>
              <w:jc w:val="center"/>
              <w:rPr>
                <w:rFonts w:ascii="Calibri" w:eastAsia="MS Mincho" w:hAnsi="Calibri" w:cs="Times New Roman"/>
                <w:sz w:val="16"/>
                <w:szCs w:val="16"/>
                <w:lang w:val="en-CA" w:eastAsia="nb-NO"/>
              </w:rPr>
            </w:pPr>
            <w:r w:rsidRPr="00FA6CF1">
              <w:rPr>
                <w:rFonts w:ascii="Calibri" w:eastAsia="MS Mincho" w:hAnsi="Calibri" w:cs="Times New Roman"/>
                <w:sz w:val="16"/>
                <w:szCs w:val="16"/>
                <w:lang w:val="en-CA" w:eastAsia="nb-NO"/>
              </w:rPr>
              <w:t>Low</w:t>
            </w:r>
          </w:p>
          <w:p w14:paraId="4226D73A" w14:textId="77777777" w:rsidR="00D12264" w:rsidRPr="00FA6CF1" w:rsidRDefault="00D12264" w:rsidP="009C1F61">
            <w:pPr>
              <w:spacing w:after="160"/>
              <w:jc w:val="center"/>
              <w:rPr>
                <w:rFonts w:ascii="Symbol" w:eastAsia="MS Mincho" w:hAnsi="Symbol" w:cs="Times New Roman"/>
                <w:sz w:val="16"/>
                <w:szCs w:val="16"/>
                <w:lang w:val="en-CA"/>
              </w:rPr>
            </w:pPr>
          </w:p>
          <w:p w14:paraId="671B919A"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Symbol" w:eastAsia="MS Mincho" w:hAnsi="Symbol"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r w:rsidRPr="00FA6CF1">
              <w:rPr>
                <w:rFonts w:ascii="Wingdings 2" w:eastAsia="MS Mincho" w:hAnsi="Wingdings 2" w:cs="Times New Roman"/>
                <w:sz w:val="16"/>
                <w:szCs w:val="16"/>
                <w:lang w:val="en-CA"/>
              </w:rPr>
              <w:t></w:t>
            </w:r>
          </w:p>
          <w:p w14:paraId="27ADB05E" w14:textId="77777777" w:rsidR="00D12264" w:rsidRPr="00FA6CF1" w:rsidRDefault="00D12264" w:rsidP="009C1F61">
            <w:pPr>
              <w:spacing w:after="160"/>
              <w:jc w:val="center"/>
              <w:rPr>
                <w:rFonts w:ascii="Calibri" w:eastAsia="MS Mincho" w:hAnsi="Calibri" w:cs="Times New Roman"/>
                <w:sz w:val="16"/>
                <w:szCs w:val="16"/>
                <w:lang w:val="en-CA"/>
              </w:rPr>
            </w:pPr>
            <w:r w:rsidRPr="00FA6CF1">
              <w:rPr>
                <w:rFonts w:ascii="Calibri" w:eastAsia="MS Mincho" w:hAnsi="Calibri" w:cs="Times New Roman"/>
                <w:sz w:val="16"/>
                <w:szCs w:val="16"/>
                <w:lang w:val="en-CA"/>
              </w:rPr>
              <w:t>Very Low</w:t>
            </w:r>
          </w:p>
        </w:tc>
      </w:tr>
      <w:tr w:rsidR="00D12264" w:rsidRPr="00FA6CF1" w14:paraId="6F828ACF"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20979A34"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Inconsistency</w:t>
            </w:r>
          </w:p>
        </w:tc>
        <w:tc>
          <w:tcPr>
            <w:tcW w:w="2237" w:type="dxa"/>
            <w:tcMar>
              <w:top w:w="29" w:type="dxa"/>
              <w:left w:w="58" w:type="dxa"/>
              <w:bottom w:w="29" w:type="dxa"/>
              <w:right w:w="58" w:type="dxa"/>
            </w:tcMar>
            <w:vAlign w:val="center"/>
          </w:tcPr>
          <w:p w14:paraId="730383EB" w14:textId="77777777" w:rsidR="00D12264" w:rsidRPr="00696B53" w:rsidRDefault="00D12264" w:rsidP="009C1F61">
            <w:pPr>
              <w:spacing w:after="160"/>
              <w:rPr>
                <w:rFonts w:ascii="Calibri" w:eastAsia="MS Mincho" w:hAnsi="Calibri" w:cs="Times New Roman"/>
                <w:bCs/>
                <w:color w:val="FF0000"/>
                <w:sz w:val="16"/>
                <w:szCs w:val="16"/>
                <w:lang w:val="en-CA"/>
              </w:rPr>
            </w:pPr>
            <w:r w:rsidRPr="00696B53">
              <w:rPr>
                <w:rFonts w:ascii="Calibri" w:eastAsia="MS Mincho" w:hAnsi="Calibri" w:cs="Times New Roman"/>
                <w:bCs/>
                <w:color w:val="FF0000"/>
                <w:sz w:val="16"/>
                <w:szCs w:val="16"/>
                <w:lang w:val="en-CA"/>
              </w:rPr>
              <w:t>Not serious</w:t>
            </w:r>
          </w:p>
          <w:p w14:paraId="68E8D610" w14:textId="77777777" w:rsidR="00D12264" w:rsidRPr="00696B53" w:rsidRDefault="00D12264" w:rsidP="009C1F61">
            <w:pPr>
              <w:spacing w:after="160"/>
              <w:rPr>
                <w:rFonts w:ascii="Calibri" w:eastAsia="MS Mincho" w:hAnsi="Calibri" w:cs="Times New Roman"/>
                <w:bCs/>
                <w:sz w:val="16"/>
                <w:szCs w:val="16"/>
                <w:lang w:val="en-CA"/>
              </w:rPr>
            </w:pPr>
            <w:r w:rsidRPr="00696B53">
              <w:rPr>
                <w:rFonts w:ascii="Calibri" w:eastAsia="MS Mincho" w:hAnsi="Calibri" w:cs="Times New Roman"/>
                <w:bCs/>
                <w:sz w:val="16"/>
                <w:szCs w:val="16"/>
                <w:lang w:val="en-CA"/>
              </w:rPr>
              <w:t>serious (-1)</w:t>
            </w:r>
          </w:p>
          <w:p w14:paraId="47692237" w14:textId="77777777" w:rsidR="00D12264" w:rsidRPr="005F3579" w:rsidRDefault="00D12264" w:rsidP="009C1F61">
            <w:pPr>
              <w:spacing w:after="160"/>
              <w:rPr>
                <w:rFonts w:ascii="Calibri" w:eastAsia="MS Mincho" w:hAnsi="Calibri" w:cs="Times New Roman"/>
                <w:bCs/>
                <w:sz w:val="16"/>
                <w:szCs w:val="16"/>
                <w:lang w:val="en-CA"/>
              </w:rPr>
            </w:pPr>
            <w:r w:rsidRPr="00696B53">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2752823B" w14:textId="77777777" w:rsidR="00D12264" w:rsidRPr="007975E4"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point estimates were almost on the same level and the confidence intervals overlapped. The heterogeneity test accepted the null hypothesis (no heterogenous) with I</w:t>
            </w:r>
            <w:r>
              <w:rPr>
                <w:rFonts w:asciiTheme="majorHAnsi" w:eastAsia="MS Mincho" w:hAnsiTheme="majorHAnsi" w:cstheme="majorHAnsi"/>
                <w:bCs/>
                <w:sz w:val="16"/>
                <w:szCs w:val="16"/>
                <w:vertAlign w:val="superscript"/>
                <w:lang w:val="en-CA"/>
              </w:rPr>
              <w:t>2</w:t>
            </w:r>
            <w:r>
              <w:rPr>
                <w:rFonts w:asciiTheme="majorHAnsi" w:eastAsia="MS Mincho" w:hAnsiTheme="majorHAnsi" w:cstheme="majorHAnsi"/>
                <w:bCs/>
                <w:sz w:val="16"/>
                <w:szCs w:val="16"/>
                <w:lang w:val="en-CA"/>
              </w:rPr>
              <w:t>=0%. We did not downgrade in the domain of inconsistency.</w:t>
            </w:r>
          </w:p>
        </w:tc>
        <w:tc>
          <w:tcPr>
            <w:tcW w:w="1506" w:type="dxa"/>
            <w:vMerge/>
            <w:tcBorders>
              <w:right w:val="single" w:sz="4" w:space="0" w:color="auto"/>
            </w:tcBorders>
          </w:tcPr>
          <w:p w14:paraId="235ADAA4"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31167263"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7E14211B"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Indirectness</w:t>
            </w:r>
          </w:p>
        </w:tc>
        <w:tc>
          <w:tcPr>
            <w:tcW w:w="2237" w:type="dxa"/>
            <w:tcMar>
              <w:top w:w="29" w:type="dxa"/>
              <w:left w:w="58" w:type="dxa"/>
              <w:bottom w:w="29" w:type="dxa"/>
              <w:right w:w="58" w:type="dxa"/>
            </w:tcMar>
            <w:vAlign w:val="center"/>
          </w:tcPr>
          <w:p w14:paraId="6546F707" w14:textId="77777777" w:rsidR="00D12264" w:rsidRPr="00BE426F" w:rsidRDefault="00D12264" w:rsidP="009C1F61">
            <w:pPr>
              <w:spacing w:after="160"/>
              <w:rPr>
                <w:rFonts w:ascii="Calibri" w:eastAsia="MS Mincho" w:hAnsi="Calibri" w:cs="Times New Roman"/>
                <w:bCs/>
                <w:color w:val="FF0000"/>
                <w:sz w:val="16"/>
                <w:szCs w:val="16"/>
                <w:lang w:val="en-CA"/>
              </w:rPr>
            </w:pPr>
            <w:r w:rsidRPr="00BE426F">
              <w:rPr>
                <w:rFonts w:ascii="Calibri" w:eastAsia="MS Mincho" w:hAnsi="Calibri" w:cs="Times New Roman"/>
                <w:bCs/>
                <w:color w:val="FF0000"/>
                <w:sz w:val="16"/>
                <w:szCs w:val="16"/>
                <w:lang w:val="en-CA"/>
              </w:rPr>
              <w:t>Not serious</w:t>
            </w:r>
          </w:p>
          <w:p w14:paraId="6E7FA8DF"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serious (-1)</w:t>
            </w:r>
          </w:p>
          <w:p w14:paraId="327E7158"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37CEFA09"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Overall the included studies recruited patients with osteoarthritis of the knee. Also, they were predominantly females and patients aged over 60. They reflected the general population. We did not downgrade in the domain of indirectness.</w:t>
            </w:r>
          </w:p>
        </w:tc>
        <w:tc>
          <w:tcPr>
            <w:tcW w:w="1506" w:type="dxa"/>
            <w:vMerge/>
            <w:tcBorders>
              <w:right w:val="single" w:sz="4" w:space="0" w:color="auto"/>
            </w:tcBorders>
          </w:tcPr>
          <w:p w14:paraId="1A5B0689"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4739A931"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452F17C8"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Imprecision</w:t>
            </w:r>
          </w:p>
        </w:tc>
        <w:tc>
          <w:tcPr>
            <w:tcW w:w="2237" w:type="dxa"/>
            <w:tcMar>
              <w:top w:w="29" w:type="dxa"/>
              <w:left w:w="58" w:type="dxa"/>
              <w:bottom w:w="29" w:type="dxa"/>
              <w:right w:w="58" w:type="dxa"/>
            </w:tcMar>
            <w:vAlign w:val="center"/>
          </w:tcPr>
          <w:p w14:paraId="3AB02900" w14:textId="77777777" w:rsidR="00D12264" w:rsidRPr="00F92E5C" w:rsidRDefault="00D12264" w:rsidP="009C1F61">
            <w:pPr>
              <w:spacing w:after="160"/>
              <w:rPr>
                <w:rFonts w:ascii="Calibri" w:eastAsia="MS Mincho" w:hAnsi="Calibri" w:cs="Times New Roman"/>
                <w:bCs/>
                <w:sz w:val="16"/>
                <w:szCs w:val="16"/>
                <w:lang w:val="en-CA"/>
              </w:rPr>
            </w:pPr>
            <w:r w:rsidRPr="00F92E5C">
              <w:rPr>
                <w:rFonts w:ascii="Calibri" w:eastAsia="MS Mincho" w:hAnsi="Calibri" w:cs="Times New Roman"/>
                <w:bCs/>
                <w:sz w:val="16"/>
                <w:szCs w:val="16"/>
                <w:lang w:val="en-CA"/>
              </w:rPr>
              <w:t>Not serious</w:t>
            </w:r>
          </w:p>
          <w:p w14:paraId="1321BA92" w14:textId="77777777" w:rsidR="00D12264" w:rsidRPr="00F92E5C" w:rsidRDefault="00D12264" w:rsidP="009C1F61">
            <w:pPr>
              <w:spacing w:after="160"/>
              <w:rPr>
                <w:rFonts w:ascii="Calibri" w:eastAsia="MS Mincho" w:hAnsi="Calibri" w:cs="Times New Roman"/>
                <w:bCs/>
                <w:color w:val="FF0000"/>
                <w:sz w:val="16"/>
                <w:szCs w:val="16"/>
                <w:lang w:val="en-CA"/>
              </w:rPr>
            </w:pPr>
            <w:r w:rsidRPr="00F92E5C">
              <w:rPr>
                <w:rFonts w:ascii="Calibri" w:eastAsia="MS Mincho" w:hAnsi="Calibri" w:cs="Times New Roman"/>
                <w:bCs/>
                <w:color w:val="FF0000"/>
                <w:sz w:val="16"/>
                <w:szCs w:val="16"/>
                <w:lang w:val="en-CA"/>
              </w:rPr>
              <w:t>serious (-1)</w:t>
            </w:r>
          </w:p>
          <w:p w14:paraId="0FFF3727" w14:textId="77777777" w:rsidR="00D12264" w:rsidRPr="005F3579" w:rsidRDefault="00D12264" w:rsidP="009C1F61">
            <w:pPr>
              <w:spacing w:after="160"/>
              <w:rPr>
                <w:rFonts w:ascii="Calibri" w:eastAsia="MS Mincho" w:hAnsi="Calibri" w:cs="Times New Roman"/>
                <w:bCs/>
                <w:sz w:val="16"/>
                <w:szCs w:val="16"/>
                <w:lang w:val="en-CA"/>
              </w:rPr>
            </w:pPr>
            <w:r w:rsidRPr="00F92E5C">
              <w:rPr>
                <w:rFonts w:ascii="Calibri" w:eastAsia="MS Mincho" w:hAnsi="Calibri" w:cs="Times New Roman"/>
                <w:bCs/>
                <w:sz w:val="16"/>
                <w:szCs w:val="16"/>
                <w:lang w:val="en-CA"/>
              </w:rPr>
              <w:t>very serious (-2)</w:t>
            </w:r>
          </w:p>
        </w:tc>
        <w:tc>
          <w:tcPr>
            <w:tcW w:w="4320" w:type="dxa"/>
            <w:tcMar>
              <w:top w:w="29" w:type="dxa"/>
              <w:left w:w="58" w:type="dxa"/>
              <w:bottom w:w="29" w:type="dxa"/>
              <w:right w:w="58" w:type="dxa"/>
            </w:tcMar>
            <w:vAlign w:val="center"/>
          </w:tcPr>
          <w:p w14:paraId="4CF38AEA" w14:textId="77777777" w:rsidR="00D12264" w:rsidRPr="004A2697" w:rsidRDefault="00D12264" w:rsidP="009C1F61">
            <w:pPr>
              <w:spacing w:after="160"/>
              <w:rPr>
                <w:rFonts w:asciiTheme="majorHAnsi" w:eastAsia="MS Mincho" w:hAnsiTheme="majorHAnsi" w:cstheme="majorHAnsi"/>
                <w:bCs/>
                <w:sz w:val="16"/>
                <w:szCs w:val="16"/>
                <w:lang w:val="en-CA"/>
              </w:rPr>
            </w:pPr>
            <w:r>
              <w:rPr>
                <w:rFonts w:asciiTheme="majorHAnsi" w:eastAsia="MS Mincho" w:hAnsiTheme="majorHAnsi" w:cstheme="majorHAnsi"/>
                <w:bCs/>
                <w:sz w:val="16"/>
                <w:szCs w:val="16"/>
                <w:lang w:val="en-CA"/>
              </w:rPr>
              <w:t>The total events in the composite outcome were 44. The complication rate in standard TKA was 1.7%. The risk difference was 0.00 (95%CI -0.01 – 0.01) and the complication rates would shift from 0.7% to 2.7%. We interpreted the confidence interval was not narrow and we downgraded in the domain of imprecision.</w:t>
            </w:r>
          </w:p>
        </w:tc>
        <w:tc>
          <w:tcPr>
            <w:tcW w:w="1506" w:type="dxa"/>
            <w:vMerge/>
            <w:tcBorders>
              <w:right w:val="single" w:sz="4" w:space="0" w:color="auto"/>
            </w:tcBorders>
          </w:tcPr>
          <w:p w14:paraId="3625123E"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03DF946A"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0A1CA062"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Publication Bias</w:t>
            </w:r>
          </w:p>
        </w:tc>
        <w:tc>
          <w:tcPr>
            <w:tcW w:w="2237" w:type="dxa"/>
            <w:tcMar>
              <w:top w:w="29" w:type="dxa"/>
              <w:left w:w="58" w:type="dxa"/>
              <w:bottom w:w="29" w:type="dxa"/>
              <w:right w:w="58" w:type="dxa"/>
            </w:tcMar>
            <w:vAlign w:val="center"/>
          </w:tcPr>
          <w:p w14:paraId="07419271" w14:textId="77777777" w:rsidR="00D12264" w:rsidRPr="00BE426F" w:rsidRDefault="00D12264" w:rsidP="009C1F61">
            <w:pPr>
              <w:spacing w:after="160"/>
              <w:rPr>
                <w:rFonts w:ascii="Calibri" w:eastAsia="MS Mincho" w:hAnsi="Calibri" w:cs="Times New Roman"/>
                <w:bCs/>
                <w:color w:val="FF0000"/>
                <w:sz w:val="16"/>
                <w:szCs w:val="16"/>
                <w:lang w:val="en-CA"/>
              </w:rPr>
            </w:pPr>
            <w:r w:rsidRPr="00BE426F">
              <w:rPr>
                <w:rFonts w:ascii="Calibri" w:eastAsia="MS Mincho" w:hAnsi="Calibri" w:cs="Times New Roman"/>
                <w:bCs/>
                <w:color w:val="FF0000"/>
                <w:sz w:val="16"/>
                <w:szCs w:val="16"/>
                <w:lang w:val="en-CA"/>
              </w:rPr>
              <w:t>Undetected</w:t>
            </w:r>
          </w:p>
          <w:p w14:paraId="799BAD6C"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Strongly suspected (-1)</w:t>
            </w:r>
          </w:p>
        </w:tc>
        <w:tc>
          <w:tcPr>
            <w:tcW w:w="4320" w:type="dxa"/>
            <w:tcMar>
              <w:top w:w="29" w:type="dxa"/>
              <w:left w:w="58" w:type="dxa"/>
              <w:bottom w:w="29" w:type="dxa"/>
              <w:right w:w="58" w:type="dxa"/>
            </w:tcMar>
            <w:vAlign w:val="center"/>
          </w:tcPr>
          <w:p w14:paraId="64590729"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In </w:t>
            </w:r>
            <w:r>
              <w:rPr>
                <w:rFonts w:asciiTheme="majorHAnsi" w:eastAsia="MS Mincho" w:hAnsiTheme="majorHAnsi" w:cstheme="majorHAnsi"/>
                <w:bCs/>
                <w:sz w:val="16"/>
                <w:szCs w:val="16"/>
                <w:lang w:val="en-CA"/>
              </w:rPr>
              <w:t>the funnel</w:t>
            </w:r>
            <w:r w:rsidRPr="004A2697">
              <w:rPr>
                <w:rFonts w:asciiTheme="majorHAnsi" w:eastAsia="MS Mincho" w:hAnsiTheme="majorHAnsi" w:cstheme="majorHAnsi"/>
                <w:bCs/>
                <w:sz w:val="16"/>
                <w:szCs w:val="16"/>
                <w:lang w:val="en-CA"/>
              </w:rPr>
              <w:t xml:space="preserve"> plot, studies were symmetrically distribute</w:t>
            </w:r>
            <w:r>
              <w:rPr>
                <w:rFonts w:asciiTheme="majorHAnsi" w:eastAsia="MS Mincho" w:hAnsiTheme="majorHAnsi" w:cstheme="majorHAnsi"/>
                <w:bCs/>
                <w:sz w:val="16"/>
                <w:szCs w:val="16"/>
                <w:lang w:val="en-CA"/>
              </w:rPr>
              <w:t>d.</w:t>
            </w:r>
          </w:p>
        </w:tc>
        <w:tc>
          <w:tcPr>
            <w:tcW w:w="1506" w:type="dxa"/>
            <w:vMerge/>
            <w:tcBorders>
              <w:right w:val="single" w:sz="4" w:space="0" w:color="auto"/>
            </w:tcBorders>
          </w:tcPr>
          <w:p w14:paraId="4674A4B5" w14:textId="77777777" w:rsidR="00D12264" w:rsidRPr="00FA6CF1" w:rsidRDefault="00D12264" w:rsidP="009C1F61">
            <w:pPr>
              <w:spacing w:after="160"/>
              <w:rPr>
                <w:rFonts w:ascii="Calibri" w:eastAsia="MS Mincho" w:hAnsi="Calibri" w:cs="Times New Roman"/>
                <w:b/>
                <w:bCs/>
                <w:sz w:val="16"/>
                <w:szCs w:val="16"/>
                <w:lang w:val="en-CA"/>
              </w:rPr>
            </w:pPr>
          </w:p>
        </w:tc>
      </w:tr>
      <w:tr w:rsidR="00D12264" w:rsidRPr="00FA6CF1" w14:paraId="47F8C09F" w14:textId="77777777" w:rsidTr="009C1F61">
        <w:trPr>
          <w:jc w:val="center"/>
        </w:trPr>
        <w:tc>
          <w:tcPr>
            <w:tcW w:w="2016" w:type="dxa"/>
            <w:tcBorders>
              <w:left w:val="single" w:sz="4" w:space="0" w:color="auto"/>
            </w:tcBorders>
            <w:tcMar>
              <w:top w:w="29" w:type="dxa"/>
              <w:left w:w="58" w:type="dxa"/>
              <w:bottom w:w="29" w:type="dxa"/>
              <w:right w:w="58" w:type="dxa"/>
            </w:tcMar>
            <w:vAlign w:val="center"/>
          </w:tcPr>
          <w:p w14:paraId="334D661F" w14:textId="77777777" w:rsidR="00D12264" w:rsidRPr="00FA6CF1" w:rsidRDefault="00D12264" w:rsidP="009C1F61">
            <w:pPr>
              <w:spacing w:after="160"/>
              <w:rPr>
                <w:rFonts w:ascii="Calibri" w:eastAsia="MS Mincho" w:hAnsi="Calibri" w:cs="Times New Roman"/>
                <w:b/>
                <w:bCs/>
                <w:sz w:val="16"/>
                <w:szCs w:val="16"/>
                <w:lang w:val="en-CA"/>
              </w:rPr>
            </w:pPr>
            <w:r w:rsidRPr="00FA6CF1">
              <w:rPr>
                <w:rFonts w:ascii="Calibri" w:eastAsia="MS Mincho" w:hAnsi="Calibri" w:cs="Times New Roman"/>
                <w:b/>
                <w:bCs/>
                <w:sz w:val="16"/>
                <w:szCs w:val="16"/>
                <w:lang w:val="en-CA"/>
              </w:rPr>
              <w:t>Other</w:t>
            </w:r>
          </w:p>
          <w:p w14:paraId="3B539545" w14:textId="77777777" w:rsidR="00D12264" w:rsidRPr="00FA6CF1" w:rsidRDefault="00D12264" w:rsidP="009C1F61">
            <w:pPr>
              <w:spacing w:after="160"/>
              <w:rPr>
                <w:rFonts w:ascii="Calibri" w:eastAsia="MS Mincho" w:hAnsi="Calibri" w:cs="Times New Roman"/>
                <w:bCs/>
                <w:sz w:val="16"/>
                <w:szCs w:val="16"/>
                <w:lang w:val="en-CA"/>
              </w:rPr>
            </w:pPr>
            <w:r w:rsidRPr="00FA6CF1">
              <w:rPr>
                <w:rFonts w:ascii="Calibri" w:eastAsia="MS Mincho" w:hAnsi="Calibri" w:cs="Times New Roman"/>
                <w:bCs/>
                <w:sz w:val="16"/>
                <w:szCs w:val="16"/>
                <w:lang w:val="en-CA"/>
              </w:rPr>
              <w:t>(upgrading factors, circle all that apply)</w:t>
            </w:r>
          </w:p>
        </w:tc>
        <w:tc>
          <w:tcPr>
            <w:tcW w:w="2237" w:type="dxa"/>
            <w:tcMar>
              <w:top w:w="29" w:type="dxa"/>
              <w:left w:w="58" w:type="dxa"/>
              <w:bottom w:w="29" w:type="dxa"/>
              <w:right w:w="58" w:type="dxa"/>
            </w:tcMar>
            <w:vAlign w:val="center"/>
          </w:tcPr>
          <w:p w14:paraId="10924206"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Large effect (+1 or +2)</w:t>
            </w:r>
          </w:p>
          <w:p w14:paraId="55FB9E5F"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Dose response (+1 )</w:t>
            </w:r>
          </w:p>
          <w:p w14:paraId="30F77336" w14:textId="77777777" w:rsidR="00D12264" w:rsidRPr="005F3579" w:rsidRDefault="00D12264" w:rsidP="009C1F61">
            <w:pPr>
              <w:spacing w:after="160"/>
              <w:rPr>
                <w:rFonts w:ascii="Calibri" w:eastAsia="MS Mincho" w:hAnsi="Calibri" w:cs="Times New Roman"/>
                <w:bCs/>
                <w:sz w:val="16"/>
                <w:szCs w:val="16"/>
                <w:lang w:val="en-CA"/>
              </w:rPr>
            </w:pPr>
            <w:r w:rsidRPr="005F3579">
              <w:rPr>
                <w:rFonts w:ascii="Calibri" w:eastAsia="MS Mincho" w:hAnsi="Calibri" w:cs="Times New Roman"/>
                <w:bCs/>
                <w:sz w:val="16"/>
                <w:szCs w:val="16"/>
                <w:lang w:val="en-CA"/>
              </w:rPr>
              <w:t>Plausible confounding opposing the effect (+1)</w:t>
            </w:r>
          </w:p>
        </w:tc>
        <w:tc>
          <w:tcPr>
            <w:tcW w:w="4320" w:type="dxa"/>
            <w:tcMar>
              <w:top w:w="29" w:type="dxa"/>
              <w:left w:w="58" w:type="dxa"/>
              <w:bottom w:w="29" w:type="dxa"/>
              <w:right w:w="58" w:type="dxa"/>
            </w:tcMar>
            <w:vAlign w:val="center"/>
          </w:tcPr>
          <w:p w14:paraId="200BAA26" w14:textId="77777777" w:rsidR="00D12264" w:rsidRPr="004A2697" w:rsidRDefault="00D12264" w:rsidP="009C1F61">
            <w:pPr>
              <w:spacing w:after="160"/>
              <w:rPr>
                <w:rFonts w:asciiTheme="majorHAnsi" w:eastAsia="MS Mincho" w:hAnsiTheme="majorHAnsi" w:cstheme="majorHAnsi"/>
                <w:bCs/>
                <w:sz w:val="16"/>
                <w:szCs w:val="16"/>
                <w:lang w:val="en-CA"/>
              </w:rPr>
            </w:pPr>
            <w:r w:rsidRPr="004A2697">
              <w:rPr>
                <w:rFonts w:asciiTheme="majorHAnsi" w:eastAsia="MS Mincho" w:hAnsiTheme="majorHAnsi" w:cstheme="majorHAnsi"/>
                <w:bCs/>
                <w:sz w:val="16"/>
                <w:szCs w:val="16"/>
                <w:lang w:val="en-CA"/>
              </w:rPr>
              <w:t xml:space="preserve">The effect is less significant and there is no plausible reason to rate up. </w:t>
            </w:r>
          </w:p>
        </w:tc>
        <w:tc>
          <w:tcPr>
            <w:tcW w:w="1506" w:type="dxa"/>
            <w:vMerge/>
            <w:tcBorders>
              <w:right w:val="single" w:sz="4" w:space="0" w:color="auto"/>
            </w:tcBorders>
          </w:tcPr>
          <w:p w14:paraId="7A8B2AE0" w14:textId="77777777" w:rsidR="00D12264" w:rsidRPr="00FA6CF1" w:rsidRDefault="00D12264" w:rsidP="009C1F61">
            <w:pPr>
              <w:spacing w:after="160"/>
              <w:rPr>
                <w:rFonts w:ascii="Calibri" w:eastAsia="MS Mincho" w:hAnsi="Calibri" w:cs="Times New Roman"/>
                <w:b/>
                <w:bCs/>
                <w:sz w:val="16"/>
                <w:szCs w:val="16"/>
                <w:lang w:val="en-CA"/>
              </w:rPr>
            </w:pPr>
          </w:p>
        </w:tc>
      </w:tr>
    </w:tbl>
    <w:p w14:paraId="2D02674F" w14:textId="77777777" w:rsidR="00D12264" w:rsidRPr="00FA6CF1" w:rsidRDefault="00D12264" w:rsidP="00D12264">
      <w:pPr>
        <w:rPr>
          <w:rFonts w:ascii="Calibri" w:eastAsia="Times New Roman" w:hAnsi="Calibri" w:cs="Times New Roman"/>
        </w:rPr>
      </w:pPr>
    </w:p>
    <w:p w14:paraId="5042097B" w14:textId="77777777" w:rsidR="00D12264" w:rsidRPr="00FA6CF1" w:rsidRDefault="00D12264" w:rsidP="00D12264">
      <w:pPr>
        <w:rPr>
          <w:rFonts w:ascii="Calibri" w:eastAsia="Times New Roman" w:hAnsi="Calibri" w:cs="Times New Roman"/>
        </w:rPr>
      </w:pPr>
    </w:p>
    <w:p w14:paraId="10728DFA" w14:textId="77777777" w:rsidR="00D12264" w:rsidRPr="00FA6CF1" w:rsidRDefault="00D12264" w:rsidP="00D12264">
      <w:pPr>
        <w:rPr>
          <w:rFonts w:ascii="Calibri" w:eastAsia="Times New Roman" w:hAnsi="Calibri" w:cs="Times New Roman"/>
        </w:rPr>
      </w:pPr>
    </w:p>
    <w:p w14:paraId="15BD5E94" w14:textId="77777777" w:rsidR="00D12264" w:rsidRPr="00FA6CF1" w:rsidRDefault="00D12264" w:rsidP="00D12264">
      <w:pPr>
        <w:rPr>
          <w:rFonts w:ascii="Calibri" w:eastAsia="Times New Roman" w:hAnsi="Calibri" w:cs="Times New Roman"/>
        </w:rPr>
      </w:pPr>
    </w:p>
    <w:p w14:paraId="1CE2146E" w14:textId="77777777" w:rsidR="00D12264" w:rsidRPr="00FA6CF1" w:rsidRDefault="00D12264" w:rsidP="00D12264">
      <w:pPr>
        <w:rPr>
          <w:rFonts w:ascii="Calibri" w:eastAsia="Times New Roman" w:hAnsi="Calibri" w:cs="Times New Roman"/>
        </w:rPr>
      </w:pPr>
    </w:p>
    <w:p w14:paraId="28369070" w14:textId="77777777" w:rsidR="00D12264" w:rsidRDefault="00D12264" w:rsidP="00D12264">
      <w:pPr>
        <w:rPr>
          <w:rFonts w:ascii="Calibri" w:eastAsia="Times New Roman" w:hAnsi="Calibri" w:cs="Times New Roman"/>
        </w:rPr>
      </w:pPr>
    </w:p>
    <w:p w14:paraId="504FCF4F" w14:textId="77777777" w:rsidR="00D12264" w:rsidRDefault="00D12264" w:rsidP="00D12264">
      <w:pPr>
        <w:rPr>
          <w:rFonts w:ascii="Calibri" w:eastAsia="Times New Roman" w:hAnsi="Calibri" w:cs="Times New Roman"/>
        </w:rPr>
      </w:pPr>
    </w:p>
    <w:p w14:paraId="20D0F380" w14:textId="77777777" w:rsidR="00D12264" w:rsidRDefault="00D12264" w:rsidP="00D12264">
      <w:pPr>
        <w:rPr>
          <w:rFonts w:ascii="Calibri" w:eastAsia="Times New Roman" w:hAnsi="Calibri" w:cs="Times New Roman"/>
        </w:rPr>
      </w:pPr>
    </w:p>
    <w:p w14:paraId="0B1A3B43" w14:textId="77777777" w:rsidR="00D12264" w:rsidRDefault="00D12264" w:rsidP="00D12264"/>
    <w:p w14:paraId="086030F1" w14:textId="77777777" w:rsidR="00132B1E" w:rsidRDefault="00132B1E"/>
    <w:sectPr w:rsidR="00132B1E" w:rsidSect="001339BA">
      <w:pgSz w:w="12240" w:h="15840"/>
      <w:pgMar w:top="1080" w:right="1440" w:bottom="10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MS PGothic">
    <w:panose1 w:val="020B0600070205080204"/>
    <w:charset w:val="80"/>
    <w:family w:val="swiss"/>
    <w:pitch w:val="variable"/>
    <w:sig w:usb0="E00002FF" w:usb1="6AC7FDFB" w:usb2="00000012" w:usb3="00000000" w:csb0="0002009F" w:csb1="00000000"/>
  </w:font>
  <w:font w:name="Helvetica Neue">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2322"/>
    <w:multiLevelType w:val="hybridMultilevel"/>
    <w:tmpl w:val="60924490"/>
    <w:lvl w:ilvl="0" w:tplc="E18A0154">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7667D68"/>
    <w:multiLevelType w:val="multilevel"/>
    <w:tmpl w:val="BE08BC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9D156EE"/>
    <w:multiLevelType w:val="hybridMultilevel"/>
    <w:tmpl w:val="54D627A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171B18AE"/>
    <w:multiLevelType w:val="hybridMultilevel"/>
    <w:tmpl w:val="60A2B6F8"/>
    <w:lvl w:ilvl="0" w:tplc="00146E0C">
      <w:start w:val="1"/>
      <w:numFmt w:val="bullet"/>
      <w:lvlText w:val="-"/>
      <w:lvlJc w:val="left"/>
      <w:pPr>
        <w:ind w:left="720" w:hanging="360"/>
      </w:pPr>
      <w:rPr>
        <w:rFonts w:ascii="Arial" w:eastAsia="Arial"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19AA3996"/>
    <w:multiLevelType w:val="hybridMultilevel"/>
    <w:tmpl w:val="CA74598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B596E7D"/>
    <w:multiLevelType w:val="multilevel"/>
    <w:tmpl w:val="10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nsid w:val="30737286"/>
    <w:multiLevelType w:val="hybridMultilevel"/>
    <w:tmpl w:val="C29094BE"/>
    <w:lvl w:ilvl="0" w:tplc="353A6226">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nsid w:val="33AB5867"/>
    <w:multiLevelType w:val="hybridMultilevel"/>
    <w:tmpl w:val="D7F0B96C"/>
    <w:lvl w:ilvl="0" w:tplc="EB84D95A">
      <w:start w:val="18"/>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34A54BAA"/>
    <w:multiLevelType w:val="hybridMultilevel"/>
    <w:tmpl w:val="030AD0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34D63E0B"/>
    <w:multiLevelType w:val="hybridMultilevel"/>
    <w:tmpl w:val="5B20379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nsid w:val="40832474"/>
    <w:multiLevelType w:val="hybridMultilevel"/>
    <w:tmpl w:val="459CE910"/>
    <w:lvl w:ilvl="0" w:tplc="353A6226">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nsid w:val="461B3297"/>
    <w:multiLevelType w:val="hybridMultilevel"/>
    <w:tmpl w:val="99CEE1B4"/>
    <w:lvl w:ilvl="0" w:tplc="232A4BFC">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nsid w:val="4B9605F2"/>
    <w:multiLevelType w:val="hybridMultilevel"/>
    <w:tmpl w:val="64208D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nsid w:val="4BC91D83"/>
    <w:multiLevelType w:val="hybridMultilevel"/>
    <w:tmpl w:val="07BE6842"/>
    <w:lvl w:ilvl="0" w:tplc="3C68D56C">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nsid w:val="4D0204AF"/>
    <w:multiLevelType w:val="hybridMultilevel"/>
    <w:tmpl w:val="C03C3C10"/>
    <w:lvl w:ilvl="0" w:tplc="D10403D8">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4E196778"/>
    <w:multiLevelType w:val="multilevel"/>
    <w:tmpl w:val="D3E8E3F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4EBD0074"/>
    <w:multiLevelType w:val="hybridMultilevel"/>
    <w:tmpl w:val="19B0E8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nsid w:val="5AA36430"/>
    <w:multiLevelType w:val="hybridMultilevel"/>
    <w:tmpl w:val="75640A8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62011BA0"/>
    <w:multiLevelType w:val="hybridMultilevel"/>
    <w:tmpl w:val="1DF49E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71A6306B"/>
    <w:multiLevelType w:val="multilevel"/>
    <w:tmpl w:val="D3E8E3F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nsid w:val="75A87772"/>
    <w:multiLevelType w:val="hybridMultilevel"/>
    <w:tmpl w:val="9824031E"/>
    <w:lvl w:ilvl="0" w:tplc="0ADE21D0">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7FB04CC0"/>
    <w:multiLevelType w:val="hybridMultilevel"/>
    <w:tmpl w:val="CB7253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14"/>
  </w:num>
  <w:num w:numId="3">
    <w:abstractNumId w:val="13"/>
  </w:num>
  <w:num w:numId="4">
    <w:abstractNumId w:val="18"/>
  </w:num>
  <w:num w:numId="5">
    <w:abstractNumId w:val="6"/>
  </w:num>
  <w:num w:numId="6">
    <w:abstractNumId w:val="10"/>
  </w:num>
  <w:num w:numId="7">
    <w:abstractNumId w:val="17"/>
  </w:num>
  <w:num w:numId="8">
    <w:abstractNumId w:val="7"/>
  </w:num>
  <w:num w:numId="9">
    <w:abstractNumId w:val="4"/>
  </w:num>
  <w:num w:numId="10">
    <w:abstractNumId w:val="16"/>
  </w:num>
  <w:num w:numId="11">
    <w:abstractNumId w:val="8"/>
  </w:num>
  <w:num w:numId="12">
    <w:abstractNumId w:val="12"/>
  </w:num>
  <w:num w:numId="13">
    <w:abstractNumId w:val="0"/>
  </w:num>
  <w:num w:numId="14">
    <w:abstractNumId w:val="9"/>
  </w:num>
  <w:num w:numId="15">
    <w:abstractNumId w:val="3"/>
  </w:num>
  <w:num w:numId="16">
    <w:abstractNumId w:val="11"/>
  </w:num>
  <w:num w:numId="17">
    <w:abstractNumId w:val="20"/>
  </w:num>
  <w:num w:numId="18">
    <w:abstractNumId w:val="15"/>
  </w:num>
  <w:num w:numId="19">
    <w:abstractNumId w:val="21"/>
  </w:num>
  <w:num w:numId="20">
    <w:abstractNumId w:val="5"/>
  </w:num>
  <w:num w:numId="21">
    <w:abstractNumId w:val="2"/>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9"/>
  </w:docVars>
  <w:rsids>
    <w:rsidRoot w:val="00D12264"/>
    <w:rsid w:val="00026837"/>
    <w:rsid w:val="0006282F"/>
    <w:rsid w:val="00132B1E"/>
    <w:rsid w:val="001655B8"/>
    <w:rsid w:val="001946D5"/>
    <w:rsid w:val="002423CB"/>
    <w:rsid w:val="002611B5"/>
    <w:rsid w:val="00273214"/>
    <w:rsid w:val="0040231B"/>
    <w:rsid w:val="00596685"/>
    <w:rsid w:val="006808DE"/>
    <w:rsid w:val="006E7592"/>
    <w:rsid w:val="00727F3B"/>
    <w:rsid w:val="007703BF"/>
    <w:rsid w:val="0077248F"/>
    <w:rsid w:val="00802010"/>
    <w:rsid w:val="00836C2F"/>
    <w:rsid w:val="008715F0"/>
    <w:rsid w:val="00892163"/>
    <w:rsid w:val="00961560"/>
    <w:rsid w:val="00A10268"/>
    <w:rsid w:val="00B73AE4"/>
    <w:rsid w:val="00C37F27"/>
    <w:rsid w:val="00CA3732"/>
    <w:rsid w:val="00D1226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7E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264"/>
    <w:pPr>
      <w:spacing w:after="0" w:line="276" w:lineRule="auto"/>
    </w:pPr>
    <w:rPr>
      <w:rFonts w:ascii="Arial" w:eastAsia="Arial" w:hAnsi="Arial" w:cs="Arial"/>
      <w:lang w:val="en" w:eastAsia="en-CA"/>
    </w:rPr>
  </w:style>
  <w:style w:type="paragraph" w:styleId="Heading3">
    <w:name w:val="heading 3"/>
    <w:basedOn w:val="Normal"/>
    <w:link w:val="Heading3Char"/>
    <w:uiPriority w:val="9"/>
    <w:qFormat/>
    <w:rsid w:val="00D12264"/>
    <w:pPr>
      <w:spacing w:before="100" w:beforeAutospacing="1" w:after="100" w:afterAutospacing="1" w:line="240" w:lineRule="auto"/>
      <w:outlineLvl w:val="2"/>
    </w:pPr>
    <w:rPr>
      <w:rFonts w:ascii="Times New Roman" w:eastAsia="Times New Roman" w:hAnsi="Times New Roman" w:cs="Times New Roman"/>
      <w:b/>
      <w:bCs/>
      <w:sz w:val="27"/>
      <w:szCs w:val="27"/>
      <w:lang w:val="en-CA"/>
    </w:rPr>
  </w:style>
  <w:style w:type="paragraph" w:styleId="Heading4">
    <w:name w:val="heading 4"/>
    <w:basedOn w:val="Normal"/>
    <w:next w:val="Normal"/>
    <w:link w:val="Heading4Char"/>
    <w:uiPriority w:val="9"/>
    <w:unhideWhenUsed/>
    <w:qFormat/>
    <w:rsid w:val="00D1226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12264"/>
    <w:rPr>
      <w:rFonts w:ascii="Times New Roman" w:eastAsia="Times New Roman" w:hAnsi="Times New Roman" w:cs="Times New Roman"/>
      <w:b/>
      <w:bCs/>
      <w:sz w:val="27"/>
      <w:szCs w:val="27"/>
      <w:lang w:eastAsia="en-CA"/>
    </w:rPr>
  </w:style>
  <w:style w:type="character" w:customStyle="1" w:styleId="Heading4Char">
    <w:name w:val="Heading 4 Char"/>
    <w:basedOn w:val="DefaultParagraphFont"/>
    <w:link w:val="Heading4"/>
    <w:uiPriority w:val="9"/>
    <w:rsid w:val="00D12264"/>
    <w:rPr>
      <w:rFonts w:asciiTheme="majorHAnsi" w:eastAsiaTheme="majorEastAsia" w:hAnsiTheme="majorHAnsi" w:cstheme="majorBidi"/>
      <w:i/>
      <w:iCs/>
      <w:color w:val="2F5496" w:themeColor="accent1" w:themeShade="BF"/>
      <w:lang w:val="en" w:eastAsia="en-CA"/>
    </w:rPr>
  </w:style>
  <w:style w:type="paragraph" w:styleId="ListParagraph">
    <w:name w:val="List Paragraph"/>
    <w:basedOn w:val="Normal"/>
    <w:uiPriority w:val="34"/>
    <w:qFormat/>
    <w:rsid w:val="00D12264"/>
    <w:pPr>
      <w:ind w:left="720"/>
      <w:contextualSpacing/>
    </w:pPr>
  </w:style>
  <w:style w:type="character" w:styleId="Hyperlink">
    <w:name w:val="Hyperlink"/>
    <w:basedOn w:val="DefaultParagraphFont"/>
    <w:uiPriority w:val="99"/>
    <w:unhideWhenUsed/>
    <w:rsid w:val="00D12264"/>
    <w:rPr>
      <w:color w:val="0000FF"/>
      <w:u w:val="single"/>
    </w:rPr>
  </w:style>
  <w:style w:type="paragraph" w:styleId="Header">
    <w:name w:val="header"/>
    <w:basedOn w:val="Normal"/>
    <w:link w:val="HeaderChar"/>
    <w:uiPriority w:val="99"/>
    <w:unhideWhenUsed/>
    <w:rsid w:val="00D12264"/>
    <w:pPr>
      <w:tabs>
        <w:tab w:val="center" w:pos="4680"/>
        <w:tab w:val="right" w:pos="9360"/>
      </w:tabs>
      <w:spacing w:line="240" w:lineRule="auto"/>
    </w:pPr>
  </w:style>
  <w:style w:type="character" w:customStyle="1" w:styleId="HeaderChar">
    <w:name w:val="Header Char"/>
    <w:basedOn w:val="DefaultParagraphFont"/>
    <w:link w:val="Header"/>
    <w:uiPriority w:val="99"/>
    <w:rsid w:val="00D12264"/>
    <w:rPr>
      <w:rFonts w:ascii="Arial" w:eastAsia="Arial" w:hAnsi="Arial" w:cs="Arial"/>
      <w:lang w:val="en" w:eastAsia="en-CA"/>
    </w:rPr>
  </w:style>
  <w:style w:type="paragraph" w:styleId="Footer">
    <w:name w:val="footer"/>
    <w:basedOn w:val="Normal"/>
    <w:link w:val="FooterChar"/>
    <w:uiPriority w:val="99"/>
    <w:unhideWhenUsed/>
    <w:rsid w:val="00D12264"/>
    <w:pPr>
      <w:tabs>
        <w:tab w:val="center" w:pos="4680"/>
        <w:tab w:val="right" w:pos="9360"/>
      </w:tabs>
      <w:spacing w:line="240" w:lineRule="auto"/>
    </w:pPr>
  </w:style>
  <w:style w:type="character" w:customStyle="1" w:styleId="FooterChar">
    <w:name w:val="Footer Char"/>
    <w:basedOn w:val="DefaultParagraphFont"/>
    <w:link w:val="Footer"/>
    <w:uiPriority w:val="99"/>
    <w:rsid w:val="00D12264"/>
    <w:rPr>
      <w:rFonts w:ascii="Arial" w:eastAsia="Arial" w:hAnsi="Arial" w:cs="Arial"/>
      <w:lang w:val="en" w:eastAsia="en-CA"/>
    </w:rPr>
  </w:style>
  <w:style w:type="character" w:styleId="CommentReference">
    <w:name w:val="annotation reference"/>
    <w:basedOn w:val="DefaultParagraphFont"/>
    <w:uiPriority w:val="99"/>
    <w:semiHidden/>
    <w:unhideWhenUsed/>
    <w:rsid w:val="00D12264"/>
    <w:rPr>
      <w:sz w:val="18"/>
      <w:szCs w:val="18"/>
    </w:rPr>
  </w:style>
  <w:style w:type="paragraph" w:styleId="CommentText">
    <w:name w:val="annotation text"/>
    <w:basedOn w:val="Normal"/>
    <w:link w:val="CommentTextChar"/>
    <w:uiPriority w:val="99"/>
    <w:semiHidden/>
    <w:unhideWhenUsed/>
    <w:rsid w:val="00D12264"/>
    <w:pPr>
      <w:spacing w:line="240" w:lineRule="auto"/>
    </w:pPr>
    <w:rPr>
      <w:sz w:val="24"/>
      <w:szCs w:val="24"/>
    </w:rPr>
  </w:style>
  <w:style w:type="character" w:customStyle="1" w:styleId="CommentTextChar">
    <w:name w:val="Comment Text Char"/>
    <w:basedOn w:val="DefaultParagraphFont"/>
    <w:link w:val="CommentText"/>
    <w:uiPriority w:val="99"/>
    <w:semiHidden/>
    <w:rsid w:val="00D12264"/>
    <w:rPr>
      <w:rFonts w:ascii="Arial" w:eastAsia="Arial" w:hAnsi="Arial" w:cs="Arial"/>
      <w:sz w:val="24"/>
      <w:szCs w:val="24"/>
      <w:lang w:val="en" w:eastAsia="en-CA"/>
    </w:rPr>
  </w:style>
  <w:style w:type="paragraph" w:styleId="CommentSubject">
    <w:name w:val="annotation subject"/>
    <w:basedOn w:val="CommentText"/>
    <w:next w:val="CommentText"/>
    <w:link w:val="CommentSubjectChar"/>
    <w:uiPriority w:val="99"/>
    <w:semiHidden/>
    <w:unhideWhenUsed/>
    <w:rsid w:val="00D12264"/>
    <w:rPr>
      <w:b/>
      <w:bCs/>
      <w:sz w:val="20"/>
      <w:szCs w:val="20"/>
    </w:rPr>
  </w:style>
  <w:style w:type="character" w:customStyle="1" w:styleId="CommentSubjectChar">
    <w:name w:val="Comment Subject Char"/>
    <w:basedOn w:val="CommentTextChar"/>
    <w:link w:val="CommentSubject"/>
    <w:uiPriority w:val="99"/>
    <w:semiHidden/>
    <w:rsid w:val="00D12264"/>
    <w:rPr>
      <w:rFonts w:ascii="Arial" w:eastAsia="Arial" w:hAnsi="Arial" w:cs="Arial"/>
      <w:b/>
      <w:bCs/>
      <w:sz w:val="20"/>
      <w:szCs w:val="20"/>
      <w:lang w:val="en" w:eastAsia="en-CA"/>
    </w:rPr>
  </w:style>
  <w:style w:type="paragraph" w:styleId="BalloonText">
    <w:name w:val="Balloon Text"/>
    <w:basedOn w:val="Normal"/>
    <w:link w:val="BalloonTextChar"/>
    <w:uiPriority w:val="99"/>
    <w:semiHidden/>
    <w:unhideWhenUsed/>
    <w:rsid w:val="00D1226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2264"/>
    <w:rPr>
      <w:rFonts w:ascii="Times New Roman" w:eastAsia="Arial" w:hAnsi="Times New Roman" w:cs="Times New Roman"/>
      <w:sz w:val="18"/>
      <w:szCs w:val="18"/>
      <w:lang w:val="en" w:eastAsia="en-CA"/>
    </w:rPr>
  </w:style>
  <w:style w:type="character" w:customStyle="1" w:styleId="UnresolvedMention1">
    <w:name w:val="Unresolved Mention1"/>
    <w:basedOn w:val="DefaultParagraphFont"/>
    <w:uiPriority w:val="99"/>
    <w:rsid w:val="00D12264"/>
    <w:rPr>
      <w:color w:val="605E5C"/>
      <w:shd w:val="clear" w:color="auto" w:fill="E1DFDD"/>
    </w:rPr>
  </w:style>
  <w:style w:type="paragraph" w:styleId="Revision">
    <w:name w:val="Revision"/>
    <w:hidden/>
    <w:uiPriority w:val="99"/>
    <w:semiHidden/>
    <w:rsid w:val="00D12264"/>
    <w:pPr>
      <w:spacing w:after="0" w:line="240" w:lineRule="auto"/>
    </w:pPr>
    <w:rPr>
      <w:rFonts w:ascii="Arial" w:eastAsia="Arial" w:hAnsi="Arial" w:cs="Arial"/>
      <w:lang w:val="en" w:eastAsia="en-CA"/>
    </w:rPr>
  </w:style>
  <w:style w:type="table" w:styleId="TableGrid">
    <w:name w:val="Table Grid"/>
    <w:basedOn w:val="TableNormal"/>
    <w:uiPriority w:val="39"/>
    <w:rsid w:val="00D12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title">
    <w:name w:val="sof-title"/>
    <w:basedOn w:val="Normal"/>
    <w:rsid w:val="00D12264"/>
    <w:pPr>
      <w:spacing w:before="100" w:beforeAutospacing="1" w:after="100" w:afterAutospacing="1" w:line="240" w:lineRule="auto"/>
    </w:pPr>
    <w:rPr>
      <w:rFonts w:ascii="MS PGothic" w:eastAsia="MS PGothic" w:hAnsi="MS PGothic" w:cs="MS PGothic"/>
      <w:sz w:val="24"/>
      <w:szCs w:val="24"/>
      <w:lang w:val="en-US" w:eastAsia="ja-JP"/>
    </w:rPr>
  </w:style>
  <w:style w:type="paragraph" w:styleId="NormalWeb">
    <w:name w:val="Normal (Web)"/>
    <w:basedOn w:val="Normal"/>
    <w:uiPriority w:val="99"/>
    <w:semiHidden/>
    <w:unhideWhenUsed/>
    <w:rsid w:val="00D12264"/>
    <w:pPr>
      <w:spacing w:before="100" w:beforeAutospacing="1" w:after="100" w:afterAutospacing="1" w:line="240" w:lineRule="auto"/>
    </w:pPr>
    <w:rPr>
      <w:rFonts w:ascii="MS PGothic" w:eastAsia="MS PGothic" w:hAnsi="MS PGothic" w:cs="MS PGothic"/>
      <w:sz w:val="24"/>
      <w:szCs w:val="24"/>
      <w:lang w:val="en-US" w:eastAsia="ja-JP"/>
    </w:rPr>
  </w:style>
  <w:style w:type="paragraph" w:customStyle="1" w:styleId="first-letter">
    <w:name w:val="first-letter"/>
    <w:basedOn w:val="Normal"/>
    <w:rsid w:val="00D12264"/>
    <w:pPr>
      <w:spacing w:before="100" w:beforeAutospacing="1" w:after="100" w:afterAutospacing="1" w:line="240" w:lineRule="auto"/>
    </w:pPr>
    <w:rPr>
      <w:rFonts w:ascii="MS PGothic" w:eastAsia="MS PGothic" w:hAnsi="MS PGothic" w:cs="MS PGothic"/>
      <w:sz w:val="24"/>
      <w:szCs w:val="24"/>
      <w:lang w:val="en-US" w:eastAsia="ja-JP"/>
    </w:rPr>
  </w:style>
  <w:style w:type="character" w:customStyle="1" w:styleId="label">
    <w:name w:val="label"/>
    <w:basedOn w:val="DefaultParagraphFont"/>
    <w:rsid w:val="00D12264"/>
  </w:style>
  <w:style w:type="character" w:customStyle="1" w:styleId="cell-value">
    <w:name w:val="cell-value"/>
    <w:basedOn w:val="DefaultParagraphFont"/>
    <w:rsid w:val="00D12264"/>
  </w:style>
  <w:style w:type="character" w:customStyle="1" w:styleId="cell">
    <w:name w:val="cell"/>
    <w:basedOn w:val="DefaultParagraphFont"/>
    <w:rsid w:val="00D12264"/>
  </w:style>
  <w:style w:type="character" w:customStyle="1" w:styleId="quality-sign">
    <w:name w:val="quality-sign"/>
    <w:basedOn w:val="DefaultParagraphFont"/>
    <w:rsid w:val="00D12264"/>
  </w:style>
  <w:style w:type="character" w:customStyle="1" w:styleId="quality-text">
    <w:name w:val="quality-text"/>
    <w:basedOn w:val="DefaultParagraphFont"/>
    <w:rsid w:val="00D12264"/>
  </w:style>
  <w:style w:type="character" w:customStyle="1" w:styleId="block">
    <w:name w:val="block"/>
    <w:basedOn w:val="DefaultParagraphFont"/>
    <w:rsid w:val="00D12264"/>
  </w:style>
  <w:style w:type="character" w:styleId="LineNumber">
    <w:name w:val="line number"/>
    <w:basedOn w:val="DefaultParagraphFont"/>
    <w:uiPriority w:val="99"/>
    <w:semiHidden/>
    <w:unhideWhenUsed/>
    <w:rsid w:val="00D122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2264"/>
    <w:pPr>
      <w:spacing w:after="0" w:line="276" w:lineRule="auto"/>
    </w:pPr>
    <w:rPr>
      <w:rFonts w:ascii="Arial" w:eastAsia="Arial" w:hAnsi="Arial" w:cs="Arial"/>
      <w:lang w:val="en" w:eastAsia="en-CA"/>
    </w:rPr>
  </w:style>
  <w:style w:type="paragraph" w:styleId="Heading3">
    <w:name w:val="heading 3"/>
    <w:basedOn w:val="Normal"/>
    <w:link w:val="Heading3Char"/>
    <w:uiPriority w:val="9"/>
    <w:qFormat/>
    <w:rsid w:val="00D12264"/>
    <w:pPr>
      <w:spacing w:before="100" w:beforeAutospacing="1" w:after="100" w:afterAutospacing="1" w:line="240" w:lineRule="auto"/>
      <w:outlineLvl w:val="2"/>
    </w:pPr>
    <w:rPr>
      <w:rFonts w:ascii="Times New Roman" w:eastAsia="Times New Roman" w:hAnsi="Times New Roman" w:cs="Times New Roman"/>
      <w:b/>
      <w:bCs/>
      <w:sz w:val="27"/>
      <w:szCs w:val="27"/>
      <w:lang w:val="en-CA"/>
    </w:rPr>
  </w:style>
  <w:style w:type="paragraph" w:styleId="Heading4">
    <w:name w:val="heading 4"/>
    <w:basedOn w:val="Normal"/>
    <w:next w:val="Normal"/>
    <w:link w:val="Heading4Char"/>
    <w:uiPriority w:val="9"/>
    <w:unhideWhenUsed/>
    <w:qFormat/>
    <w:rsid w:val="00D1226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12264"/>
    <w:rPr>
      <w:rFonts w:ascii="Times New Roman" w:eastAsia="Times New Roman" w:hAnsi="Times New Roman" w:cs="Times New Roman"/>
      <w:b/>
      <w:bCs/>
      <w:sz w:val="27"/>
      <w:szCs w:val="27"/>
      <w:lang w:eastAsia="en-CA"/>
    </w:rPr>
  </w:style>
  <w:style w:type="character" w:customStyle="1" w:styleId="Heading4Char">
    <w:name w:val="Heading 4 Char"/>
    <w:basedOn w:val="DefaultParagraphFont"/>
    <w:link w:val="Heading4"/>
    <w:uiPriority w:val="9"/>
    <w:rsid w:val="00D12264"/>
    <w:rPr>
      <w:rFonts w:asciiTheme="majorHAnsi" w:eastAsiaTheme="majorEastAsia" w:hAnsiTheme="majorHAnsi" w:cstheme="majorBidi"/>
      <w:i/>
      <w:iCs/>
      <w:color w:val="2F5496" w:themeColor="accent1" w:themeShade="BF"/>
      <w:lang w:val="en" w:eastAsia="en-CA"/>
    </w:rPr>
  </w:style>
  <w:style w:type="paragraph" w:styleId="ListParagraph">
    <w:name w:val="List Paragraph"/>
    <w:basedOn w:val="Normal"/>
    <w:uiPriority w:val="34"/>
    <w:qFormat/>
    <w:rsid w:val="00D12264"/>
    <w:pPr>
      <w:ind w:left="720"/>
      <w:contextualSpacing/>
    </w:pPr>
  </w:style>
  <w:style w:type="character" w:styleId="Hyperlink">
    <w:name w:val="Hyperlink"/>
    <w:basedOn w:val="DefaultParagraphFont"/>
    <w:uiPriority w:val="99"/>
    <w:unhideWhenUsed/>
    <w:rsid w:val="00D12264"/>
    <w:rPr>
      <w:color w:val="0000FF"/>
      <w:u w:val="single"/>
    </w:rPr>
  </w:style>
  <w:style w:type="paragraph" w:styleId="Header">
    <w:name w:val="header"/>
    <w:basedOn w:val="Normal"/>
    <w:link w:val="HeaderChar"/>
    <w:uiPriority w:val="99"/>
    <w:unhideWhenUsed/>
    <w:rsid w:val="00D12264"/>
    <w:pPr>
      <w:tabs>
        <w:tab w:val="center" w:pos="4680"/>
        <w:tab w:val="right" w:pos="9360"/>
      </w:tabs>
      <w:spacing w:line="240" w:lineRule="auto"/>
    </w:pPr>
  </w:style>
  <w:style w:type="character" w:customStyle="1" w:styleId="HeaderChar">
    <w:name w:val="Header Char"/>
    <w:basedOn w:val="DefaultParagraphFont"/>
    <w:link w:val="Header"/>
    <w:uiPriority w:val="99"/>
    <w:rsid w:val="00D12264"/>
    <w:rPr>
      <w:rFonts w:ascii="Arial" w:eastAsia="Arial" w:hAnsi="Arial" w:cs="Arial"/>
      <w:lang w:val="en" w:eastAsia="en-CA"/>
    </w:rPr>
  </w:style>
  <w:style w:type="paragraph" w:styleId="Footer">
    <w:name w:val="footer"/>
    <w:basedOn w:val="Normal"/>
    <w:link w:val="FooterChar"/>
    <w:uiPriority w:val="99"/>
    <w:unhideWhenUsed/>
    <w:rsid w:val="00D12264"/>
    <w:pPr>
      <w:tabs>
        <w:tab w:val="center" w:pos="4680"/>
        <w:tab w:val="right" w:pos="9360"/>
      </w:tabs>
      <w:spacing w:line="240" w:lineRule="auto"/>
    </w:pPr>
  </w:style>
  <w:style w:type="character" w:customStyle="1" w:styleId="FooterChar">
    <w:name w:val="Footer Char"/>
    <w:basedOn w:val="DefaultParagraphFont"/>
    <w:link w:val="Footer"/>
    <w:uiPriority w:val="99"/>
    <w:rsid w:val="00D12264"/>
    <w:rPr>
      <w:rFonts w:ascii="Arial" w:eastAsia="Arial" w:hAnsi="Arial" w:cs="Arial"/>
      <w:lang w:val="en" w:eastAsia="en-CA"/>
    </w:rPr>
  </w:style>
  <w:style w:type="character" w:styleId="CommentReference">
    <w:name w:val="annotation reference"/>
    <w:basedOn w:val="DefaultParagraphFont"/>
    <w:uiPriority w:val="99"/>
    <w:semiHidden/>
    <w:unhideWhenUsed/>
    <w:rsid w:val="00D12264"/>
    <w:rPr>
      <w:sz w:val="18"/>
      <w:szCs w:val="18"/>
    </w:rPr>
  </w:style>
  <w:style w:type="paragraph" w:styleId="CommentText">
    <w:name w:val="annotation text"/>
    <w:basedOn w:val="Normal"/>
    <w:link w:val="CommentTextChar"/>
    <w:uiPriority w:val="99"/>
    <w:semiHidden/>
    <w:unhideWhenUsed/>
    <w:rsid w:val="00D12264"/>
    <w:pPr>
      <w:spacing w:line="240" w:lineRule="auto"/>
    </w:pPr>
    <w:rPr>
      <w:sz w:val="24"/>
      <w:szCs w:val="24"/>
    </w:rPr>
  </w:style>
  <w:style w:type="character" w:customStyle="1" w:styleId="CommentTextChar">
    <w:name w:val="Comment Text Char"/>
    <w:basedOn w:val="DefaultParagraphFont"/>
    <w:link w:val="CommentText"/>
    <w:uiPriority w:val="99"/>
    <w:semiHidden/>
    <w:rsid w:val="00D12264"/>
    <w:rPr>
      <w:rFonts w:ascii="Arial" w:eastAsia="Arial" w:hAnsi="Arial" w:cs="Arial"/>
      <w:sz w:val="24"/>
      <w:szCs w:val="24"/>
      <w:lang w:val="en" w:eastAsia="en-CA"/>
    </w:rPr>
  </w:style>
  <w:style w:type="paragraph" w:styleId="CommentSubject">
    <w:name w:val="annotation subject"/>
    <w:basedOn w:val="CommentText"/>
    <w:next w:val="CommentText"/>
    <w:link w:val="CommentSubjectChar"/>
    <w:uiPriority w:val="99"/>
    <w:semiHidden/>
    <w:unhideWhenUsed/>
    <w:rsid w:val="00D12264"/>
    <w:rPr>
      <w:b/>
      <w:bCs/>
      <w:sz w:val="20"/>
      <w:szCs w:val="20"/>
    </w:rPr>
  </w:style>
  <w:style w:type="character" w:customStyle="1" w:styleId="CommentSubjectChar">
    <w:name w:val="Comment Subject Char"/>
    <w:basedOn w:val="CommentTextChar"/>
    <w:link w:val="CommentSubject"/>
    <w:uiPriority w:val="99"/>
    <w:semiHidden/>
    <w:rsid w:val="00D12264"/>
    <w:rPr>
      <w:rFonts w:ascii="Arial" w:eastAsia="Arial" w:hAnsi="Arial" w:cs="Arial"/>
      <w:b/>
      <w:bCs/>
      <w:sz w:val="20"/>
      <w:szCs w:val="20"/>
      <w:lang w:val="en" w:eastAsia="en-CA"/>
    </w:rPr>
  </w:style>
  <w:style w:type="paragraph" w:styleId="BalloonText">
    <w:name w:val="Balloon Text"/>
    <w:basedOn w:val="Normal"/>
    <w:link w:val="BalloonTextChar"/>
    <w:uiPriority w:val="99"/>
    <w:semiHidden/>
    <w:unhideWhenUsed/>
    <w:rsid w:val="00D1226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12264"/>
    <w:rPr>
      <w:rFonts w:ascii="Times New Roman" w:eastAsia="Arial" w:hAnsi="Times New Roman" w:cs="Times New Roman"/>
      <w:sz w:val="18"/>
      <w:szCs w:val="18"/>
      <w:lang w:val="en" w:eastAsia="en-CA"/>
    </w:rPr>
  </w:style>
  <w:style w:type="character" w:customStyle="1" w:styleId="UnresolvedMention1">
    <w:name w:val="Unresolved Mention1"/>
    <w:basedOn w:val="DefaultParagraphFont"/>
    <w:uiPriority w:val="99"/>
    <w:rsid w:val="00D12264"/>
    <w:rPr>
      <w:color w:val="605E5C"/>
      <w:shd w:val="clear" w:color="auto" w:fill="E1DFDD"/>
    </w:rPr>
  </w:style>
  <w:style w:type="paragraph" w:styleId="Revision">
    <w:name w:val="Revision"/>
    <w:hidden/>
    <w:uiPriority w:val="99"/>
    <w:semiHidden/>
    <w:rsid w:val="00D12264"/>
    <w:pPr>
      <w:spacing w:after="0" w:line="240" w:lineRule="auto"/>
    </w:pPr>
    <w:rPr>
      <w:rFonts w:ascii="Arial" w:eastAsia="Arial" w:hAnsi="Arial" w:cs="Arial"/>
      <w:lang w:val="en" w:eastAsia="en-CA"/>
    </w:rPr>
  </w:style>
  <w:style w:type="table" w:styleId="TableGrid">
    <w:name w:val="Table Grid"/>
    <w:basedOn w:val="TableNormal"/>
    <w:uiPriority w:val="39"/>
    <w:rsid w:val="00D12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title">
    <w:name w:val="sof-title"/>
    <w:basedOn w:val="Normal"/>
    <w:rsid w:val="00D12264"/>
    <w:pPr>
      <w:spacing w:before="100" w:beforeAutospacing="1" w:after="100" w:afterAutospacing="1" w:line="240" w:lineRule="auto"/>
    </w:pPr>
    <w:rPr>
      <w:rFonts w:ascii="MS PGothic" w:eastAsia="MS PGothic" w:hAnsi="MS PGothic" w:cs="MS PGothic"/>
      <w:sz w:val="24"/>
      <w:szCs w:val="24"/>
      <w:lang w:val="en-US" w:eastAsia="ja-JP"/>
    </w:rPr>
  </w:style>
  <w:style w:type="paragraph" w:styleId="NormalWeb">
    <w:name w:val="Normal (Web)"/>
    <w:basedOn w:val="Normal"/>
    <w:uiPriority w:val="99"/>
    <w:semiHidden/>
    <w:unhideWhenUsed/>
    <w:rsid w:val="00D12264"/>
    <w:pPr>
      <w:spacing w:before="100" w:beforeAutospacing="1" w:after="100" w:afterAutospacing="1" w:line="240" w:lineRule="auto"/>
    </w:pPr>
    <w:rPr>
      <w:rFonts w:ascii="MS PGothic" w:eastAsia="MS PGothic" w:hAnsi="MS PGothic" w:cs="MS PGothic"/>
      <w:sz w:val="24"/>
      <w:szCs w:val="24"/>
      <w:lang w:val="en-US" w:eastAsia="ja-JP"/>
    </w:rPr>
  </w:style>
  <w:style w:type="paragraph" w:customStyle="1" w:styleId="first-letter">
    <w:name w:val="first-letter"/>
    <w:basedOn w:val="Normal"/>
    <w:rsid w:val="00D12264"/>
    <w:pPr>
      <w:spacing w:before="100" w:beforeAutospacing="1" w:after="100" w:afterAutospacing="1" w:line="240" w:lineRule="auto"/>
    </w:pPr>
    <w:rPr>
      <w:rFonts w:ascii="MS PGothic" w:eastAsia="MS PGothic" w:hAnsi="MS PGothic" w:cs="MS PGothic"/>
      <w:sz w:val="24"/>
      <w:szCs w:val="24"/>
      <w:lang w:val="en-US" w:eastAsia="ja-JP"/>
    </w:rPr>
  </w:style>
  <w:style w:type="character" w:customStyle="1" w:styleId="label">
    <w:name w:val="label"/>
    <w:basedOn w:val="DefaultParagraphFont"/>
    <w:rsid w:val="00D12264"/>
  </w:style>
  <w:style w:type="character" w:customStyle="1" w:styleId="cell-value">
    <w:name w:val="cell-value"/>
    <w:basedOn w:val="DefaultParagraphFont"/>
    <w:rsid w:val="00D12264"/>
  </w:style>
  <w:style w:type="character" w:customStyle="1" w:styleId="cell">
    <w:name w:val="cell"/>
    <w:basedOn w:val="DefaultParagraphFont"/>
    <w:rsid w:val="00D12264"/>
  </w:style>
  <w:style w:type="character" w:customStyle="1" w:styleId="quality-sign">
    <w:name w:val="quality-sign"/>
    <w:basedOn w:val="DefaultParagraphFont"/>
    <w:rsid w:val="00D12264"/>
  </w:style>
  <w:style w:type="character" w:customStyle="1" w:styleId="quality-text">
    <w:name w:val="quality-text"/>
    <w:basedOn w:val="DefaultParagraphFont"/>
    <w:rsid w:val="00D12264"/>
  </w:style>
  <w:style w:type="character" w:customStyle="1" w:styleId="block">
    <w:name w:val="block"/>
    <w:basedOn w:val="DefaultParagraphFont"/>
    <w:rsid w:val="00D12264"/>
  </w:style>
  <w:style w:type="character" w:styleId="LineNumber">
    <w:name w:val="line number"/>
    <w:basedOn w:val="DefaultParagraphFont"/>
    <w:uiPriority w:val="99"/>
    <w:semiHidden/>
    <w:unhideWhenUsed/>
    <w:rsid w:val="00D12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microsoft.com/office/2007/relationships/stylesWithEffects" Target="stylesWithEffect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20</Pages>
  <Words>3160</Words>
  <Characters>17444</Characters>
  <Application>Microsoft Office Word</Application>
  <DocSecurity>0</DocSecurity>
  <Lines>471</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KAZUHA KIZAKI</dc:creator>
  <cp:keywords/>
  <dc:description/>
  <cp:lastModifiedBy>S3G_Reference_Citation_Sequence</cp:lastModifiedBy>
  <cp:revision>22</cp:revision>
  <cp:lastPrinted>2019-07-10T16:27:00Z</cp:lastPrinted>
  <dcterms:created xsi:type="dcterms:W3CDTF">2019-07-10T16:26:00Z</dcterms:created>
  <dcterms:modified xsi:type="dcterms:W3CDTF">2019-11-16T22:51:00Z</dcterms:modified>
</cp:coreProperties>
</file>