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15A" w:rsidRPr="00D80C06" w:rsidRDefault="00864DF9" w:rsidP="008B715A">
      <w:pPr>
        <w:spacing w:after="0" w:line="360" w:lineRule="auto"/>
        <w:ind w:firstLine="0"/>
        <w:jc w:val="left"/>
        <w:outlineLvl w:val="0"/>
        <w:rPr>
          <w:rFonts w:cs="Arial"/>
          <w:bCs/>
          <w:szCs w:val="24"/>
        </w:rPr>
      </w:pPr>
      <w:r w:rsidRPr="00D80C06">
        <w:rPr>
          <w:rFonts w:cs="Arial"/>
          <w:b/>
          <w:bCs/>
          <w:szCs w:val="24"/>
        </w:rPr>
        <w:t>Additional file 2</w:t>
      </w:r>
      <w:r>
        <w:rPr>
          <w:rFonts w:cs="Arial"/>
          <w:b/>
          <w:bCs/>
          <w:szCs w:val="24"/>
        </w:rPr>
        <w:t xml:space="preserve">: </w:t>
      </w:r>
      <w:bookmarkStart w:id="0" w:name="_GoBack"/>
      <w:bookmarkEnd w:id="0"/>
      <w:r w:rsidR="008B715A" w:rsidRPr="00D80C06">
        <w:rPr>
          <w:b/>
          <w:bCs/>
          <w:szCs w:val="24"/>
        </w:rPr>
        <w:t>Table</w:t>
      </w:r>
      <w:r w:rsidR="008B715A" w:rsidRPr="00D80C06">
        <w:rPr>
          <w:rFonts w:cs="Arial"/>
          <w:b/>
          <w:bCs/>
          <w:szCs w:val="24"/>
        </w:rPr>
        <w:t xml:space="preserve"> </w:t>
      </w:r>
      <w:r w:rsidRPr="00D80C06">
        <w:rPr>
          <w:rFonts w:cs="Arial"/>
          <w:b/>
          <w:bCs/>
          <w:szCs w:val="24"/>
        </w:rPr>
        <w:t>S</w:t>
      </w:r>
      <w:r w:rsidR="008B715A" w:rsidRPr="00D80C06">
        <w:rPr>
          <w:rFonts w:cs="Arial"/>
          <w:b/>
          <w:bCs/>
          <w:szCs w:val="24"/>
        </w:rPr>
        <w:t>2</w:t>
      </w:r>
      <w:r>
        <w:rPr>
          <w:rFonts w:cs="Arial"/>
          <w:b/>
          <w:bCs/>
          <w:szCs w:val="24"/>
        </w:rPr>
        <w:t>.</w:t>
      </w:r>
      <w:r w:rsidR="008B715A" w:rsidRPr="00D80C06">
        <w:rPr>
          <w:rFonts w:cs="Arial"/>
          <w:b/>
          <w:bCs/>
          <w:szCs w:val="24"/>
        </w:rPr>
        <w:t xml:space="preserve"> </w:t>
      </w:r>
    </w:p>
    <w:p w:rsidR="008B715A" w:rsidRPr="00D80C06" w:rsidRDefault="008B715A" w:rsidP="008B715A">
      <w:pPr>
        <w:spacing w:after="0" w:line="360" w:lineRule="auto"/>
        <w:ind w:firstLine="0"/>
        <w:jc w:val="left"/>
        <w:outlineLvl w:val="0"/>
        <w:rPr>
          <w:rFonts w:ascii="Times New Roman" w:hAnsi="Times New Roman" w:cs="Times New Roman"/>
          <w:bCs/>
          <w:szCs w:val="24"/>
        </w:rPr>
      </w:pPr>
      <w:r w:rsidRPr="00D80C06">
        <w:rPr>
          <w:rFonts w:cs="Arial"/>
          <w:b/>
          <w:bCs/>
          <w:szCs w:val="24"/>
        </w:rPr>
        <w:t xml:space="preserve">Format: </w:t>
      </w:r>
      <w:r w:rsidRPr="00D80C06">
        <w:rPr>
          <w:rFonts w:cs="Arial"/>
          <w:szCs w:val="24"/>
        </w:rPr>
        <w:t>DOC</w:t>
      </w:r>
    </w:p>
    <w:p w:rsidR="008B715A" w:rsidRPr="00D80C06" w:rsidRDefault="008B715A" w:rsidP="008B715A">
      <w:pPr>
        <w:spacing w:after="0" w:line="360" w:lineRule="auto"/>
        <w:ind w:firstLine="0"/>
        <w:jc w:val="left"/>
        <w:outlineLvl w:val="0"/>
        <w:rPr>
          <w:bCs/>
        </w:rPr>
      </w:pPr>
      <w:r w:rsidRPr="00D80C06">
        <w:rPr>
          <w:rFonts w:cs="Arial"/>
          <w:b/>
          <w:bCs/>
          <w:szCs w:val="24"/>
        </w:rPr>
        <w:t xml:space="preserve">Title: </w:t>
      </w:r>
      <w:r w:rsidRPr="00D80C06">
        <w:t>Sources of census tract-level and state-level variables</w:t>
      </w:r>
    </w:p>
    <w:p w:rsidR="008B715A" w:rsidRPr="00D80C06" w:rsidRDefault="008B715A" w:rsidP="008B715A">
      <w:pPr>
        <w:spacing w:after="0" w:line="360" w:lineRule="auto"/>
        <w:ind w:firstLine="0"/>
        <w:jc w:val="left"/>
        <w:outlineLvl w:val="0"/>
        <w:rPr>
          <w:rFonts w:ascii="Times New Roman" w:hAnsi="Times New Roman" w:cs="Times New Roman"/>
          <w:bCs/>
        </w:rPr>
      </w:pPr>
      <w:r w:rsidRPr="00D80C06">
        <w:rPr>
          <w:rFonts w:cs="Arial"/>
          <w:b/>
          <w:bCs/>
          <w:szCs w:val="24"/>
        </w:rPr>
        <w:t>Description: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181"/>
        <w:gridCol w:w="1454"/>
        <w:gridCol w:w="1741"/>
        <w:gridCol w:w="6798"/>
      </w:tblGrid>
      <w:tr w:rsidR="008B715A" w:rsidRPr="00D80C06" w:rsidTr="003C4F18">
        <w:tc>
          <w:tcPr>
            <w:tcW w:w="1475" w:type="pct"/>
            <w:shd w:val="clear" w:color="auto" w:fill="auto"/>
          </w:tcPr>
          <w:p w:rsidR="008B715A" w:rsidRPr="00D80C06" w:rsidRDefault="008B715A" w:rsidP="003C4F18">
            <w:pPr>
              <w:tabs>
                <w:tab w:val="left" w:pos="2580"/>
              </w:tabs>
              <w:spacing w:line="360" w:lineRule="auto"/>
              <w:jc w:val="left"/>
              <w:rPr>
                <w:rFonts w:cs="Arial"/>
                <w:b/>
                <w:color w:val="000000" w:themeColor="text1"/>
                <w:sz w:val="19"/>
                <w:szCs w:val="19"/>
              </w:rPr>
            </w:pPr>
            <w:r w:rsidRPr="00D80C06">
              <w:rPr>
                <w:rFonts w:cs="Arial"/>
                <w:b/>
                <w:color w:val="000000" w:themeColor="text1"/>
                <w:sz w:val="19"/>
                <w:szCs w:val="19"/>
              </w:rPr>
              <w:t>Variable</w:t>
            </w:r>
          </w:p>
        </w:tc>
        <w:tc>
          <w:tcPr>
            <w:tcW w:w="513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b/>
                <w:sz w:val="19"/>
                <w:szCs w:val="19"/>
              </w:rPr>
            </w:pPr>
            <w:r w:rsidRPr="00D80C06">
              <w:rPr>
                <w:rFonts w:cs="Arial"/>
                <w:b/>
                <w:sz w:val="19"/>
                <w:szCs w:val="19"/>
              </w:rPr>
              <w:t>Level</w:t>
            </w:r>
          </w:p>
        </w:tc>
        <w:tc>
          <w:tcPr>
            <w:tcW w:w="614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b/>
                <w:sz w:val="19"/>
                <w:szCs w:val="19"/>
              </w:rPr>
            </w:pPr>
            <w:r w:rsidRPr="00D80C06">
              <w:rPr>
                <w:rFonts w:cs="Arial"/>
                <w:b/>
                <w:sz w:val="19"/>
                <w:szCs w:val="19"/>
              </w:rPr>
              <w:t>Source</w:t>
            </w:r>
          </w:p>
        </w:tc>
        <w:tc>
          <w:tcPr>
            <w:tcW w:w="2398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jc w:val="left"/>
              <w:rPr>
                <w:rFonts w:cs="Arial"/>
                <w:b/>
                <w:sz w:val="19"/>
                <w:szCs w:val="19"/>
              </w:rPr>
            </w:pPr>
            <w:r w:rsidRPr="00D80C06">
              <w:rPr>
                <w:rFonts w:cs="Arial"/>
                <w:b/>
                <w:sz w:val="19"/>
                <w:szCs w:val="19"/>
              </w:rPr>
              <w:t>Link</w:t>
            </w:r>
          </w:p>
        </w:tc>
      </w:tr>
      <w:tr w:rsidR="008B715A" w:rsidRPr="00D80C06" w:rsidTr="003C4F18">
        <w:tc>
          <w:tcPr>
            <w:tcW w:w="1475" w:type="pct"/>
            <w:shd w:val="clear" w:color="auto" w:fill="auto"/>
          </w:tcPr>
          <w:p w:rsidR="008B715A" w:rsidRPr="00D80C06" w:rsidRDefault="008B715A" w:rsidP="003C4F18">
            <w:pPr>
              <w:tabs>
                <w:tab w:val="left" w:pos="2580"/>
              </w:tabs>
              <w:spacing w:line="360" w:lineRule="auto"/>
              <w:ind w:firstLine="0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  <w:r w:rsidRPr="00D80C06">
              <w:rPr>
                <w:rFonts w:cs="Arial"/>
                <w:color w:val="000000" w:themeColor="text1"/>
                <w:sz w:val="19"/>
                <w:szCs w:val="19"/>
              </w:rPr>
              <w:t>Median household income 2006-2010</w:t>
            </w:r>
          </w:p>
        </w:tc>
        <w:tc>
          <w:tcPr>
            <w:tcW w:w="513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sz w:val="19"/>
                <w:szCs w:val="19"/>
              </w:rPr>
            </w:pPr>
            <w:r w:rsidRPr="00D80C06">
              <w:rPr>
                <w:rFonts w:cs="Arial"/>
                <w:bCs/>
                <w:sz w:val="19"/>
                <w:szCs w:val="19"/>
              </w:rPr>
              <w:t>Census tract</w:t>
            </w:r>
          </w:p>
        </w:tc>
        <w:tc>
          <w:tcPr>
            <w:tcW w:w="614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sz w:val="19"/>
                <w:szCs w:val="19"/>
              </w:rPr>
            </w:pPr>
            <w:r w:rsidRPr="00D80C06">
              <w:rPr>
                <w:rFonts w:cs="Arial"/>
                <w:sz w:val="19"/>
                <w:szCs w:val="19"/>
              </w:rPr>
              <w:t>ACS through NHGIS</w:t>
            </w:r>
          </w:p>
        </w:tc>
        <w:tc>
          <w:tcPr>
            <w:tcW w:w="2398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szCs w:val="24"/>
              </w:rPr>
            </w:pPr>
            <w:r w:rsidRPr="00D80C06">
              <w:rPr>
                <w:rFonts w:cs="Arial"/>
                <w:szCs w:val="24"/>
              </w:rPr>
              <w:t>https://www.nhgis.org</w:t>
            </w:r>
          </w:p>
        </w:tc>
      </w:tr>
      <w:tr w:rsidR="008B715A" w:rsidRPr="00D80C06" w:rsidTr="003C4F18">
        <w:tc>
          <w:tcPr>
            <w:tcW w:w="1475" w:type="pct"/>
            <w:shd w:val="clear" w:color="auto" w:fill="auto"/>
          </w:tcPr>
          <w:p w:rsidR="008B715A" w:rsidRPr="00D80C06" w:rsidRDefault="008B715A" w:rsidP="003C4F18">
            <w:pPr>
              <w:tabs>
                <w:tab w:val="left" w:pos="2580"/>
              </w:tabs>
              <w:spacing w:line="360" w:lineRule="auto"/>
              <w:ind w:firstLine="0"/>
              <w:jc w:val="left"/>
              <w:rPr>
                <w:rFonts w:cs="Arial"/>
                <w:b/>
                <w:color w:val="000000" w:themeColor="text1"/>
                <w:sz w:val="19"/>
                <w:szCs w:val="19"/>
              </w:rPr>
            </w:pPr>
            <w:r w:rsidRPr="00D80C06">
              <w:rPr>
                <w:rFonts w:cs="Arial"/>
                <w:color w:val="000000" w:themeColor="text1"/>
                <w:sz w:val="19"/>
                <w:szCs w:val="19"/>
              </w:rPr>
              <w:t>Annual rate of unemployment 2002-2008</w:t>
            </w:r>
          </w:p>
        </w:tc>
        <w:tc>
          <w:tcPr>
            <w:tcW w:w="513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sz w:val="19"/>
                <w:szCs w:val="19"/>
              </w:rPr>
            </w:pPr>
            <w:r w:rsidRPr="00D80C06">
              <w:rPr>
                <w:rFonts w:cs="Arial"/>
                <w:sz w:val="19"/>
                <w:szCs w:val="19"/>
              </w:rPr>
              <w:t>State</w:t>
            </w:r>
          </w:p>
        </w:tc>
        <w:tc>
          <w:tcPr>
            <w:tcW w:w="614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sz w:val="19"/>
                <w:szCs w:val="19"/>
                <w:vertAlign w:val="superscript"/>
              </w:rPr>
            </w:pPr>
            <w:r w:rsidRPr="00D80C06">
              <w:rPr>
                <w:rFonts w:cs="Arial"/>
                <w:sz w:val="19"/>
                <w:szCs w:val="19"/>
              </w:rPr>
              <w:t>U.S. BLS</w:t>
            </w:r>
          </w:p>
        </w:tc>
        <w:tc>
          <w:tcPr>
            <w:tcW w:w="2398" w:type="pct"/>
            <w:shd w:val="clear" w:color="auto" w:fill="auto"/>
          </w:tcPr>
          <w:p w:rsidR="008B715A" w:rsidRPr="00D80C06" w:rsidRDefault="00864DF9" w:rsidP="003C4F18">
            <w:pPr>
              <w:spacing w:line="360" w:lineRule="auto"/>
              <w:ind w:firstLine="0"/>
              <w:jc w:val="left"/>
              <w:rPr>
                <w:rFonts w:cs="Arial"/>
                <w:szCs w:val="24"/>
              </w:rPr>
            </w:pPr>
            <w:hyperlink r:id="rId5" w:history="1">
              <w:r w:rsidR="008B715A" w:rsidRPr="00D80C06">
                <w:rPr>
                  <w:rStyle w:val="Hyperlink"/>
                  <w:rFonts w:cs="Arial"/>
                  <w:szCs w:val="24"/>
                </w:rPr>
                <w:t>http://www.bls.gov/lau/#data</w:t>
              </w:r>
            </w:hyperlink>
          </w:p>
        </w:tc>
      </w:tr>
      <w:tr w:rsidR="008B715A" w:rsidRPr="00D80C06" w:rsidTr="003C4F18">
        <w:tc>
          <w:tcPr>
            <w:tcW w:w="1475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b/>
                <w:color w:val="000000" w:themeColor="text1"/>
                <w:sz w:val="19"/>
                <w:szCs w:val="19"/>
              </w:rPr>
            </w:pPr>
            <w:r w:rsidRPr="00D80C06">
              <w:rPr>
                <w:rFonts w:cs="Arial"/>
                <w:color w:val="000000" w:themeColor="text1"/>
                <w:sz w:val="19"/>
                <w:szCs w:val="19"/>
              </w:rPr>
              <w:t>Annual state physician density per 100,000 population 2002-2008</w:t>
            </w:r>
          </w:p>
        </w:tc>
        <w:tc>
          <w:tcPr>
            <w:tcW w:w="513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sz w:val="19"/>
                <w:szCs w:val="19"/>
              </w:rPr>
            </w:pPr>
            <w:r w:rsidRPr="00D80C06">
              <w:rPr>
                <w:rFonts w:cs="Arial"/>
                <w:sz w:val="19"/>
                <w:szCs w:val="19"/>
              </w:rPr>
              <w:t>State</w:t>
            </w:r>
          </w:p>
        </w:tc>
        <w:tc>
          <w:tcPr>
            <w:tcW w:w="614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color w:val="000000" w:themeColor="text1"/>
                <w:sz w:val="19"/>
                <w:szCs w:val="19"/>
                <w:vertAlign w:val="superscript"/>
              </w:rPr>
            </w:pPr>
            <w:r w:rsidRPr="00D80C06">
              <w:rPr>
                <w:rFonts w:cs="Arial"/>
                <w:color w:val="000000" w:themeColor="text1"/>
                <w:sz w:val="19"/>
                <w:szCs w:val="19"/>
              </w:rPr>
              <w:t>U.S. Census</w:t>
            </w:r>
          </w:p>
        </w:tc>
        <w:tc>
          <w:tcPr>
            <w:tcW w:w="2398" w:type="pct"/>
            <w:shd w:val="clear" w:color="auto" w:fill="auto"/>
          </w:tcPr>
          <w:p w:rsidR="008B715A" w:rsidRPr="00D80C06" w:rsidRDefault="00864DF9" w:rsidP="003C4F18">
            <w:pPr>
              <w:spacing w:line="360" w:lineRule="auto"/>
              <w:ind w:firstLine="0"/>
              <w:jc w:val="left"/>
              <w:rPr>
                <w:szCs w:val="24"/>
              </w:rPr>
            </w:pPr>
            <w:hyperlink r:id="rId6" w:history="1">
              <w:r w:rsidR="008B715A" w:rsidRPr="00D80C06">
                <w:rPr>
                  <w:rStyle w:val="Hyperlink"/>
                  <w:szCs w:val="24"/>
                </w:rPr>
                <w:t>http://census.gov/library/publications/time-series/statistical_abstracts.html</w:t>
              </w:r>
            </w:hyperlink>
          </w:p>
        </w:tc>
      </w:tr>
      <w:tr w:rsidR="008B715A" w:rsidRPr="00D80C06" w:rsidTr="003C4F18">
        <w:tc>
          <w:tcPr>
            <w:tcW w:w="1475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  <w:r w:rsidRPr="00D80C06">
              <w:rPr>
                <w:rFonts w:cs="Arial"/>
                <w:sz w:val="19"/>
                <w:szCs w:val="19"/>
              </w:rPr>
              <w:t>State Orthopaedic surgeon density per 100,000 population in 2004 &amp; 2006</w:t>
            </w:r>
          </w:p>
        </w:tc>
        <w:tc>
          <w:tcPr>
            <w:tcW w:w="513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sz w:val="19"/>
                <w:szCs w:val="19"/>
              </w:rPr>
            </w:pPr>
            <w:r w:rsidRPr="00D80C06">
              <w:rPr>
                <w:rFonts w:cs="Arial"/>
                <w:sz w:val="19"/>
                <w:szCs w:val="19"/>
              </w:rPr>
              <w:t>State</w:t>
            </w:r>
          </w:p>
        </w:tc>
        <w:tc>
          <w:tcPr>
            <w:tcW w:w="614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  <w:r w:rsidRPr="00D80C06">
              <w:rPr>
                <w:rFonts w:cs="Arial"/>
                <w:color w:val="000000" w:themeColor="text1"/>
                <w:sz w:val="19"/>
                <w:szCs w:val="19"/>
              </w:rPr>
              <w:t>AAOS</w:t>
            </w:r>
          </w:p>
        </w:tc>
        <w:tc>
          <w:tcPr>
            <w:tcW w:w="2398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</w:p>
        </w:tc>
      </w:tr>
      <w:tr w:rsidR="008B715A" w:rsidRPr="00D80C06" w:rsidTr="003C4F18">
        <w:tc>
          <w:tcPr>
            <w:tcW w:w="1475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  <w:r w:rsidRPr="00D80C06">
              <w:rPr>
                <w:rFonts w:cs="Arial"/>
                <w:color w:val="000000" w:themeColor="text1"/>
                <w:sz w:val="19"/>
                <w:szCs w:val="19"/>
              </w:rPr>
              <w:t xml:space="preserve">State MRI facilities density per 100,1000 population </w:t>
            </w:r>
          </w:p>
        </w:tc>
        <w:tc>
          <w:tcPr>
            <w:tcW w:w="513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sz w:val="19"/>
                <w:szCs w:val="19"/>
              </w:rPr>
            </w:pPr>
            <w:r w:rsidRPr="00D80C06">
              <w:rPr>
                <w:rFonts w:cs="Arial"/>
                <w:sz w:val="19"/>
                <w:szCs w:val="19"/>
              </w:rPr>
              <w:t>State</w:t>
            </w:r>
          </w:p>
        </w:tc>
        <w:tc>
          <w:tcPr>
            <w:tcW w:w="614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  <w:r w:rsidRPr="00D80C06">
              <w:rPr>
                <w:rFonts w:cs="Arial"/>
                <w:color w:val="000000" w:themeColor="text1"/>
                <w:sz w:val="19"/>
                <w:szCs w:val="19"/>
              </w:rPr>
              <w:t>IMV medical Information Division</w:t>
            </w:r>
          </w:p>
        </w:tc>
        <w:tc>
          <w:tcPr>
            <w:tcW w:w="2398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</w:p>
        </w:tc>
      </w:tr>
      <w:tr w:rsidR="008B715A" w:rsidRPr="00D80C06" w:rsidTr="003C4F18">
        <w:tc>
          <w:tcPr>
            <w:tcW w:w="1475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  <w:r w:rsidRPr="00D80C06">
              <w:rPr>
                <w:rFonts w:cs="Arial"/>
                <w:sz w:val="20"/>
                <w:szCs w:val="20"/>
              </w:rPr>
              <w:t>Annual state workers’ compensation policy on: waiting period before worker is entitled to WC benefits; waiting and retroactive periods; percentage of total income loss paid based on minimum and maximum wage compensation allowance</w:t>
            </w:r>
          </w:p>
        </w:tc>
        <w:tc>
          <w:tcPr>
            <w:tcW w:w="513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sz w:val="19"/>
                <w:szCs w:val="19"/>
              </w:rPr>
            </w:pPr>
            <w:r w:rsidRPr="00D80C06">
              <w:rPr>
                <w:rFonts w:cs="Arial"/>
                <w:sz w:val="19"/>
                <w:szCs w:val="19"/>
              </w:rPr>
              <w:t>State</w:t>
            </w:r>
          </w:p>
        </w:tc>
        <w:tc>
          <w:tcPr>
            <w:tcW w:w="614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  <w:r w:rsidRPr="00D80C06">
              <w:rPr>
                <w:rFonts w:cs="Arial"/>
                <w:color w:val="000000" w:themeColor="text1"/>
                <w:sz w:val="20"/>
                <w:szCs w:val="20"/>
              </w:rPr>
              <w:t>WCRI</w:t>
            </w:r>
            <w:r w:rsidRPr="00D80C06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D80C06">
              <w:rPr>
                <w:rFonts w:cs="Arial"/>
                <w:color w:val="000000" w:themeColor="text1"/>
                <w:sz w:val="20"/>
                <w:szCs w:val="20"/>
              </w:rPr>
              <w:t>&amp; U.S. Chamber of Commerce</w:t>
            </w:r>
          </w:p>
        </w:tc>
        <w:tc>
          <w:tcPr>
            <w:tcW w:w="2398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</w:p>
        </w:tc>
      </w:tr>
      <w:tr w:rsidR="008B715A" w:rsidRPr="00D80C06" w:rsidTr="003C4F18">
        <w:tc>
          <w:tcPr>
            <w:tcW w:w="1475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  <w:r w:rsidRPr="00D80C06">
              <w:rPr>
                <w:rFonts w:cs="Arial"/>
                <w:sz w:val="20"/>
                <w:szCs w:val="20"/>
              </w:rPr>
              <w:lastRenderedPageBreak/>
              <w:t>Annual state workers’ compensation cost containment effort: employee limited initial treating physician choice, employee limited treating physician change, mandated utilization review program, and treating physical fee schedule</w:t>
            </w:r>
          </w:p>
        </w:tc>
        <w:tc>
          <w:tcPr>
            <w:tcW w:w="513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sz w:val="19"/>
                <w:szCs w:val="19"/>
              </w:rPr>
            </w:pPr>
            <w:r w:rsidRPr="00D80C06">
              <w:rPr>
                <w:rFonts w:cs="Arial"/>
                <w:sz w:val="19"/>
                <w:szCs w:val="19"/>
              </w:rPr>
              <w:t>State</w:t>
            </w:r>
          </w:p>
        </w:tc>
        <w:tc>
          <w:tcPr>
            <w:tcW w:w="614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ind w:firstLine="0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  <w:r w:rsidRPr="00D80C06">
              <w:rPr>
                <w:rFonts w:cs="Arial"/>
                <w:color w:val="000000" w:themeColor="text1"/>
                <w:sz w:val="20"/>
                <w:szCs w:val="20"/>
              </w:rPr>
              <w:t>WCRI &amp; U.S. Chamber of Commerce</w:t>
            </w:r>
          </w:p>
        </w:tc>
        <w:tc>
          <w:tcPr>
            <w:tcW w:w="2398" w:type="pct"/>
            <w:shd w:val="clear" w:color="auto" w:fill="auto"/>
          </w:tcPr>
          <w:p w:rsidR="008B715A" w:rsidRPr="00D80C06" w:rsidRDefault="008B715A" w:rsidP="003C4F18">
            <w:pPr>
              <w:spacing w:line="360" w:lineRule="auto"/>
              <w:jc w:val="left"/>
              <w:rPr>
                <w:rFonts w:cs="Arial"/>
                <w:color w:val="000000" w:themeColor="text1"/>
                <w:sz w:val="19"/>
                <w:szCs w:val="19"/>
              </w:rPr>
            </w:pPr>
          </w:p>
        </w:tc>
      </w:tr>
    </w:tbl>
    <w:p w:rsidR="008B715A" w:rsidRPr="00D80C06" w:rsidRDefault="008B715A" w:rsidP="008B715A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8B715A" w:rsidRPr="00D80C06" w:rsidRDefault="008B715A" w:rsidP="008B715A">
      <w:pPr>
        <w:spacing w:after="0" w:line="360" w:lineRule="auto"/>
        <w:ind w:firstLine="0"/>
        <w:jc w:val="left"/>
        <w:rPr>
          <w:rFonts w:ascii="Time New Roman" w:eastAsia="Times New Roman" w:hAnsi="Time New Roman" w:cs="Times New Roman"/>
          <w:color w:val="000000"/>
          <w:sz w:val="18"/>
          <w:szCs w:val="18"/>
        </w:rPr>
      </w:pPr>
      <w:r w:rsidRPr="00D80C06">
        <w:rPr>
          <w:rFonts w:cs="Arial"/>
          <w:color w:val="000000" w:themeColor="text1"/>
          <w:sz w:val="19"/>
          <w:szCs w:val="19"/>
        </w:rPr>
        <w:t xml:space="preserve">AAOS, American Academy of Orthopaedic Surgeons; ACS, American Community Survey (published every 5 years during study period); BLS, U.S. Bureau of Labor Statistics; </w:t>
      </w:r>
      <w:r w:rsidRPr="00D80C06">
        <w:rPr>
          <w:rFonts w:cs="Arial"/>
          <w:sz w:val="19"/>
          <w:szCs w:val="19"/>
        </w:rPr>
        <w:t xml:space="preserve">NHGIS, The National Historical Geographic Information System, University of Minnesota; </w:t>
      </w:r>
      <w:r w:rsidRPr="00D80C06">
        <w:rPr>
          <w:rFonts w:cs="Arial"/>
          <w:color w:val="000000" w:themeColor="text1"/>
          <w:sz w:val="20"/>
          <w:szCs w:val="20"/>
        </w:rPr>
        <w:t>WCRI, Workers’ Compensation Research Institute.</w:t>
      </w:r>
    </w:p>
    <w:p w:rsidR="008B715A" w:rsidRPr="00D80C06" w:rsidRDefault="008B715A" w:rsidP="008B715A">
      <w:pPr>
        <w:spacing w:line="360" w:lineRule="auto"/>
        <w:ind w:firstLine="0"/>
        <w:jc w:val="left"/>
        <w:rPr>
          <w:rFonts w:ascii="Time New Roman" w:eastAsia="Times New Roman" w:hAnsi="Time New Roman" w:cs="Times New Roman"/>
          <w:color w:val="000000"/>
          <w:sz w:val="18"/>
          <w:szCs w:val="18"/>
        </w:rPr>
      </w:pPr>
    </w:p>
    <w:p w:rsidR="008B715A" w:rsidRPr="00D80C06" w:rsidRDefault="008B715A" w:rsidP="008B715A">
      <w:pPr>
        <w:spacing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8B715A" w:rsidRPr="00D80C06" w:rsidRDefault="008B715A" w:rsidP="008B715A">
      <w:pPr>
        <w:spacing w:after="0" w:line="36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8B715A" w:rsidRDefault="008B715A" w:rsidP="008B715A"/>
    <w:p w:rsidR="008E2DD9" w:rsidRDefault="008E2DD9"/>
    <w:sectPr w:rsidR="008E2DD9" w:rsidSect="00B15C0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B715A"/>
    <w:rsid w:val="00267867"/>
    <w:rsid w:val="00496712"/>
    <w:rsid w:val="00864DF9"/>
    <w:rsid w:val="008B715A"/>
    <w:rsid w:val="008E2DD9"/>
    <w:rsid w:val="00AC649F"/>
    <w:rsid w:val="00C2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15A"/>
    <w:pPr>
      <w:spacing w:after="160" w:line="480" w:lineRule="auto"/>
      <w:ind w:firstLine="432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715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8B7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15A"/>
    <w:pPr>
      <w:spacing w:after="160" w:line="480" w:lineRule="auto"/>
      <w:ind w:firstLine="432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715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8B7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ensus.gov/library/publications/time-series/statistical_abstracts.html" TargetMode="External"/><Relationship Id="rId5" Type="http://schemas.openxmlformats.org/officeDocument/2006/relationships/hyperlink" Target="http://www.bls.gov/lau/%23da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OF39</dc:creator>
  <cp:lastModifiedBy>MLAPINIG</cp:lastModifiedBy>
  <cp:revision>3</cp:revision>
  <dcterms:created xsi:type="dcterms:W3CDTF">2019-11-24T16:36:00Z</dcterms:created>
  <dcterms:modified xsi:type="dcterms:W3CDTF">2019-11-25T06:21:00Z</dcterms:modified>
</cp:coreProperties>
</file>