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A16" w:rsidRDefault="00810A16" w:rsidP="00810A16">
      <w:pPr>
        <w:pStyle w:val="Heading2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Additional</w:t>
      </w:r>
      <w:r w:rsidRPr="004A310E">
        <w:rPr>
          <w:color w:val="000000" w:themeColor="text1"/>
          <w:sz w:val="20"/>
          <w:szCs w:val="20"/>
        </w:rPr>
        <w:t xml:space="preserve"> File </w:t>
      </w:r>
      <w:r>
        <w:rPr>
          <w:color w:val="000000" w:themeColor="text1"/>
          <w:sz w:val="20"/>
          <w:szCs w:val="20"/>
        </w:rPr>
        <w:t>4</w:t>
      </w:r>
      <w:r w:rsidRPr="004A310E">
        <w:rPr>
          <w:color w:val="000000" w:themeColor="text1"/>
          <w:sz w:val="20"/>
          <w:szCs w:val="20"/>
        </w:rPr>
        <w:t xml:space="preserve"> – </w:t>
      </w:r>
      <w:r>
        <w:rPr>
          <w:color w:val="000000" w:themeColor="text1"/>
          <w:sz w:val="20"/>
          <w:szCs w:val="20"/>
        </w:rPr>
        <w:t>Excluded Studies</w:t>
      </w:r>
    </w:p>
    <w:p w:rsidR="00810A16" w:rsidRDefault="00810A16" w:rsidP="00810A16"/>
    <w:p w:rsidR="00810A16" w:rsidRPr="00CA3139" w:rsidRDefault="00810A16" w:rsidP="00810A16">
      <w:pPr>
        <w:widowControl w:val="0"/>
        <w:autoSpaceDE w:val="0"/>
        <w:autoSpaceDN w:val="0"/>
        <w:adjustRightInd w:val="0"/>
        <w:ind w:left="640" w:hanging="640"/>
        <w:jc w:val="both"/>
        <w:rPr>
          <w:rFonts w:cs="Times New Roman"/>
          <w:noProof/>
        </w:rPr>
      </w:pPr>
      <w:r>
        <w:fldChar w:fldCharType="begin" w:fldLock="1"/>
      </w:r>
      <w:r>
        <w:instrText xml:space="preserve">ADDIN Mendeley Bibliography CSL_BIBLIOGRAPHY </w:instrText>
      </w:r>
      <w:r>
        <w:fldChar w:fldCharType="separate"/>
      </w:r>
      <w:r w:rsidRPr="00CA3139">
        <w:rPr>
          <w:rFonts w:cs="Times New Roman"/>
          <w:noProof/>
        </w:rPr>
        <w:t>[1]</w:t>
      </w:r>
      <w:r w:rsidRPr="00CA3139">
        <w:rPr>
          <w:rFonts w:cs="Times New Roman"/>
          <w:noProof/>
        </w:rPr>
        <w:tab/>
        <w:t>Arnold T, Shelbourne KD. A perioperative rehabilitation program for anterior cruciate ligament surgery. Phys Sportsmed 2000;28:31–44. https://doi.org/10.3810/psm.2000.01.621.</w:t>
      </w:r>
    </w:p>
    <w:p w:rsidR="00810A16" w:rsidRPr="00CA3139" w:rsidRDefault="00810A16" w:rsidP="00810A16">
      <w:pPr>
        <w:widowControl w:val="0"/>
        <w:autoSpaceDE w:val="0"/>
        <w:autoSpaceDN w:val="0"/>
        <w:adjustRightInd w:val="0"/>
        <w:ind w:left="640" w:hanging="640"/>
        <w:jc w:val="both"/>
        <w:rPr>
          <w:rFonts w:cs="Times New Roman"/>
          <w:noProof/>
        </w:rPr>
      </w:pPr>
      <w:r w:rsidRPr="00CA3139">
        <w:rPr>
          <w:rFonts w:cs="Times New Roman"/>
          <w:noProof/>
        </w:rPr>
        <w:t>[2]</w:t>
      </w:r>
      <w:r w:rsidRPr="00CA3139">
        <w:rPr>
          <w:rFonts w:cs="Times New Roman"/>
          <w:noProof/>
        </w:rPr>
        <w:tab/>
        <w:t>Brand E, Nyland J. Patient outcomes following anterior cruciate ligament reconstruction: The influence of psychological factors. Orthopedics 2009;32:335. https://doi.org/10.3928/01477447-20090502-01.</w:t>
      </w:r>
    </w:p>
    <w:p w:rsidR="00810A16" w:rsidRPr="00CA3139" w:rsidRDefault="00810A16" w:rsidP="00810A16">
      <w:pPr>
        <w:widowControl w:val="0"/>
        <w:autoSpaceDE w:val="0"/>
        <w:autoSpaceDN w:val="0"/>
        <w:adjustRightInd w:val="0"/>
        <w:ind w:left="640" w:hanging="640"/>
        <w:jc w:val="both"/>
        <w:rPr>
          <w:rFonts w:cs="Times New Roman"/>
          <w:noProof/>
        </w:rPr>
      </w:pPr>
      <w:r w:rsidRPr="00CA3139">
        <w:rPr>
          <w:rFonts w:cs="Times New Roman"/>
          <w:noProof/>
        </w:rPr>
        <w:t>[3]</w:t>
      </w:r>
      <w:r w:rsidRPr="00CA3139">
        <w:rPr>
          <w:rFonts w:cs="Times New Roman"/>
          <w:noProof/>
        </w:rPr>
        <w:tab/>
        <w:t>Failla MJ, Logerstedt DS, Grindem H, Axe MJ, Risberg MA, Engebretsen L, et al. Does Extended Preoperative Rehabilitation Influence Outcomes 2 Years after ACL Reconstruction? A Comparative Effectiveness Study between the MOON and Delaware-Oslo ACL Cohorts: Am J Sports Med 2016;44:2608–14. https://doi.org/10.1177/0363546516652594.</w:t>
      </w:r>
    </w:p>
    <w:p w:rsidR="00810A16" w:rsidRPr="00CA3139" w:rsidRDefault="00810A16" w:rsidP="00810A16">
      <w:pPr>
        <w:widowControl w:val="0"/>
        <w:autoSpaceDE w:val="0"/>
        <w:autoSpaceDN w:val="0"/>
        <w:adjustRightInd w:val="0"/>
        <w:ind w:left="640" w:hanging="640"/>
        <w:jc w:val="both"/>
        <w:rPr>
          <w:rFonts w:cs="Times New Roman"/>
          <w:noProof/>
        </w:rPr>
      </w:pPr>
      <w:r w:rsidRPr="00CA3139">
        <w:rPr>
          <w:rFonts w:cs="Times New Roman"/>
          <w:noProof/>
        </w:rPr>
        <w:t>[4]</w:t>
      </w:r>
      <w:r w:rsidRPr="00CA3139">
        <w:rPr>
          <w:rFonts w:cs="Times New Roman"/>
          <w:noProof/>
        </w:rPr>
        <w:tab/>
        <w:t>Grindem H, Granan LP, Risberg MA, Engebretsen L, Snyder-Mackler L, Eitzen I. How does a combined preoperative and postoperative rehabilitation programme influence the outcome of ACL reconstruction 2 years after surgery? A comparison between patients in the Delaware-Oslo ACL Cohort and the Norwegian National Knee Ligament Registry. Br J Sports Med 2015;49:385–9. https://doi.org/10.1136/bjsports-2014-093891.</w:t>
      </w:r>
    </w:p>
    <w:p w:rsidR="00810A16" w:rsidRPr="00CA3139" w:rsidRDefault="00810A16" w:rsidP="00810A16">
      <w:pPr>
        <w:widowControl w:val="0"/>
        <w:autoSpaceDE w:val="0"/>
        <w:autoSpaceDN w:val="0"/>
        <w:adjustRightInd w:val="0"/>
        <w:ind w:left="640" w:hanging="640"/>
        <w:jc w:val="both"/>
        <w:rPr>
          <w:rFonts w:cs="Times New Roman"/>
          <w:noProof/>
        </w:rPr>
      </w:pPr>
      <w:r w:rsidRPr="00CA3139">
        <w:rPr>
          <w:rFonts w:cs="Times New Roman"/>
          <w:noProof/>
        </w:rPr>
        <w:t>[5]</w:t>
      </w:r>
      <w:r w:rsidRPr="00CA3139">
        <w:rPr>
          <w:rFonts w:cs="Times New Roman"/>
          <w:noProof/>
        </w:rPr>
        <w:tab/>
        <w:t>Logerstedt D, Lynch A, Axe MJ, Snyder-Mackler L. Symmetry restoration and functional recovery before and after anterior cruciate ligament reconstruction. Knee Surgery, Sport Traumatol Arthrosc 2013;21:859–68. https://doi.org/10.1007/s00167-012-1929-2.</w:t>
      </w:r>
    </w:p>
    <w:p w:rsidR="00810A16" w:rsidRPr="00CA3139" w:rsidRDefault="00810A16" w:rsidP="00810A16">
      <w:pPr>
        <w:widowControl w:val="0"/>
        <w:autoSpaceDE w:val="0"/>
        <w:autoSpaceDN w:val="0"/>
        <w:adjustRightInd w:val="0"/>
        <w:ind w:left="640" w:hanging="640"/>
        <w:jc w:val="both"/>
        <w:rPr>
          <w:noProof/>
        </w:rPr>
      </w:pPr>
      <w:r w:rsidRPr="00CA3139">
        <w:rPr>
          <w:rFonts w:cs="Times New Roman"/>
          <w:noProof/>
        </w:rPr>
        <w:t>[6]</w:t>
      </w:r>
      <w:r w:rsidRPr="00CA3139">
        <w:rPr>
          <w:rFonts w:cs="Times New Roman"/>
          <w:noProof/>
        </w:rPr>
        <w:tab/>
        <w:t>Rodriguez RM, Marroquin A, Cosby N. Reducing fear of reinjury and pain perception in athletes with first-time anterior cruciate ligament reconstructions by implementing imagery training. J Sport Rehabil 2019;28:385–9. https://doi.org/10.1123/jsr.2017-0056.</w:t>
      </w:r>
    </w:p>
    <w:p w:rsidR="005E40AB" w:rsidRPr="00810A16" w:rsidRDefault="00810A16" w:rsidP="00810A16">
      <w:r>
        <w:fldChar w:fldCharType="end"/>
      </w:r>
      <w:bookmarkStart w:id="0" w:name="_GoBack"/>
      <w:bookmarkEnd w:id="0"/>
    </w:p>
    <w:sectPr w:rsidR="005E40AB" w:rsidRPr="00810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6313E"/>
    <w:multiLevelType w:val="hybridMultilevel"/>
    <w:tmpl w:val="B0C290C6"/>
    <w:lvl w:ilvl="0" w:tplc="08090019">
      <w:start w:val="1"/>
      <w:numFmt w:val="lowerLetter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6F2E5C"/>
    <w:multiLevelType w:val="hybridMultilevel"/>
    <w:tmpl w:val="73E8EBD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39C"/>
    <w:rsid w:val="00024E53"/>
    <w:rsid w:val="00031BDB"/>
    <w:rsid w:val="00043FD0"/>
    <w:rsid w:val="00061C44"/>
    <w:rsid w:val="000645BE"/>
    <w:rsid w:val="000F0CF1"/>
    <w:rsid w:val="000F5CED"/>
    <w:rsid w:val="001815FB"/>
    <w:rsid w:val="00185F59"/>
    <w:rsid w:val="00193023"/>
    <w:rsid w:val="001C3E3A"/>
    <w:rsid w:val="00261D5C"/>
    <w:rsid w:val="002723A1"/>
    <w:rsid w:val="002E06FE"/>
    <w:rsid w:val="002E2A86"/>
    <w:rsid w:val="002F4E23"/>
    <w:rsid w:val="003106BB"/>
    <w:rsid w:val="00313F97"/>
    <w:rsid w:val="00323792"/>
    <w:rsid w:val="003621BF"/>
    <w:rsid w:val="003C35F7"/>
    <w:rsid w:val="004209F9"/>
    <w:rsid w:val="00464B1F"/>
    <w:rsid w:val="00475750"/>
    <w:rsid w:val="00500D9C"/>
    <w:rsid w:val="005E40AB"/>
    <w:rsid w:val="005F296D"/>
    <w:rsid w:val="00612D5D"/>
    <w:rsid w:val="00636B0D"/>
    <w:rsid w:val="00657FA2"/>
    <w:rsid w:val="0067413B"/>
    <w:rsid w:val="00694FBA"/>
    <w:rsid w:val="006A3CA9"/>
    <w:rsid w:val="006E167B"/>
    <w:rsid w:val="006F6189"/>
    <w:rsid w:val="0077698D"/>
    <w:rsid w:val="007B24AB"/>
    <w:rsid w:val="007C6671"/>
    <w:rsid w:val="007D5F3C"/>
    <w:rsid w:val="007F1DBF"/>
    <w:rsid w:val="008058C8"/>
    <w:rsid w:val="00810A16"/>
    <w:rsid w:val="00811F3F"/>
    <w:rsid w:val="008246EF"/>
    <w:rsid w:val="00855347"/>
    <w:rsid w:val="00857A8A"/>
    <w:rsid w:val="0086621E"/>
    <w:rsid w:val="0087522E"/>
    <w:rsid w:val="008A1F34"/>
    <w:rsid w:val="00983427"/>
    <w:rsid w:val="009C44B3"/>
    <w:rsid w:val="009C59DE"/>
    <w:rsid w:val="009D6A33"/>
    <w:rsid w:val="00A12CF8"/>
    <w:rsid w:val="00A232CD"/>
    <w:rsid w:val="00A2639C"/>
    <w:rsid w:val="00A5136D"/>
    <w:rsid w:val="00AB1630"/>
    <w:rsid w:val="00B15BAE"/>
    <w:rsid w:val="00B35B36"/>
    <w:rsid w:val="00B6584D"/>
    <w:rsid w:val="00B75E25"/>
    <w:rsid w:val="00BA2786"/>
    <w:rsid w:val="00BF3D6F"/>
    <w:rsid w:val="00C56EBF"/>
    <w:rsid w:val="00C750DE"/>
    <w:rsid w:val="00C764EC"/>
    <w:rsid w:val="00C86505"/>
    <w:rsid w:val="00CE517D"/>
    <w:rsid w:val="00CF296C"/>
    <w:rsid w:val="00D61827"/>
    <w:rsid w:val="00D63A76"/>
    <w:rsid w:val="00DB6108"/>
    <w:rsid w:val="00DB789F"/>
    <w:rsid w:val="00DC0B5D"/>
    <w:rsid w:val="00DC6A3A"/>
    <w:rsid w:val="00E31183"/>
    <w:rsid w:val="00E360B6"/>
    <w:rsid w:val="00E60A9A"/>
    <w:rsid w:val="00E74023"/>
    <w:rsid w:val="00E819CC"/>
    <w:rsid w:val="00EE32B9"/>
    <w:rsid w:val="00F455C8"/>
    <w:rsid w:val="00F56D97"/>
    <w:rsid w:val="00F7319B"/>
    <w:rsid w:val="00F7501C"/>
    <w:rsid w:val="00FA50A7"/>
    <w:rsid w:val="00FB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39C"/>
    <w:pPr>
      <w:keepNext/>
      <w:keepLines/>
      <w:spacing w:before="40" w:after="0" w:line="240" w:lineRule="auto"/>
      <w:outlineLvl w:val="1"/>
    </w:pPr>
    <w:rPr>
      <w:rFonts w:ascii="Verdana" w:eastAsiaTheme="majorEastAsia" w:hAnsi="Verdana" w:cstheme="majorBidi"/>
      <w:b/>
      <w:color w:val="4F81BD" w:themeColor="accent1"/>
      <w:sz w:val="24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639C"/>
    <w:rPr>
      <w:rFonts w:ascii="Verdana" w:eastAsiaTheme="majorEastAsia" w:hAnsi="Verdana" w:cstheme="majorBidi"/>
      <w:b/>
      <w:color w:val="4F81BD" w:themeColor="accent1"/>
      <w:sz w:val="24"/>
      <w:szCs w:val="26"/>
      <w:lang w:val="en-GB"/>
    </w:rPr>
  </w:style>
  <w:style w:type="paragraph" w:customStyle="1" w:styleId="CM2">
    <w:name w:val="CM2"/>
    <w:basedOn w:val="Normal"/>
    <w:next w:val="Normal"/>
    <w:rsid w:val="00A2639C"/>
    <w:pPr>
      <w:widowControl w:val="0"/>
      <w:autoSpaceDE w:val="0"/>
      <w:autoSpaceDN w:val="0"/>
      <w:adjustRightInd w:val="0"/>
      <w:spacing w:after="373" w:line="240" w:lineRule="auto"/>
    </w:pPr>
    <w:rPr>
      <w:rFonts w:ascii="Calibri" w:eastAsia="Times New Roman" w:hAnsi="Calibri" w:cs="Times New Roman"/>
      <w:sz w:val="24"/>
      <w:szCs w:val="24"/>
      <w:lang w:val="en-CA" w:eastAsia="en-CA"/>
    </w:rPr>
  </w:style>
  <w:style w:type="paragraph" w:customStyle="1" w:styleId="Default">
    <w:name w:val="Default"/>
    <w:rsid w:val="00A263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table" w:styleId="TableGrid">
    <w:name w:val="Table Grid"/>
    <w:basedOn w:val="TableNormal"/>
    <w:uiPriority w:val="39"/>
    <w:rsid w:val="00857A8A"/>
    <w:pPr>
      <w:spacing w:after="0" w:line="240" w:lineRule="auto"/>
    </w:pPr>
    <w:rPr>
      <w:rFonts w:ascii="Verdana" w:eastAsia="MS Mincho" w:hAnsi="Verdana"/>
      <w:sz w:val="20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39C"/>
    <w:pPr>
      <w:keepNext/>
      <w:keepLines/>
      <w:spacing w:before="40" w:after="0" w:line="240" w:lineRule="auto"/>
      <w:outlineLvl w:val="1"/>
    </w:pPr>
    <w:rPr>
      <w:rFonts w:ascii="Verdana" w:eastAsiaTheme="majorEastAsia" w:hAnsi="Verdana" w:cstheme="majorBidi"/>
      <w:b/>
      <w:color w:val="4F81BD" w:themeColor="accent1"/>
      <w:sz w:val="24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639C"/>
    <w:rPr>
      <w:rFonts w:ascii="Verdana" w:eastAsiaTheme="majorEastAsia" w:hAnsi="Verdana" w:cstheme="majorBidi"/>
      <w:b/>
      <w:color w:val="4F81BD" w:themeColor="accent1"/>
      <w:sz w:val="24"/>
      <w:szCs w:val="26"/>
      <w:lang w:val="en-GB"/>
    </w:rPr>
  </w:style>
  <w:style w:type="paragraph" w:customStyle="1" w:styleId="CM2">
    <w:name w:val="CM2"/>
    <w:basedOn w:val="Normal"/>
    <w:next w:val="Normal"/>
    <w:rsid w:val="00A2639C"/>
    <w:pPr>
      <w:widowControl w:val="0"/>
      <w:autoSpaceDE w:val="0"/>
      <w:autoSpaceDN w:val="0"/>
      <w:adjustRightInd w:val="0"/>
      <w:spacing w:after="373" w:line="240" w:lineRule="auto"/>
    </w:pPr>
    <w:rPr>
      <w:rFonts w:ascii="Calibri" w:eastAsia="Times New Roman" w:hAnsi="Calibri" w:cs="Times New Roman"/>
      <w:sz w:val="24"/>
      <w:szCs w:val="24"/>
      <w:lang w:val="en-CA" w:eastAsia="en-CA"/>
    </w:rPr>
  </w:style>
  <w:style w:type="paragraph" w:customStyle="1" w:styleId="Default">
    <w:name w:val="Default"/>
    <w:rsid w:val="00A263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table" w:styleId="TableGrid">
    <w:name w:val="Table Grid"/>
    <w:basedOn w:val="TableNormal"/>
    <w:uiPriority w:val="39"/>
    <w:rsid w:val="00857A8A"/>
    <w:pPr>
      <w:spacing w:after="0" w:line="240" w:lineRule="auto"/>
    </w:pPr>
    <w:rPr>
      <w:rFonts w:ascii="Verdana" w:eastAsia="MS Mincho" w:hAnsi="Verdana"/>
      <w:sz w:val="20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2</cp:revision>
  <dcterms:created xsi:type="dcterms:W3CDTF">2020-09-26T07:08:00Z</dcterms:created>
  <dcterms:modified xsi:type="dcterms:W3CDTF">2020-09-26T07:08:00Z</dcterms:modified>
</cp:coreProperties>
</file>