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A2A" w:rsidRDefault="00E33A2A" w:rsidP="00E33A2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Additional File 2: </w:t>
      </w:r>
      <w:r w:rsidRPr="00EE1266">
        <w:rPr>
          <w:rFonts w:ascii="Times New Roman" w:hAnsi="Times New Roman" w:cs="Times New Roman"/>
          <w:b/>
          <w:bCs/>
          <w:sz w:val="20"/>
          <w:szCs w:val="20"/>
          <w:lang w:val="en-GB"/>
        </w:rPr>
        <w:t>MSC donor´s effect</w:t>
      </w:r>
    </w:p>
    <w:p w:rsidR="00E33A2A" w:rsidRDefault="00A329AA" w:rsidP="00E33A2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PH" w:eastAsia="en-PH"/>
        </w:rPr>
        <w:drawing>
          <wp:inline distT="0" distB="0" distL="0" distR="0" wp14:anchorId="37907E4D" wp14:editId="33D92B75">
            <wp:extent cx="5760720" cy="1796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A2A" w:rsidRPr="00AA42B3" w:rsidRDefault="00E33A2A" w:rsidP="00E33A2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A42B3">
        <w:rPr>
          <w:rFonts w:ascii="Times New Roman" w:hAnsi="Times New Roman" w:cs="Times New Roman"/>
          <w:sz w:val="20"/>
          <w:szCs w:val="20"/>
        </w:rPr>
        <w:t>To analy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AA42B3">
        <w:rPr>
          <w:rFonts w:ascii="Times New Roman" w:hAnsi="Times New Roman" w:cs="Times New Roman"/>
          <w:sz w:val="20"/>
          <w:szCs w:val="20"/>
        </w:rPr>
        <w:t xml:space="preserve">e the effect of MSC donors on bone volume (A) and bone mineral density (B) compared with MSC condition, </w:t>
      </w:r>
      <w:r w:rsidRPr="00EE1266"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EE1266">
        <w:rPr>
          <w:rFonts w:ascii="Times New Roman" w:hAnsi="Times New Roman" w:cs="Times New Roman"/>
          <w:sz w:val="20"/>
          <w:szCs w:val="20"/>
        </w:rPr>
        <w:t>-way ANOVA was conducted</w:t>
      </w:r>
      <w:r>
        <w:rPr>
          <w:rFonts w:ascii="Times New Roman" w:hAnsi="Times New Roman" w:cs="Times New Roman"/>
          <w:sz w:val="20"/>
          <w:szCs w:val="20"/>
        </w:rPr>
        <w:t xml:space="preserve">, level of significance was set at </w:t>
      </w:r>
      <w:r w:rsidRPr="00EE1266">
        <w:rPr>
          <w:rFonts w:ascii="Times New Roman" w:hAnsi="Times New Roman" w:cs="Times New Roman"/>
          <w:sz w:val="20"/>
          <w:szCs w:val="20"/>
        </w:rPr>
        <w:t>p = 0.05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119D">
        <w:rPr>
          <w:rFonts w:ascii="Times New Roman" w:hAnsi="Times New Roman" w:cs="Times New Roman"/>
          <w:sz w:val="20"/>
          <w:szCs w:val="20"/>
        </w:rPr>
        <w:t>(mean ± SD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E126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1266">
        <w:rPr>
          <w:rFonts w:ascii="Times New Roman" w:hAnsi="Times New Roman" w:cs="Times New Roman"/>
          <w:sz w:val="20"/>
          <w:szCs w:val="20"/>
        </w:rPr>
        <w:t>Simple main effect</w:t>
      </w:r>
      <w:r>
        <w:rPr>
          <w:rFonts w:ascii="Times New Roman" w:hAnsi="Times New Roman" w:cs="Times New Roman"/>
          <w:sz w:val="20"/>
          <w:szCs w:val="20"/>
        </w:rPr>
        <w:t>s analysis showed that</w:t>
      </w:r>
      <w:r w:rsidRPr="00EE1266">
        <w:rPr>
          <w:rFonts w:ascii="Times New Roman" w:hAnsi="Times New Roman" w:cs="Times New Roman"/>
          <w:sz w:val="20"/>
          <w:szCs w:val="20"/>
        </w:rPr>
        <w:t xml:space="preserve"> the bone volume</w:t>
      </w:r>
      <w:r>
        <w:rPr>
          <w:rFonts w:ascii="Times New Roman" w:hAnsi="Times New Roman" w:cs="Times New Roman"/>
          <w:sz w:val="20"/>
          <w:szCs w:val="20"/>
        </w:rPr>
        <w:t xml:space="preserve"> was</w:t>
      </w:r>
      <w:r w:rsidRPr="00EE12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not influenced</w:t>
      </w:r>
      <w:r w:rsidRPr="00EE12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by</w:t>
      </w:r>
      <w:r w:rsidRPr="00EE1266">
        <w:rPr>
          <w:rFonts w:ascii="Times New Roman" w:hAnsi="Times New Roman" w:cs="Times New Roman"/>
          <w:sz w:val="20"/>
          <w:szCs w:val="20"/>
        </w:rPr>
        <w:t xml:space="preserve"> MSC condition (p = 0.8869)</w:t>
      </w:r>
      <w:r>
        <w:rPr>
          <w:rFonts w:ascii="Times New Roman" w:hAnsi="Times New Roman" w:cs="Times New Roman"/>
          <w:sz w:val="20"/>
          <w:szCs w:val="20"/>
        </w:rPr>
        <w:t xml:space="preserve"> or</w:t>
      </w:r>
      <w:r w:rsidRPr="00EE1266">
        <w:rPr>
          <w:rFonts w:ascii="Times New Roman" w:hAnsi="Times New Roman" w:cs="Times New Roman"/>
          <w:sz w:val="20"/>
          <w:szCs w:val="20"/>
        </w:rPr>
        <w:t xml:space="preserve"> MSC donor (p = 0.3339). </w:t>
      </w:r>
    </w:p>
    <w:p w:rsidR="00E33A2A" w:rsidRPr="00AA42B3" w:rsidRDefault="00E33A2A" w:rsidP="00E33A2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Also, t</w:t>
      </w:r>
      <w:r w:rsidRPr="00EE1266">
        <w:rPr>
          <w:rFonts w:ascii="Times New Roman" w:hAnsi="Times New Roman" w:cs="Times New Roman"/>
          <w:sz w:val="20"/>
          <w:szCs w:val="20"/>
        </w:rPr>
        <w:t xml:space="preserve">here was no significant interaction between MSC condition and donors on bone mineral density </w:t>
      </w:r>
      <w:r>
        <w:rPr>
          <w:rFonts w:ascii="Times New Roman" w:hAnsi="Times New Roman" w:cs="Times New Roman"/>
          <w:sz w:val="20"/>
          <w:szCs w:val="20"/>
        </w:rPr>
        <w:br/>
      </w:r>
      <w:r w:rsidRPr="00EE1266">
        <w:rPr>
          <w:rFonts w:ascii="Times New Roman" w:hAnsi="Times New Roman" w:cs="Times New Roman"/>
          <w:sz w:val="20"/>
          <w:szCs w:val="20"/>
        </w:rPr>
        <w:t>(p = 0.4011). Simple main effect analysis showed that MSC condition significantly increased bone mineral density (</w:t>
      </w:r>
      <w:r w:rsidRPr="00AA42B3">
        <w:rPr>
          <w:rFonts w:ascii="Times New Roman" w:hAnsi="Times New Roman" w:cs="Times New Roman"/>
          <w:sz w:val="20"/>
          <w:szCs w:val="20"/>
        </w:rPr>
        <w:t>p</w:t>
      </w:r>
      <w:r w:rsidRPr="00F72F5A">
        <w:rPr>
          <w:rFonts w:ascii="Times New Roman" w:hAnsi="Times New Roman" w:cs="Times New Roman"/>
          <w:sz w:val="20"/>
          <w:szCs w:val="20"/>
        </w:rPr>
        <w:t xml:space="preserve"> </w:t>
      </w:r>
      <w:r w:rsidRPr="00EE1266">
        <w:rPr>
          <w:rFonts w:ascii="Times New Roman" w:hAnsi="Times New Roman" w:cs="Times New Roman"/>
          <w:sz w:val="20"/>
          <w:szCs w:val="20"/>
        </w:rPr>
        <w:t xml:space="preserve">= 0.0411), but there were no differences </w:t>
      </w:r>
      <w:r>
        <w:rPr>
          <w:rFonts w:ascii="Times New Roman" w:hAnsi="Times New Roman" w:cs="Times New Roman"/>
          <w:sz w:val="20"/>
          <w:szCs w:val="20"/>
        </w:rPr>
        <w:t xml:space="preserve">between </w:t>
      </w:r>
      <w:r w:rsidRPr="00EE1266">
        <w:rPr>
          <w:rFonts w:ascii="Times New Roman" w:hAnsi="Times New Roman" w:cs="Times New Roman"/>
          <w:sz w:val="20"/>
          <w:szCs w:val="20"/>
        </w:rPr>
        <w:t>MSC donors (</w:t>
      </w:r>
      <w:r w:rsidRPr="00AA42B3">
        <w:rPr>
          <w:rFonts w:ascii="Times New Roman" w:hAnsi="Times New Roman" w:cs="Times New Roman"/>
          <w:sz w:val="20"/>
          <w:szCs w:val="20"/>
        </w:rPr>
        <w:t>p</w:t>
      </w:r>
      <w:r w:rsidRPr="00F72F5A">
        <w:rPr>
          <w:rFonts w:ascii="Times New Roman" w:hAnsi="Times New Roman" w:cs="Times New Roman"/>
          <w:sz w:val="20"/>
          <w:szCs w:val="20"/>
        </w:rPr>
        <w:t xml:space="preserve"> </w:t>
      </w:r>
      <w:r w:rsidRPr="00EE1266">
        <w:rPr>
          <w:rFonts w:ascii="Times New Roman" w:hAnsi="Times New Roman" w:cs="Times New Roman"/>
          <w:sz w:val="20"/>
          <w:szCs w:val="20"/>
        </w:rPr>
        <w:t xml:space="preserve">= </w:t>
      </w:r>
      <w:r w:rsidRPr="00AA42B3">
        <w:rPr>
          <w:rFonts w:ascii="Times New Roman" w:hAnsi="Times New Roman" w:cs="Times New Roman"/>
          <w:sz w:val="20"/>
          <w:szCs w:val="20"/>
        </w:rPr>
        <w:t>0.0609)</w:t>
      </w:r>
      <w:r w:rsidRPr="00EE126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33A2A" w:rsidRDefault="00E33A2A" w:rsidP="00E33A2A"/>
    <w:p w:rsidR="0054745E" w:rsidRDefault="0054745E">
      <w:bookmarkStart w:id="0" w:name="_GoBack"/>
      <w:bookmarkEnd w:id="0"/>
    </w:p>
    <w:sectPr w:rsidR="0054745E" w:rsidSect="00B87AB8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29AA">
      <w:pPr>
        <w:spacing w:after="0" w:line="240" w:lineRule="auto"/>
      </w:pPr>
      <w:r>
        <w:separator/>
      </w:r>
    </w:p>
  </w:endnote>
  <w:endnote w:type="continuationSeparator" w:id="0">
    <w:p w:rsidR="00000000" w:rsidRDefault="00A3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9967132"/>
      <w:docPartObj>
        <w:docPartGallery w:val="Page Numbers (Bottom of Page)"/>
        <w:docPartUnique/>
      </w:docPartObj>
    </w:sdtPr>
    <w:sdtEndPr/>
    <w:sdtContent>
      <w:p w:rsidR="001401BD" w:rsidRDefault="00B87AB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9AA" w:rsidRPr="00A329AA">
          <w:rPr>
            <w:noProof/>
            <w:lang w:val="de-DE"/>
          </w:rPr>
          <w:t>1</w:t>
        </w:r>
        <w:r>
          <w:fldChar w:fldCharType="end"/>
        </w:r>
      </w:p>
    </w:sdtContent>
  </w:sdt>
  <w:p w:rsidR="001401BD" w:rsidRDefault="00A329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29AA">
      <w:pPr>
        <w:spacing w:after="0" w:line="240" w:lineRule="auto"/>
      </w:pPr>
      <w:r>
        <w:separator/>
      </w:r>
    </w:p>
  </w:footnote>
  <w:footnote w:type="continuationSeparator" w:id="0">
    <w:p w:rsidR="00000000" w:rsidRDefault="00A32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9D"/>
    <w:rsid w:val="001F279D"/>
    <w:rsid w:val="0054745E"/>
    <w:rsid w:val="00926F66"/>
    <w:rsid w:val="00A329AA"/>
    <w:rsid w:val="00B87AB8"/>
    <w:rsid w:val="00BE652D"/>
    <w:rsid w:val="00E3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F0CB33-32D5-404C-9C0A-62FB20F7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79D"/>
    <w:pPr>
      <w:spacing w:after="160" w:line="259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279D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79D"/>
    <w:rPr>
      <w:rFonts w:ascii="Tahoma" w:eastAsiaTheme="minorEastAsi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3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A2A"/>
    <w:rPr>
      <w:rFonts w:eastAsiaTheme="minorEastAsia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3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Real, Francis Frank</cp:lastModifiedBy>
  <cp:revision>4</cp:revision>
  <dcterms:created xsi:type="dcterms:W3CDTF">2021-04-17T08:52:00Z</dcterms:created>
  <dcterms:modified xsi:type="dcterms:W3CDTF">2021-04-28T13:53:00Z</dcterms:modified>
</cp:coreProperties>
</file>