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FF3D3" w14:textId="77777777" w:rsidR="009D3309" w:rsidRDefault="009D3309" w:rsidP="009D3309">
      <w:pPr>
        <w:rPr>
          <w:lang w:val="en-US"/>
        </w:rPr>
      </w:pPr>
      <w:r>
        <w:rPr>
          <w:lang w:val="en-US"/>
        </w:rPr>
        <w:t xml:space="preserve">Supplementary file 1: </w:t>
      </w:r>
    </w:p>
    <w:p w14:paraId="6C19C063" w14:textId="77777777" w:rsidR="009D3309" w:rsidRDefault="009D3309" w:rsidP="009D3309">
      <w:pPr>
        <w:rPr>
          <w:lang w:val="en-US"/>
        </w:rPr>
      </w:pPr>
      <w:r>
        <w:rPr>
          <w:lang w:val="en-US"/>
        </w:rPr>
        <w:t xml:space="preserve">Testing of proportional hazards in cox regression and dealing with non-proportionality issues. </w:t>
      </w:r>
    </w:p>
    <w:p w14:paraId="32F694E5" w14:textId="77777777" w:rsidR="009D3309" w:rsidRDefault="009D3309" w:rsidP="009D3309">
      <w:pPr>
        <w:spacing w:after="160" w:line="480" w:lineRule="auto"/>
        <w:rPr>
          <w:lang w:val="en-US"/>
        </w:rPr>
      </w:pPr>
    </w:p>
    <w:p w14:paraId="38BAE3A4" w14:textId="752873B6" w:rsidR="009D3309" w:rsidRDefault="009D3309" w:rsidP="009D3309">
      <w:pPr>
        <w:spacing w:after="160" w:line="480" w:lineRule="auto"/>
        <w:rPr>
          <w:rFonts w:eastAsiaTheme="minorHAnsi"/>
          <w:lang w:val="en-US" w:eastAsia="en-US"/>
        </w:rPr>
      </w:pPr>
      <w:r w:rsidRPr="00617775">
        <w:rPr>
          <w:rFonts w:eastAsiaTheme="minorHAnsi"/>
          <w:lang w:val="en-US" w:eastAsia="en-US"/>
        </w:rPr>
        <w:t>Visual assessment of KM curves is</w:t>
      </w:r>
      <w:r>
        <w:rPr>
          <w:rFonts w:eastAsiaTheme="minorHAnsi"/>
          <w:lang w:val="en-US" w:eastAsia="en-US"/>
        </w:rPr>
        <w:t xml:space="preserve"> a commonly used </w:t>
      </w:r>
      <w:r w:rsidRPr="00617775">
        <w:rPr>
          <w:rFonts w:eastAsiaTheme="minorHAnsi"/>
          <w:lang w:val="en-US" w:eastAsia="en-US"/>
        </w:rPr>
        <w:t xml:space="preserve">method to assess the PH assumption and assumptions of constant risk or hazard. </w:t>
      </w:r>
      <w:r>
        <w:rPr>
          <w:rFonts w:eastAsiaTheme="minorHAnsi"/>
          <w:lang w:val="en-US" w:eastAsia="en-US"/>
        </w:rPr>
        <w:t xml:space="preserve">This means plotting survival function against time. Other methods include plotting log(-log) against time or log-transformed time </w:t>
      </w:r>
      <w:r w:rsidRPr="00561A70">
        <w:rPr>
          <w:rFonts w:eastAsiaTheme="minorHAnsi"/>
          <w:lang w:val="en-US" w:eastAsia="en-US"/>
        </w:rPr>
        <w:fldChar w:fldCharType="begin"/>
      </w:r>
      <w:r w:rsidRPr="00561A70">
        <w:rPr>
          <w:rFonts w:eastAsiaTheme="minorHAnsi"/>
          <w:lang w:val="en-US" w:eastAsia="en-US"/>
        </w:rPr>
        <w:instrText>ADDIN RW.CITE{{doc:5e52b253e4b0a5c5cd95335b Ranstam,Jonas 2011}}</w:instrText>
      </w:r>
      <w:r w:rsidRPr="00561A70">
        <w:rPr>
          <w:rFonts w:eastAsiaTheme="minorHAnsi"/>
          <w:lang w:val="en-US" w:eastAsia="en-US"/>
        </w:rPr>
        <w:fldChar w:fldCharType="separate"/>
      </w:r>
      <w:r w:rsidRPr="009D3309">
        <w:rPr>
          <w:rFonts w:eastAsiaTheme="minorHAnsi"/>
          <w:bCs/>
          <w:lang w:val="en-US" w:eastAsia="en-US"/>
        </w:rPr>
        <w:t>(1)</w:t>
      </w:r>
      <w:r w:rsidRPr="00561A70">
        <w:rPr>
          <w:rFonts w:eastAsiaTheme="minorHAnsi"/>
          <w:lang w:val="en-US" w:eastAsia="en-US"/>
        </w:rPr>
        <w:fldChar w:fldCharType="end"/>
      </w:r>
      <w:r>
        <w:rPr>
          <w:rFonts w:eastAsiaTheme="minorHAnsi"/>
          <w:lang w:val="en-US" w:eastAsia="en-US"/>
        </w:rPr>
        <w:t xml:space="preserve">. </w:t>
      </w:r>
      <w:r w:rsidRPr="00617775">
        <w:rPr>
          <w:rFonts w:eastAsiaTheme="minorHAnsi"/>
          <w:lang w:val="en-US" w:eastAsia="en-US"/>
        </w:rPr>
        <w:t xml:space="preserve">According to </w:t>
      </w:r>
      <w:r>
        <w:rPr>
          <w:rFonts w:eastAsiaTheme="minorHAnsi"/>
          <w:lang w:val="en-US" w:eastAsia="en-US"/>
        </w:rPr>
        <w:t xml:space="preserve">the </w:t>
      </w:r>
      <w:r w:rsidRPr="00617775">
        <w:rPr>
          <w:rFonts w:eastAsiaTheme="minorHAnsi"/>
          <w:lang w:val="en-US" w:eastAsia="en-US"/>
        </w:rPr>
        <w:t xml:space="preserve">PH assumption, the </w:t>
      </w:r>
      <w:r>
        <w:rPr>
          <w:rFonts w:eastAsiaTheme="minorHAnsi"/>
          <w:lang w:val="en-US" w:eastAsia="en-US"/>
        </w:rPr>
        <w:t xml:space="preserve">survival curves </w:t>
      </w:r>
      <w:r w:rsidRPr="00617775">
        <w:rPr>
          <w:rFonts w:eastAsiaTheme="minorHAnsi"/>
          <w:lang w:val="en-US" w:eastAsia="en-US"/>
        </w:rPr>
        <w:t>should follow a similar trend without crossing</w:t>
      </w:r>
      <w:r>
        <w:rPr>
          <w:rFonts w:eastAsiaTheme="minorHAnsi"/>
          <w:lang w:val="en-US" w:eastAsia="en-US"/>
        </w:rPr>
        <w:t xml:space="preserve"> regardless of method of assessment</w:t>
      </w:r>
      <w:r w:rsidRPr="00617775">
        <w:rPr>
          <w:rFonts w:eastAsiaTheme="minorHAnsi"/>
          <w:lang w:val="en-US" w:eastAsia="en-US"/>
        </w:rPr>
        <w:t xml:space="preserve"> (Figure </w:t>
      </w:r>
      <w:r>
        <w:rPr>
          <w:rFonts w:eastAsiaTheme="minorHAnsi"/>
          <w:lang w:val="en-US" w:eastAsia="en-US"/>
        </w:rPr>
        <w:t>S</w:t>
      </w:r>
      <w:r w:rsidRPr="00617775">
        <w:rPr>
          <w:rFonts w:eastAsiaTheme="minorHAnsi"/>
          <w:lang w:val="en-US" w:eastAsia="en-US"/>
        </w:rPr>
        <w:t xml:space="preserve">1A). </w:t>
      </w:r>
      <w:r>
        <w:rPr>
          <w:rFonts w:eastAsiaTheme="minorHAnsi"/>
          <w:lang w:val="en-US" w:eastAsia="en-US"/>
        </w:rPr>
        <w:t xml:space="preserve">In this case the log(-log) curves follows similar trends as well and remain parallel (Figure S1B). </w:t>
      </w:r>
      <w:r w:rsidRPr="00617775">
        <w:rPr>
          <w:rFonts w:eastAsiaTheme="minorHAnsi"/>
          <w:lang w:val="en-US" w:eastAsia="en-US"/>
        </w:rPr>
        <w:t xml:space="preserve">In most cases, however, this is not the case. The hazard </w:t>
      </w:r>
      <w:r>
        <w:rPr>
          <w:rFonts w:eastAsiaTheme="minorHAnsi"/>
          <w:lang w:val="en-US" w:eastAsia="en-US"/>
        </w:rPr>
        <w:t xml:space="preserve">for different covariates </w:t>
      </w:r>
      <w:r w:rsidRPr="00617775">
        <w:rPr>
          <w:rFonts w:eastAsiaTheme="minorHAnsi"/>
          <w:lang w:val="en-US" w:eastAsia="en-US"/>
        </w:rPr>
        <w:t xml:space="preserve">can be </w:t>
      </w:r>
      <w:r>
        <w:rPr>
          <w:rFonts w:eastAsiaTheme="minorHAnsi"/>
          <w:lang w:val="en-US" w:eastAsia="en-US"/>
        </w:rPr>
        <w:t>proportional</w:t>
      </w:r>
      <w:r w:rsidRPr="00617775">
        <w:rPr>
          <w:rFonts w:eastAsiaTheme="minorHAnsi"/>
          <w:lang w:val="en-US" w:eastAsia="en-US"/>
        </w:rPr>
        <w:t xml:space="preserve"> for a while and</w:t>
      </w:r>
      <w:r>
        <w:rPr>
          <w:rFonts w:eastAsiaTheme="minorHAnsi"/>
          <w:lang w:val="en-US" w:eastAsia="en-US"/>
        </w:rPr>
        <w:t xml:space="preserve"> then change. Hence</w:t>
      </w:r>
      <w:r w:rsidRPr="00617775">
        <w:rPr>
          <w:rFonts w:eastAsiaTheme="minorHAnsi"/>
          <w:lang w:val="en-US" w:eastAsia="en-US"/>
        </w:rPr>
        <w:t xml:space="preserve"> the survival curves will diverge (Figure </w:t>
      </w:r>
      <w:r>
        <w:rPr>
          <w:rFonts w:eastAsiaTheme="minorHAnsi"/>
          <w:lang w:val="en-US" w:eastAsia="en-US"/>
        </w:rPr>
        <w:t>S2A</w:t>
      </w:r>
      <w:r w:rsidRPr="00617775">
        <w:rPr>
          <w:rFonts w:eastAsiaTheme="minorHAnsi"/>
          <w:lang w:val="en-US" w:eastAsia="en-US"/>
        </w:rPr>
        <w:t>).</w:t>
      </w:r>
      <w:r>
        <w:rPr>
          <w:rFonts w:eastAsiaTheme="minorHAnsi"/>
          <w:lang w:val="en-US" w:eastAsia="en-US"/>
        </w:rPr>
        <w:t xml:space="preserve"> The log(-log) curves in this scenario crosses and confirms the PH violation.</w:t>
      </w:r>
      <w:r w:rsidRPr="00617775">
        <w:rPr>
          <w:rFonts w:eastAsiaTheme="minorHAnsi"/>
          <w:lang w:val="en-US" w:eastAsia="en-US"/>
        </w:rPr>
        <w:t xml:space="preserve"> The curves may </w:t>
      </w:r>
      <w:r>
        <w:rPr>
          <w:rFonts w:eastAsiaTheme="minorHAnsi"/>
          <w:lang w:val="en-US" w:eastAsia="en-US"/>
        </w:rPr>
        <w:t xml:space="preserve">also </w:t>
      </w:r>
      <w:r w:rsidRPr="00617775">
        <w:rPr>
          <w:rFonts w:eastAsiaTheme="minorHAnsi"/>
          <w:lang w:val="en-US" w:eastAsia="en-US"/>
        </w:rPr>
        <w:t xml:space="preserve">cross, meaning that the hazard is greater in group 2 at first, while the hazard is higher for group 1 at the end (Figure </w:t>
      </w:r>
      <w:r>
        <w:rPr>
          <w:rFonts w:eastAsiaTheme="minorHAnsi"/>
          <w:lang w:val="en-US" w:eastAsia="en-US"/>
        </w:rPr>
        <w:t>S3A</w:t>
      </w:r>
      <w:r w:rsidRPr="00617775">
        <w:rPr>
          <w:rFonts w:eastAsiaTheme="minorHAnsi"/>
          <w:lang w:val="en-US" w:eastAsia="en-US"/>
        </w:rPr>
        <w:t>)</w:t>
      </w:r>
      <w:r>
        <w:rPr>
          <w:rFonts w:eastAsiaTheme="minorHAnsi"/>
          <w:lang w:val="en-US" w:eastAsia="en-US"/>
        </w:rPr>
        <w:t>, which can be seen similarly in the log(-log) plot (Figure S3B)</w:t>
      </w:r>
      <w:r w:rsidRPr="00617775">
        <w:rPr>
          <w:rFonts w:eastAsiaTheme="minorHAnsi"/>
          <w:lang w:val="en-US" w:eastAsia="en-US"/>
        </w:rPr>
        <w:t xml:space="preserve">. There also might be difference between the </w:t>
      </w:r>
      <w:r>
        <w:rPr>
          <w:rFonts w:eastAsiaTheme="minorHAnsi"/>
          <w:lang w:val="en-US" w:eastAsia="en-US"/>
        </w:rPr>
        <w:t xml:space="preserve">hazards and </w:t>
      </w:r>
      <w:r w:rsidRPr="00617775">
        <w:rPr>
          <w:rFonts w:eastAsiaTheme="minorHAnsi"/>
          <w:lang w:val="en-US" w:eastAsia="en-US"/>
        </w:rPr>
        <w:t>survival curves at first, while the difference will even out lat</w:t>
      </w:r>
      <w:r>
        <w:rPr>
          <w:rFonts w:eastAsiaTheme="minorHAnsi"/>
          <w:lang w:val="en-US" w:eastAsia="en-US"/>
        </w:rPr>
        <w:t>e</w:t>
      </w:r>
      <w:r w:rsidRPr="00617775">
        <w:rPr>
          <w:rFonts w:eastAsiaTheme="minorHAnsi"/>
          <w:lang w:val="en-US" w:eastAsia="en-US"/>
        </w:rPr>
        <w:t xml:space="preserve">r (Figure </w:t>
      </w:r>
      <w:r>
        <w:rPr>
          <w:rFonts w:eastAsiaTheme="minorHAnsi"/>
          <w:lang w:val="en-US" w:eastAsia="en-US"/>
        </w:rPr>
        <w:t>S4A</w:t>
      </w:r>
      <w:r w:rsidRPr="00617775">
        <w:rPr>
          <w:rFonts w:eastAsiaTheme="minorHAnsi"/>
          <w:lang w:val="en-US" w:eastAsia="en-US"/>
        </w:rPr>
        <w:t>).</w:t>
      </w:r>
      <w:r>
        <w:rPr>
          <w:rFonts w:eastAsiaTheme="minorHAnsi"/>
          <w:lang w:val="en-US" w:eastAsia="en-US"/>
        </w:rPr>
        <w:t xml:space="preserve"> In the log(-log) plot the curves are unparallel and cross, which indicates PH violation (Figure S4B). </w:t>
      </w:r>
      <w:r w:rsidRPr="00617775">
        <w:rPr>
          <w:rFonts w:eastAsiaTheme="minorHAnsi"/>
          <w:lang w:val="en-US" w:eastAsia="en-US"/>
        </w:rPr>
        <w:t xml:space="preserve"> </w:t>
      </w:r>
      <w:r>
        <w:rPr>
          <w:rFonts w:eastAsiaTheme="minorHAnsi"/>
          <w:lang w:val="en-US" w:eastAsia="en-US"/>
        </w:rPr>
        <w:t xml:space="preserve">Another visual assessment method is to check constancy of log hazard ratio against stratified follow-up times. </w:t>
      </w:r>
      <w:r w:rsidRPr="00617775">
        <w:rPr>
          <w:rFonts w:eastAsiaTheme="minorHAnsi"/>
          <w:lang w:val="en-US" w:eastAsia="en-US"/>
        </w:rPr>
        <w:t xml:space="preserve">As an alternative to visual methods, likely the most used statistical approach to test the PH assumption is to test the correlation of scaled Schoenfeld residuals with </w:t>
      </w:r>
      <w:r>
        <w:rPr>
          <w:rFonts w:eastAsiaTheme="minorHAnsi"/>
          <w:lang w:val="en-US" w:eastAsia="en-US"/>
        </w:rPr>
        <w:t xml:space="preserve">rank-ordered </w:t>
      </w:r>
      <w:r w:rsidRPr="00617775">
        <w:rPr>
          <w:rFonts w:eastAsiaTheme="minorHAnsi"/>
          <w:lang w:val="en-US" w:eastAsia="en-US"/>
        </w:rPr>
        <w:t xml:space="preserve">time. In this method, correlation of time with the residuals between the observed and expected values of covariates in each failure time-point is examined. Significant correlation of residuals with time can be interpreted as </w:t>
      </w:r>
      <w:r>
        <w:rPr>
          <w:rFonts w:eastAsiaTheme="minorHAnsi"/>
          <w:lang w:val="en-US" w:eastAsia="en-US"/>
        </w:rPr>
        <w:t xml:space="preserve">a </w:t>
      </w:r>
      <w:r w:rsidRPr="00617775">
        <w:rPr>
          <w:rFonts w:eastAsiaTheme="minorHAnsi"/>
          <w:lang w:val="en-US" w:eastAsia="en-US"/>
        </w:rPr>
        <w:t>violation of</w:t>
      </w:r>
      <w:r>
        <w:rPr>
          <w:rFonts w:eastAsiaTheme="minorHAnsi"/>
          <w:lang w:val="en-US" w:eastAsia="en-US"/>
        </w:rPr>
        <w:t xml:space="preserve"> the</w:t>
      </w:r>
      <w:r w:rsidRPr="00617775">
        <w:rPr>
          <w:rFonts w:eastAsiaTheme="minorHAnsi"/>
          <w:lang w:val="en-US" w:eastAsia="en-US"/>
        </w:rPr>
        <w:t xml:space="preserve"> PH assumption. The formed scatterplot can be visually inspected for the fit of the PH assumption and to detect potential outliers </w:t>
      </w:r>
      <w:r w:rsidRPr="00617775">
        <w:rPr>
          <w:rFonts w:eastAsiaTheme="minorHAnsi"/>
          <w:lang w:val="en-US" w:eastAsia="en-US"/>
        </w:rPr>
        <w:fldChar w:fldCharType="begin"/>
      </w:r>
      <w:r w:rsidRPr="00617775">
        <w:rPr>
          <w:rFonts w:eastAsiaTheme="minorHAnsi"/>
          <w:lang w:val="en-US" w:eastAsia="en-US"/>
        </w:rPr>
        <w:instrText>ADDIN RW.CITE{{doc:5e52af90e4b057decaf9d516 Schoenfeld,David 1982}}</w:instrText>
      </w:r>
      <w:r w:rsidRPr="00617775">
        <w:rPr>
          <w:rFonts w:eastAsiaTheme="minorHAnsi"/>
          <w:lang w:val="en-US" w:eastAsia="en-US"/>
        </w:rPr>
        <w:fldChar w:fldCharType="separate"/>
      </w:r>
      <w:r w:rsidRPr="009D3309">
        <w:rPr>
          <w:rFonts w:eastAsiaTheme="minorHAnsi"/>
          <w:bCs/>
          <w:lang w:val="en-US" w:eastAsia="en-US"/>
        </w:rPr>
        <w:t>(2)</w:t>
      </w:r>
      <w:r w:rsidRPr="00617775">
        <w:rPr>
          <w:rFonts w:eastAsiaTheme="minorHAnsi"/>
          <w:lang w:val="en-US" w:eastAsia="en-US"/>
        </w:rPr>
        <w:fldChar w:fldCharType="end"/>
      </w:r>
      <w:r w:rsidRPr="00617775">
        <w:rPr>
          <w:rFonts w:eastAsiaTheme="minorHAnsi"/>
          <w:lang w:val="en-US" w:eastAsia="en-US"/>
        </w:rPr>
        <w:t>.</w:t>
      </w:r>
      <w:r>
        <w:rPr>
          <w:rFonts w:eastAsiaTheme="minorHAnsi"/>
          <w:lang w:val="en-US" w:eastAsia="en-US"/>
        </w:rPr>
        <w:t xml:space="preserve"> Another statistical method to assess proportionality is to test log(time) and covariate interaction for statistical significance.</w:t>
      </w:r>
    </w:p>
    <w:p w14:paraId="74BBEB3C" w14:textId="27145030" w:rsidR="009D3309" w:rsidRPr="007727F2" w:rsidRDefault="009D3309" w:rsidP="009D3309">
      <w:pPr>
        <w:spacing w:after="160" w:line="480" w:lineRule="auto"/>
        <w:rPr>
          <w:rFonts w:eastAsiaTheme="minorHAnsi"/>
          <w:lang w:val="en-US" w:eastAsia="en-US"/>
        </w:rPr>
      </w:pPr>
      <w:r w:rsidRPr="00617775">
        <w:rPr>
          <w:rFonts w:eastAsiaTheme="minorHAnsi"/>
          <w:lang w:val="en-US" w:eastAsia="en-US"/>
        </w:rPr>
        <w:t xml:space="preserve">Violation of the PH assumption may lead to biased and erroneous effect estimates in Cox regression analysis if not appropriately accounted. Thus, if the PH assumption does not hold, adjustment of the </w:t>
      </w:r>
      <w:r w:rsidRPr="00617775">
        <w:rPr>
          <w:rFonts w:eastAsiaTheme="minorHAnsi"/>
          <w:lang w:val="en-US" w:eastAsia="en-US"/>
        </w:rPr>
        <w:lastRenderedPageBreak/>
        <w:t xml:space="preserve">model to meet the PH assumption is vital. Several methods have been introduced to deal with the non-proportionality of the Cox model. The Cox model can be stratified by the risk factor that violates the PH assumption </w:t>
      </w:r>
      <w:r w:rsidRPr="00617775">
        <w:rPr>
          <w:rFonts w:eastAsiaTheme="minorHAnsi"/>
          <w:lang w:val="en-US" w:eastAsia="en-US"/>
        </w:rPr>
        <w:fldChar w:fldCharType="begin"/>
      </w:r>
      <w:r w:rsidRPr="00617775">
        <w:rPr>
          <w:rFonts w:eastAsiaTheme="minorHAnsi"/>
          <w:lang w:val="en-US" w:eastAsia="en-US"/>
        </w:rPr>
        <w:instrText>ADDIN RW.CITE{{doc:5e5e6b3ee4b03c46d265a745 Kleinbaum,David 1996}}</w:instrText>
      </w:r>
      <w:r w:rsidRPr="00617775">
        <w:rPr>
          <w:rFonts w:eastAsiaTheme="minorHAnsi"/>
          <w:lang w:val="en-US" w:eastAsia="en-US"/>
        </w:rPr>
        <w:fldChar w:fldCharType="separate"/>
      </w:r>
      <w:r w:rsidRPr="009D3309">
        <w:rPr>
          <w:rFonts w:eastAsiaTheme="minorHAnsi"/>
          <w:bCs/>
          <w:lang w:val="en-US" w:eastAsia="en-US"/>
        </w:rPr>
        <w:t>(3)</w:t>
      </w:r>
      <w:r w:rsidRPr="00617775">
        <w:rPr>
          <w:rFonts w:eastAsiaTheme="minorHAnsi"/>
          <w:lang w:val="en-US" w:eastAsia="en-US"/>
        </w:rPr>
        <w:fldChar w:fldCharType="end"/>
      </w:r>
      <w:r w:rsidRPr="00617775">
        <w:rPr>
          <w:rFonts w:eastAsiaTheme="minorHAnsi"/>
          <w:lang w:val="en-US" w:eastAsia="en-US"/>
        </w:rPr>
        <w:t xml:space="preserve">. The downside of this stratification is that the effect of the selected stratification factor cannot be assessed. Another method is time-axis division where the Cox model that violates the PH assumption is divided into time-intervals that fulfill the PH assumption. One common way to correct violation of the PH assumption is to use time-dependent coefficients </w:t>
      </w:r>
      <w:r w:rsidRPr="00617775">
        <w:rPr>
          <w:rFonts w:eastAsiaTheme="minorHAnsi"/>
          <w:lang w:val="en-US" w:eastAsia="en-US"/>
        </w:rPr>
        <w:fldChar w:fldCharType="begin"/>
      </w:r>
      <w:r w:rsidRPr="00617775">
        <w:rPr>
          <w:rFonts w:eastAsiaTheme="minorHAnsi"/>
          <w:lang w:val="en-US" w:eastAsia="en-US"/>
        </w:rPr>
        <w:instrText>ADDIN RW.CITE{{doc:5ece1f9fe4b0b08d092b22c7 Zhang,Zhongheng 2018}}</w:instrText>
      </w:r>
      <w:r w:rsidRPr="00617775">
        <w:rPr>
          <w:rFonts w:eastAsiaTheme="minorHAnsi"/>
          <w:lang w:val="en-US" w:eastAsia="en-US"/>
        </w:rPr>
        <w:fldChar w:fldCharType="separate"/>
      </w:r>
      <w:r w:rsidRPr="009D3309">
        <w:rPr>
          <w:rFonts w:eastAsiaTheme="minorHAnsi"/>
          <w:bCs/>
          <w:lang w:val="en-US" w:eastAsia="en-US"/>
        </w:rPr>
        <w:t>(4)</w:t>
      </w:r>
      <w:r w:rsidRPr="00617775">
        <w:rPr>
          <w:rFonts w:eastAsiaTheme="minorHAnsi"/>
          <w:lang w:val="en-US" w:eastAsia="en-US"/>
        </w:rPr>
        <w:fldChar w:fldCharType="end"/>
      </w:r>
      <w:r w:rsidRPr="00617775">
        <w:rPr>
          <w:rFonts w:eastAsiaTheme="minorHAnsi"/>
          <w:lang w:val="en-US" w:eastAsia="en-US"/>
        </w:rPr>
        <w:t xml:space="preserve">. In this method, the risk factors violating the PH assumptions are divided into time-intervals similar to time-axis division, yet the interaction between these coefficients and time is included in the same model </w:t>
      </w:r>
      <w:r w:rsidRPr="00617775">
        <w:rPr>
          <w:rFonts w:eastAsiaTheme="minorHAnsi"/>
          <w:lang w:val="en-US" w:eastAsia="en-US"/>
        </w:rPr>
        <w:fldChar w:fldCharType="begin"/>
      </w:r>
      <w:r w:rsidRPr="00617775">
        <w:rPr>
          <w:rFonts w:eastAsiaTheme="minorHAnsi"/>
          <w:lang w:val="en-US" w:eastAsia="en-US"/>
        </w:rPr>
        <w:instrText>ADDIN RW.CITE{{doc:5e52b253e4b0a5c5cd95335b Ranstam,Jonas 2011; doc:5e5e6b3ee4b03c46d265a745 Kleinbaum,David 1996}}</w:instrText>
      </w:r>
      <w:r w:rsidRPr="00617775">
        <w:rPr>
          <w:rFonts w:eastAsiaTheme="minorHAnsi"/>
          <w:lang w:val="en-US" w:eastAsia="en-US"/>
        </w:rPr>
        <w:fldChar w:fldCharType="separate"/>
      </w:r>
      <w:r w:rsidRPr="009D3309">
        <w:rPr>
          <w:rFonts w:eastAsiaTheme="minorHAnsi"/>
          <w:bCs/>
          <w:lang w:val="en-US" w:eastAsia="en-US"/>
        </w:rPr>
        <w:t>(1, 3)</w:t>
      </w:r>
      <w:r w:rsidRPr="00617775">
        <w:rPr>
          <w:rFonts w:eastAsiaTheme="minorHAnsi"/>
          <w:lang w:val="en-US" w:eastAsia="en-US"/>
        </w:rPr>
        <w:fldChar w:fldCharType="end"/>
      </w:r>
      <w:r w:rsidRPr="00617775">
        <w:rPr>
          <w:rFonts w:eastAsiaTheme="minorHAnsi"/>
          <w:lang w:val="en-US" w:eastAsia="en-US"/>
        </w:rPr>
        <w:t xml:space="preserve">.  </w:t>
      </w:r>
      <w:proofErr w:type="spellStart"/>
      <w:r w:rsidRPr="00617775">
        <w:rPr>
          <w:rFonts w:eastAsiaTheme="minorHAnsi"/>
          <w:lang w:val="en-US" w:eastAsia="en-US"/>
        </w:rPr>
        <w:t>Schemper´s</w:t>
      </w:r>
      <w:proofErr w:type="spellEnd"/>
      <w:r w:rsidRPr="00617775">
        <w:rPr>
          <w:rFonts w:eastAsiaTheme="minorHAnsi"/>
          <w:lang w:val="en-US" w:eastAsia="en-US"/>
        </w:rPr>
        <w:t xml:space="preserve"> weighted model is also one possible way to deal with PH violation </w:t>
      </w:r>
      <w:r w:rsidRPr="00617775">
        <w:rPr>
          <w:rFonts w:eastAsiaTheme="minorHAnsi"/>
          <w:lang w:val="en-US" w:eastAsia="en-US"/>
        </w:rPr>
        <w:fldChar w:fldCharType="begin"/>
      </w:r>
      <w:r w:rsidRPr="00617775">
        <w:rPr>
          <w:rFonts w:eastAsiaTheme="minorHAnsi"/>
          <w:lang w:val="en-US" w:eastAsia="en-US"/>
        </w:rPr>
        <w:instrText>ADDIN RW.CITE{{doc:5e52b01ee4b0a5c5cd9532a6 Schemper,Michael 2009}}</w:instrText>
      </w:r>
      <w:r w:rsidRPr="00617775">
        <w:rPr>
          <w:rFonts w:eastAsiaTheme="minorHAnsi"/>
          <w:lang w:val="en-US" w:eastAsia="en-US"/>
        </w:rPr>
        <w:fldChar w:fldCharType="separate"/>
      </w:r>
      <w:r w:rsidRPr="009D3309">
        <w:rPr>
          <w:rFonts w:eastAsiaTheme="minorHAnsi"/>
          <w:bCs/>
          <w:lang w:val="en-US" w:eastAsia="en-US"/>
        </w:rPr>
        <w:t>(5)</w:t>
      </w:r>
      <w:r w:rsidRPr="00617775">
        <w:rPr>
          <w:rFonts w:eastAsiaTheme="minorHAnsi"/>
          <w:lang w:val="en-US" w:eastAsia="en-US"/>
        </w:rPr>
        <w:fldChar w:fldCharType="end"/>
      </w:r>
      <w:r w:rsidRPr="00617775">
        <w:rPr>
          <w:rFonts w:eastAsiaTheme="minorHAnsi"/>
          <w:lang w:val="en-US" w:eastAsia="en-US"/>
        </w:rPr>
        <w:t xml:space="preserve">. In </w:t>
      </w:r>
      <w:proofErr w:type="spellStart"/>
      <w:r w:rsidRPr="00617775">
        <w:rPr>
          <w:rFonts w:eastAsiaTheme="minorHAnsi"/>
          <w:lang w:val="en-US" w:eastAsia="en-US"/>
        </w:rPr>
        <w:t>Schemper’s</w:t>
      </w:r>
      <w:proofErr w:type="spellEnd"/>
      <w:r w:rsidRPr="00617775">
        <w:rPr>
          <w:rFonts w:eastAsiaTheme="minorHAnsi"/>
          <w:lang w:val="en-US" w:eastAsia="en-US"/>
        </w:rPr>
        <w:t xml:space="preserve"> weighted model, the events and observations are analyzed based on the follow-up instead of assuming the hazard constant over time. Since the model weights the results by time, it can be used to calculate the HRs for the whole study-period </w:t>
      </w:r>
      <w:r w:rsidRPr="00617775">
        <w:rPr>
          <w:rFonts w:eastAsiaTheme="minorHAnsi"/>
          <w:lang w:val="en-US" w:eastAsia="en-US"/>
        </w:rPr>
        <w:fldChar w:fldCharType="begin"/>
      </w:r>
      <w:r w:rsidRPr="00617775">
        <w:rPr>
          <w:rFonts w:eastAsiaTheme="minorHAnsi"/>
          <w:lang w:val="en-US" w:eastAsia="en-US"/>
        </w:rPr>
        <w:instrText>ADDIN RW.CITE{{doc:5e52b253e4b0a5c5cd95335b Ranstam,Jonas 2011; doc:5e52b01ee4b0a5c5cd9532a6 Schemper,Michael 2009}}</w:instrText>
      </w:r>
      <w:r w:rsidRPr="00617775">
        <w:rPr>
          <w:rFonts w:eastAsiaTheme="minorHAnsi"/>
          <w:lang w:val="en-US" w:eastAsia="en-US"/>
        </w:rPr>
        <w:fldChar w:fldCharType="separate"/>
      </w:r>
      <w:r w:rsidRPr="009D3309">
        <w:rPr>
          <w:rFonts w:eastAsiaTheme="minorHAnsi"/>
          <w:bCs/>
          <w:lang w:val="en-US" w:eastAsia="en-US"/>
        </w:rPr>
        <w:t>(1, 5)</w:t>
      </w:r>
      <w:r w:rsidRPr="00617775">
        <w:rPr>
          <w:rFonts w:eastAsiaTheme="minorHAnsi"/>
          <w:lang w:val="en-US" w:eastAsia="en-US"/>
        </w:rPr>
        <w:fldChar w:fldCharType="end"/>
      </w:r>
      <w:r w:rsidRPr="00617775">
        <w:rPr>
          <w:rFonts w:eastAsiaTheme="minorHAnsi"/>
          <w:lang w:val="en-US" w:eastAsia="en-US"/>
        </w:rPr>
        <w:t>.</w:t>
      </w:r>
      <w:r>
        <w:rPr>
          <w:rFonts w:eastAsiaTheme="minorHAnsi"/>
          <w:lang w:val="en-US" w:eastAsia="en-US"/>
        </w:rPr>
        <w:t xml:space="preserve"> </w:t>
      </w:r>
      <w:r w:rsidRPr="006F0A36">
        <w:rPr>
          <w:lang w:val="en-US"/>
        </w:rPr>
        <w:t xml:space="preserve">Another method, although methodologically </w:t>
      </w:r>
      <w:r>
        <w:rPr>
          <w:lang w:val="en-US"/>
        </w:rPr>
        <w:t xml:space="preserve">completely </w:t>
      </w:r>
      <w:r w:rsidRPr="006F0A36">
        <w:rPr>
          <w:lang w:val="en-US"/>
        </w:rPr>
        <w:t>different, that avoids the proportionality issues related to the Cox model is the restricted mean survival time</w:t>
      </w:r>
      <w:r>
        <w:rPr>
          <w:lang w:val="en-US"/>
        </w:rPr>
        <w:t xml:space="preserve"> </w:t>
      </w:r>
      <w:r w:rsidRPr="006F0A36">
        <w:rPr>
          <w:lang w:val="en-US"/>
        </w:rPr>
        <w:t>method, which is based on the testing of the restricted means in survival and the reporting of the differences at preselected fixed timepoints</w:t>
      </w:r>
      <w:r w:rsidRPr="006F0A36">
        <w:rPr>
          <w:vertAlign w:val="superscript"/>
          <w:lang w:val="en-US"/>
        </w:rPr>
        <w:t xml:space="preserve"> </w:t>
      </w:r>
      <w:r w:rsidRPr="006F0A36">
        <w:rPr>
          <w:vertAlign w:val="superscript"/>
          <w:lang w:val="en-US"/>
        </w:rPr>
        <w:fldChar w:fldCharType="begin"/>
      </w:r>
      <w:r w:rsidRPr="006F0A36">
        <w:rPr>
          <w:vertAlign w:val="superscript"/>
          <w:lang w:val="en-US"/>
        </w:rPr>
        <w:instrText>ADDIN RW.CITE{{doc:5ecf6d26e4b0d323379359ee Royston,Patrick 2013; doc:5ecf6d10e4b0b690af660e8a Stensrud,MatsJ. 2020; doc:5ecf6e25e4b016f6bcd49d88 Royston,Patrick 2011}}</w:instrText>
      </w:r>
      <w:r w:rsidRPr="006F0A36">
        <w:rPr>
          <w:vertAlign w:val="superscript"/>
          <w:lang w:val="en-US"/>
        </w:rPr>
        <w:fldChar w:fldCharType="separate"/>
      </w:r>
      <w:r w:rsidRPr="009D3309">
        <w:rPr>
          <w:bCs/>
          <w:lang w:val="en-US"/>
        </w:rPr>
        <w:t>(6-8)</w:t>
      </w:r>
      <w:r w:rsidRPr="006F0A36">
        <w:rPr>
          <w:vertAlign w:val="superscript"/>
          <w:lang w:val="en-US"/>
        </w:rPr>
        <w:fldChar w:fldCharType="end"/>
      </w:r>
      <w:r w:rsidRPr="006F0A36">
        <w:rPr>
          <w:lang w:val="en-US"/>
        </w:rPr>
        <w:t xml:space="preserve">. </w:t>
      </w:r>
      <w:r>
        <w:rPr>
          <w:lang w:val="en-US"/>
        </w:rPr>
        <w:t xml:space="preserve">Restricted mean survival time method has gained increasing interest as these problems related cox method have been notified more (7,9). </w:t>
      </w:r>
    </w:p>
    <w:p w14:paraId="683C42C6" w14:textId="38B77929" w:rsidR="009D3309" w:rsidRPr="00617775" w:rsidRDefault="009D3309" w:rsidP="009D3309">
      <w:pPr>
        <w:spacing w:after="160" w:line="480" w:lineRule="auto"/>
        <w:rPr>
          <w:rFonts w:eastAsiaTheme="minorHAnsi"/>
          <w:lang w:val="en-US" w:eastAsia="en-US"/>
        </w:rPr>
      </w:pPr>
      <w:r w:rsidRPr="00617775">
        <w:rPr>
          <w:rFonts w:eastAsiaTheme="minorHAnsi"/>
          <w:lang w:val="en-US" w:eastAsia="en-US"/>
        </w:rPr>
        <w:t>It should be noted that in certain cases, PH violation alone does not automatically lead to biased regression estimates</w:t>
      </w:r>
      <w:r>
        <w:rPr>
          <w:rFonts w:eastAsiaTheme="minorHAnsi"/>
          <w:lang w:val="en-US" w:eastAsia="en-US"/>
        </w:rPr>
        <w:t xml:space="preserve"> and non-proportionality is not an issue</w:t>
      </w:r>
      <w:r w:rsidRPr="00617775">
        <w:rPr>
          <w:rFonts w:eastAsiaTheme="minorHAnsi"/>
          <w:lang w:val="en-US" w:eastAsia="en-US"/>
        </w:rPr>
        <w:t xml:space="preserve">. If censoring is absent or censoring is independent of tested covariates, average hazard ratios produced by Cox regression are valid and interpretable as such. Censoring distribution, however, is almost never assessed in TJA literature. </w:t>
      </w:r>
      <w:r>
        <w:rPr>
          <w:rFonts w:eastAsiaTheme="minorHAnsi"/>
          <w:lang w:val="en-US" w:eastAsia="en-US"/>
        </w:rPr>
        <w:t xml:space="preserve">In case of non-proportionality, regression estimates may be interpreted as overall average effect during the study period as suggested recently by </w:t>
      </w:r>
      <w:proofErr w:type="spellStart"/>
      <w:r>
        <w:rPr>
          <w:rFonts w:eastAsiaTheme="minorHAnsi"/>
          <w:lang w:val="en-US" w:eastAsia="en-US"/>
        </w:rPr>
        <w:t>Stensrud</w:t>
      </w:r>
      <w:proofErr w:type="spellEnd"/>
      <w:r>
        <w:rPr>
          <w:rFonts w:eastAsiaTheme="minorHAnsi"/>
          <w:lang w:val="en-US" w:eastAsia="en-US"/>
        </w:rPr>
        <w:t xml:space="preserve"> and Hernan (7). This approach is suitable for RCTs where study period is usually fixed and </w:t>
      </w:r>
      <w:proofErr w:type="gramStart"/>
      <w:r>
        <w:rPr>
          <w:rFonts w:eastAsiaTheme="minorHAnsi"/>
          <w:lang w:val="en-US" w:eastAsia="en-US"/>
        </w:rPr>
        <w:t>specified</w:t>
      </w:r>
      <w:proofErr w:type="gramEnd"/>
      <w:r>
        <w:rPr>
          <w:rFonts w:eastAsiaTheme="minorHAnsi"/>
          <w:lang w:val="en-US" w:eastAsia="en-US"/>
        </w:rPr>
        <w:t xml:space="preserve"> and patients followed for certain time. TJA research is usually observational in nature and specific study periods such as in RCTs is not used </w:t>
      </w:r>
      <w:r>
        <w:rPr>
          <w:rFonts w:eastAsiaTheme="minorHAnsi"/>
          <w:lang w:val="en-US" w:eastAsia="en-US"/>
        </w:rPr>
        <w:lastRenderedPageBreak/>
        <w:t xml:space="preserve">but patients are followed </w:t>
      </w:r>
      <w:proofErr w:type="gramStart"/>
      <w:r>
        <w:rPr>
          <w:rFonts w:eastAsiaTheme="minorHAnsi"/>
          <w:lang w:val="en-US" w:eastAsia="en-US"/>
        </w:rPr>
        <w:t>as long as</w:t>
      </w:r>
      <w:proofErr w:type="gramEnd"/>
      <w:r>
        <w:rPr>
          <w:rFonts w:eastAsiaTheme="minorHAnsi"/>
          <w:lang w:val="en-US" w:eastAsia="en-US"/>
        </w:rPr>
        <w:t xml:space="preserve"> possible with non-random censoring distribution. Hence, the PH assumption is crucial and should not be overlooked in TJA research. As said, there is a clear biological rationale why PH is likely to often fail. Not dealing the PH assumption appropriately undermines the study purpose in TJA research. </w:t>
      </w:r>
      <w:r w:rsidRPr="00617775">
        <w:rPr>
          <w:rFonts w:eastAsiaTheme="minorHAnsi"/>
          <w:lang w:val="en-US" w:eastAsia="en-US"/>
        </w:rPr>
        <w:t xml:space="preserve">Thus, if violation of the PH assumption is detected, it should practically always be handled using one of the methods above or other applicable methods. </w:t>
      </w:r>
    </w:p>
    <w:p w14:paraId="725FAEE2" w14:textId="1B6A6919" w:rsidR="009D3309" w:rsidRPr="009D3309" w:rsidRDefault="009D3309" w:rsidP="009D3309">
      <w:pPr>
        <w:pStyle w:val="NormaaliWWW"/>
        <w:rPr>
          <w:lang w:val="en-US"/>
        </w:rPr>
      </w:pPr>
      <w:r>
        <w:rPr>
          <w:lang w:val="en-US"/>
        </w:rPr>
        <w:fldChar w:fldCharType="begin"/>
      </w:r>
      <w:r>
        <w:rPr>
          <w:lang w:val="en-US"/>
        </w:rPr>
        <w:instrText>ADDIN RW.BIB</w:instrText>
      </w:r>
      <w:r>
        <w:rPr>
          <w:lang w:val="en-US"/>
        </w:rPr>
        <w:fldChar w:fldCharType="separate"/>
      </w:r>
      <w:r w:rsidRPr="009D3309">
        <w:rPr>
          <w:lang w:val="en-US"/>
        </w:rPr>
        <w:t>References</w:t>
      </w:r>
    </w:p>
    <w:p w14:paraId="5BC5016C" w14:textId="77777777" w:rsidR="009D3309" w:rsidRPr="009D3309" w:rsidRDefault="009D3309" w:rsidP="009D3309">
      <w:pPr>
        <w:pStyle w:val="NormaaliWWW"/>
        <w:rPr>
          <w:lang w:val="en-US"/>
        </w:rPr>
      </w:pPr>
      <w:r w:rsidRPr="009D3309">
        <w:rPr>
          <w:lang w:val="en-US"/>
        </w:rPr>
        <w:t>1. Ranstam J, Kärrholm J, Pulkkinen P, Mäkelä K, Espehaug B, Pedersen AB, et al. Statistical analysis of arthroplasty data. Acta Orthop. 2011 -6;82(3):253-7.</w:t>
      </w:r>
    </w:p>
    <w:p w14:paraId="2FD466AD" w14:textId="77777777" w:rsidR="009D3309" w:rsidRPr="009D3309" w:rsidRDefault="009D3309" w:rsidP="009D3309">
      <w:pPr>
        <w:pStyle w:val="NormaaliWWW"/>
        <w:rPr>
          <w:lang w:val="en-US"/>
        </w:rPr>
      </w:pPr>
      <w:r w:rsidRPr="009D3309">
        <w:rPr>
          <w:lang w:val="en-US"/>
        </w:rPr>
        <w:t>2. Schoenfeld D. Partial residuals for the proportional hazards regression model. Biometrika. 1982 /04/01;69(1):239-41.</w:t>
      </w:r>
    </w:p>
    <w:p w14:paraId="0273B78B" w14:textId="77777777" w:rsidR="009D3309" w:rsidRPr="009D3309" w:rsidRDefault="009D3309" w:rsidP="009D3309">
      <w:pPr>
        <w:pStyle w:val="NormaaliWWW"/>
        <w:rPr>
          <w:lang w:val="en-US"/>
        </w:rPr>
      </w:pPr>
      <w:r w:rsidRPr="009D3309">
        <w:rPr>
          <w:lang w:val="en-US"/>
        </w:rPr>
        <w:t>3. Kleinbaum D, Klein M. Survival Analysis: A Self-Learning Text. 1st ed. Springer; 1996.</w:t>
      </w:r>
    </w:p>
    <w:p w14:paraId="2C5507EB" w14:textId="77777777" w:rsidR="009D3309" w:rsidRPr="009D3309" w:rsidRDefault="009D3309" w:rsidP="009D3309">
      <w:pPr>
        <w:pStyle w:val="NormaaliWWW"/>
        <w:rPr>
          <w:lang w:val="en-US"/>
        </w:rPr>
      </w:pPr>
      <w:r w:rsidRPr="009D3309">
        <w:rPr>
          <w:lang w:val="en-US"/>
        </w:rPr>
        <w:t>4. Zhang Z, Reinikainen J, Adeleke KA, Pieterse ME, Groothuis-Oudshoorn CGM. Time-varying covariates and coefficients in Cox regression models. Ann Transl Med. 2018 Apr;6(7):121.</w:t>
      </w:r>
    </w:p>
    <w:p w14:paraId="551D9398" w14:textId="77777777" w:rsidR="009D3309" w:rsidRPr="009D3309" w:rsidRDefault="009D3309" w:rsidP="009D3309">
      <w:pPr>
        <w:pStyle w:val="NormaaliWWW"/>
        <w:rPr>
          <w:lang w:val="en-US"/>
        </w:rPr>
      </w:pPr>
      <w:r w:rsidRPr="009D3309">
        <w:rPr>
          <w:lang w:val="en-US"/>
        </w:rPr>
        <w:t>5. Schemper M, Wakounig S, Heinze G. The estimation of average hazard ratios by weighted Cox regression. Stat Med. 2009 Aug 30,;28(19):2473-89.</w:t>
      </w:r>
    </w:p>
    <w:p w14:paraId="6AB41B2A" w14:textId="77777777" w:rsidR="009D3309" w:rsidRPr="009D3309" w:rsidRDefault="009D3309" w:rsidP="009D3309">
      <w:pPr>
        <w:pStyle w:val="NormaaliWWW"/>
        <w:rPr>
          <w:lang w:val="en-US"/>
        </w:rPr>
      </w:pPr>
      <w:r w:rsidRPr="009D3309">
        <w:rPr>
          <w:lang w:val="en-US"/>
        </w:rPr>
        <w:t>6. Royston P, Parmar MKB. Restricted mean survival time: an alternative to the hazard ratio for the design and analysis of randomized trials with a time-to-event outcome. BMC Med Res Methodol. 2013 Dec 07,;13:152.</w:t>
      </w:r>
    </w:p>
    <w:p w14:paraId="1A82F825" w14:textId="77777777" w:rsidR="009D3309" w:rsidRPr="009D3309" w:rsidRDefault="009D3309" w:rsidP="009D3309">
      <w:pPr>
        <w:pStyle w:val="NormaaliWWW"/>
        <w:rPr>
          <w:lang w:val="en-US"/>
        </w:rPr>
      </w:pPr>
      <w:r w:rsidRPr="009D3309">
        <w:rPr>
          <w:lang w:val="en-US"/>
        </w:rPr>
        <w:t>7. Stensrud MJ, Hernán MA. Why Test for Proportional Hazards? JAMA. 2020 /04/14;323(14):1401-2.</w:t>
      </w:r>
    </w:p>
    <w:p w14:paraId="2D766DC6" w14:textId="1548E44A" w:rsidR="009D3309" w:rsidRPr="00355802" w:rsidRDefault="009D3309" w:rsidP="009D3309">
      <w:pPr>
        <w:pStyle w:val="NormaaliWWW"/>
        <w:rPr>
          <w:lang w:val="en-US"/>
        </w:rPr>
      </w:pPr>
      <w:r w:rsidRPr="009D3309">
        <w:rPr>
          <w:lang w:val="en-US"/>
        </w:rPr>
        <w:t xml:space="preserve">8. Royston P, Parmar MKB. The use of restricted mean survival time to estimate the treatment effect in randomized clinical trials when the proportional hazards assumption is in doubt. </w:t>
      </w:r>
      <w:r w:rsidRPr="00355802">
        <w:rPr>
          <w:lang w:val="en-US"/>
        </w:rPr>
        <w:t xml:space="preserve">Stat Med. 2011 Aug </w:t>
      </w:r>
      <w:proofErr w:type="gramStart"/>
      <w:r w:rsidRPr="00355802">
        <w:rPr>
          <w:lang w:val="en-US"/>
        </w:rPr>
        <w:t>30,;</w:t>
      </w:r>
      <w:proofErr w:type="gramEnd"/>
      <w:r w:rsidRPr="00355802">
        <w:rPr>
          <w:lang w:val="en-US"/>
        </w:rPr>
        <w:t xml:space="preserve">30(19):2409-21. </w:t>
      </w:r>
    </w:p>
    <w:p w14:paraId="286ABAD5" w14:textId="75564C06" w:rsidR="009D3309" w:rsidRPr="009D3309" w:rsidRDefault="009D3309" w:rsidP="009D3309">
      <w:pPr>
        <w:pStyle w:val="NormaaliWWW"/>
        <w:rPr>
          <w:lang w:val="en-US"/>
        </w:rPr>
      </w:pPr>
      <w:r>
        <w:rPr>
          <w:lang w:val="en-US"/>
        </w:rPr>
        <w:t xml:space="preserve">9. </w:t>
      </w:r>
      <w:r w:rsidRPr="00312A00">
        <w:rPr>
          <w:lang w:val="en-US"/>
        </w:rPr>
        <w:t>Li L, Yang Z, Hou Y, Chen Z. Moving beyond the Cox proportional hazards model in survival data analysis: a cervical cancer study. BMJ Open. 2020;10(7):e033965.</w:t>
      </w:r>
    </w:p>
    <w:p w14:paraId="13295EF3" w14:textId="60B01FD2" w:rsidR="00355802" w:rsidRDefault="009D3309" w:rsidP="009D3309">
      <w:pPr>
        <w:rPr>
          <w:lang w:val="en-US"/>
        </w:rPr>
      </w:pPr>
      <w:r w:rsidRPr="009D3309">
        <w:rPr>
          <w:lang w:val="en-US"/>
        </w:rPr>
        <w:t> </w:t>
      </w:r>
      <w:r>
        <w:rPr>
          <w:lang w:val="en-US"/>
        </w:rPr>
        <w:fldChar w:fldCharType="end"/>
      </w:r>
    </w:p>
    <w:p w14:paraId="5FC19341" w14:textId="77777777" w:rsidR="00355802" w:rsidRDefault="00355802">
      <w:pPr>
        <w:spacing w:after="160" w:line="259" w:lineRule="auto"/>
        <w:rPr>
          <w:lang w:val="en-US"/>
        </w:rPr>
      </w:pPr>
      <w:r>
        <w:rPr>
          <w:lang w:val="en-US"/>
        </w:rPr>
        <w:br w:type="page"/>
      </w:r>
    </w:p>
    <w:p w14:paraId="203B07E5" w14:textId="1A38FFB7" w:rsidR="00355802" w:rsidRDefault="00355802" w:rsidP="00355802">
      <w:pPr>
        <w:spacing w:line="480" w:lineRule="auto"/>
        <w:rPr>
          <w:lang w:val="en-US"/>
        </w:rPr>
      </w:pPr>
      <w:r>
        <w:rPr>
          <w:lang w:val="en-US"/>
        </w:rPr>
        <w:lastRenderedPageBreak/>
        <w:t xml:space="preserve">Figure S1 A) An example of Kaplan-Meier survival graph without an obvious proportional hazard violation. B) log(-log) plot for graph A to present the testing of the proportional hazard assumption unviolated as the curves remain parallel.  </w:t>
      </w:r>
    </w:p>
    <w:p w14:paraId="7DC45EDA" w14:textId="2F6EAD51" w:rsidR="00355802" w:rsidRDefault="00355802" w:rsidP="00355802">
      <w:pPr>
        <w:spacing w:line="480" w:lineRule="auto"/>
        <w:rPr>
          <w:lang w:val="en-US"/>
        </w:rPr>
      </w:pPr>
      <w:r>
        <w:rPr>
          <w:noProof/>
        </w:rPr>
        <w:drawing>
          <wp:anchor distT="0" distB="0" distL="114300" distR="114300" simplePos="0" relativeHeight="251659264" behindDoc="1" locked="0" layoutInCell="1" allowOverlap="1" wp14:anchorId="2ED87239" wp14:editId="1F0E4D6C">
            <wp:simplePos x="0" y="0"/>
            <wp:positionH relativeFrom="column">
              <wp:posOffset>3197860</wp:posOffset>
            </wp:positionH>
            <wp:positionV relativeFrom="paragraph">
              <wp:posOffset>-1905</wp:posOffset>
            </wp:positionV>
            <wp:extent cx="3073400" cy="3073400"/>
            <wp:effectExtent l="0" t="0" r="0" b="0"/>
            <wp:wrapNone/>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73400" cy="3073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76CEB508" wp14:editId="33D84289">
            <wp:simplePos x="0" y="0"/>
            <wp:positionH relativeFrom="column">
              <wp:posOffset>-2540</wp:posOffset>
            </wp:positionH>
            <wp:positionV relativeFrom="paragraph">
              <wp:posOffset>-1905</wp:posOffset>
            </wp:positionV>
            <wp:extent cx="3105150" cy="3105150"/>
            <wp:effectExtent l="0" t="0" r="0" b="0"/>
            <wp:wrapNone/>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05150" cy="3105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588B6D" w14:textId="0AC00726" w:rsidR="00355802" w:rsidRDefault="00355802" w:rsidP="00355802">
      <w:pPr>
        <w:spacing w:line="480" w:lineRule="auto"/>
        <w:rPr>
          <w:lang w:val="en-US"/>
        </w:rPr>
      </w:pPr>
    </w:p>
    <w:p w14:paraId="1A1E86AE" w14:textId="77777777" w:rsidR="00355802" w:rsidRDefault="00355802" w:rsidP="00355802">
      <w:pPr>
        <w:spacing w:line="480" w:lineRule="auto"/>
        <w:rPr>
          <w:lang w:val="en-US"/>
        </w:rPr>
      </w:pPr>
    </w:p>
    <w:p w14:paraId="3F218EA0" w14:textId="77777777" w:rsidR="00355802" w:rsidRDefault="00355802" w:rsidP="00355802">
      <w:pPr>
        <w:spacing w:line="480" w:lineRule="auto"/>
        <w:rPr>
          <w:lang w:val="en-US"/>
        </w:rPr>
      </w:pPr>
    </w:p>
    <w:p w14:paraId="3926EDFD" w14:textId="77777777" w:rsidR="00355802" w:rsidRDefault="00355802" w:rsidP="00355802">
      <w:pPr>
        <w:spacing w:line="480" w:lineRule="auto"/>
        <w:rPr>
          <w:lang w:val="en-US"/>
        </w:rPr>
      </w:pPr>
    </w:p>
    <w:p w14:paraId="733858E3" w14:textId="77777777" w:rsidR="00355802" w:rsidRDefault="00355802" w:rsidP="00355802">
      <w:pPr>
        <w:spacing w:line="480" w:lineRule="auto"/>
        <w:rPr>
          <w:lang w:val="en-US"/>
        </w:rPr>
      </w:pPr>
    </w:p>
    <w:p w14:paraId="2CFF89C4" w14:textId="4CCBD6EC" w:rsidR="00355802" w:rsidRDefault="00355802" w:rsidP="00355802">
      <w:pPr>
        <w:spacing w:line="480" w:lineRule="auto"/>
        <w:rPr>
          <w:lang w:val="en-US"/>
        </w:rPr>
      </w:pPr>
    </w:p>
    <w:p w14:paraId="71F05A2C" w14:textId="77777777" w:rsidR="00355802" w:rsidRDefault="00355802" w:rsidP="00355802">
      <w:pPr>
        <w:spacing w:line="480" w:lineRule="auto"/>
        <w:rPr>
          <w:lang w:val="en-US"/>
        </w:rPr>
      </w:pPr>
    </w:p>
    <w:p w14:paraId="686C3F4A" w14:textId="77777777" w:rsidR="00355802" w:rsidRDefault="00355802" w:rsidP="00355802">
      <w:pPr>
        <w:spacing w:line="480" w:lineRule="auto"/>
        <w:rPr>
          <w:lang w:val="en-US"/>
        </w:rPr>
      </w:pPr>
    </w:p>
    <w:p w14:paraId="69DE47A9" w14:textId="77777777" w:rsidR="00355802" w:rsidRDefault="00355802" w:rsidP="00355802">
      <w:pPr>
        <w:spacing w:line="480" w:lineRule="auto"/>
        <w:rPr>
          <w:lang w:val="en-US"/>
        </w:rPr>
      </w:pPr>
    </w:p>
    <w:p w14:paraId="5875A63B" w14:textId="77777777" w:rsidR="00355802" w:rsidRDefault="00355802" w:rsidP="00355802">
      <w:pPr>
        <w:spacing w:line="480" w:lineRule="auto"/>
        <w:rPr>
          <w:lang w:val="en-US"/>
        </w:rPr>
      </w:pPr>
    </w:p>
    <w:p w14:paraId="2C4143F1" w14:textId="77777777" w:rsidR="00355802" w:rsidRDefault="00355802">
      <w:pPr>
        <w:spacing w:after="160" w:line="259" w:lineRule="auto"/>
        <w:rPr>
          <w:lang w:val="en-US"/>
        </w:rPr>
      </w:pPr>
      <w:r>
        <w:rPr>
          <w:lang w:val="en-US"/>
        </w:rPr>
        <w:br w:type="page"/>
      </w:r>
    </w:p>
    <w:p w14:paraId="13AAA985" w14:textId="7073DFD4" w:rsidR="00355802" w:rsidRDefault="00355802" w:rsidP="00355802">
      <w:pPr>
        <w:spacing w:line="480" w:lineRule="auto"/>
        <w:rPr>
          <w:lang w:val="en-US"/>
        </w:rPr>
      </w:pPr>
      <w:r w:rsidRPr="006A0988">
        <w:rPr>
          <w:lang w:val="en-US"/>
        </w:rPr>
        <w:lastRenderedPageBreak/>
        <w:t xml:space="preserve"> </w:t>
      </w:r>
      <w:r>
        <w:rPr>
          <w:lang w:val="en-US"/>
        </w:rPr>
        <w:t xml:space="preserve">Figure S2 A) Survival curves start as proportional, but the hazard changes and causes the survival curves to diverge. B) The log(-log) plot shows the diverge as PH violation, since the presented graphs are unparallel. </w:t>
      </w:r>
    </w:p>
    <w:p w14:paraId="288F632B" w14:textId="285EC7FF" w:rsidR="00355802" w:rsidRDefault="00355802" w:rsidP="00355802">
      <w:pPr>
        <w:spacing w:line="480" w:lineRule="auto"/>
        <w:rPr>
          <w:lang w:val="en-US"/>
        </w:rPr>
      </w:pPr>
      <w:r>
        <w:rPr>
          <w:noProof/>
        </w:rPr>
        <w:drawing>
          <wp:anchor distT="0" distB="0" distL="114300" distR="114300" simplePos="0" relativeHeight="251660288" behindDoc="1" locked="0" layoutInCell="1" allowOverlap="1" wp14:anchorId="57B3B565" wp14:editId="3105DB2C">
            <wp:simplePos x="0" y="0"/>
            <wp:positionH relativeFrom="column">
              <wp:posOffset>3159760</wp:posOffset>
            </wp:positionH>
            <wp:positionV relativeFrom="paragraph">
              <wp:posOffset>-1905</wp:posOffset>
            </wp:positionV>
            <wp:extent cx="3194050" cy="3194050"/>
            <wp:effectExtent l="0" t="0" r="6350" b="6350"/>
            <wp:wrapNone/>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94050" cy="3194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8E0FB22" wp14:editId="39A67E77">
            <wp:extent cx="3162300" cy="3162300"/>
            <wp:effectExtent l="0" t="0" r="0" b="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62300" cy="3162300"/>
                    </a:xfrm>
                    <a:prstGeom prst="rect">
                      <a:avLst/>
                    </a:prstGeom>
                    <a:noFill/>
                    <a:ln>
                      <a:noFill/>
                    </a:ln>
                  </pic:spPr>
                </pic:pic>
              </a:graphicData>
            </a:graphic>
          </wp:inline>
        </w:drawing>
      </w:r>
      <w:r w:rsidRPr="00355802">
        <w:t xml:space="preserve"> </w:t>
      </w:r>
    </w:p>
    <w:p w14:paraId="63FBF912" w14:textId="77777777" w:rsidR="00355802" w:rsidRDefault="00355802">
      <w:pPr>
        <w:spacing w:after="160" w:line="259" w:lineRule="auto"/>
        <w:rPr>
          <w:lang w:val="en-US"/>
        </w:rPr>
      </w:pPr>
      <w:r>
        <w:rPr>
          <w:lang w:val="en-US"/>
        </w:rPr>
        <w:br w:type="page"/>
      </w:r>
    </w:p>
    <w:p w14:paraId="1536182E" w14:textId="11785E9A" w:rsidR="00355802" w:rsidRDefault="00355802" w:rsidP="00355802">
      <w:pPr>
        <w:spacing w:after="160" w:line="480" w:lineRule="auto"/>
        <w:rPr>
          <w:lang w:val="en-US"/>
        </w:rPr>
      </w:pPr>
      <w:r>
        <w:rPr>
          <w:lang w:val="en-US"/>
        </w:rPr>
        <w:lastRenderedPageBreak/>
        <w:t xml:space="preserve">Figure S3 A) Survival curves cross as the hazards is </w:t>
      </w:r>
      <w:proofErr w:type="spellStart"/>
      <w:r>
        <w:rPr>
          <w:lang w:val="en-US"/>
        </w:rPr>
        <w:t>firt</w:t>
      </w:r>
      <w:proofErr w:type="spellEnd"/>
      <w:r>
        <w:rPr>
          <w:lang w:val="en-US"/>
        </w:rPr>
        <w:t xml:space="preserve"> </w:t>
      </w:r>
      <w:proofErr w:type="spellStart"/>
      <w:r>
        <w:rPr>
          <w:lang w:val="en-US"/>
        </w:rPr>
        <w:t>greated</w:t>
      </w:r>
      <w:proofErr w:type="spellEnd"/>
      <w:r>
        <w:rPr>
          <w:lang w:val="en-US"/>
        </w:rPr>
        <w:t xml:space="preserve"> in group 2 and later in group 1. B) This leads to proportional hazard violation as the log(-log) plots cross as well. </w:t>
      </w:r>
    </w:p>
    <w:p w14:paraId="0DA4D2DF" w14:textId="51D1E4CE" w:rsidR="00355802" w:rsidRDefault="00355802" w:rsidP="00355802">
      <w:pPr>
        <w:spacing w:after="160" w:line="480" w:lineRule="auto"/>
        <w:rPr>
          <w:lang w:val="en-US"/>
        </w:rPr>
      </w:pPr>
      <w:r>
        <w:rPr>
          <w:noProof/>
        </w:rPr>
        <w:drawing>
          <wp:anchor distT="0" distB="0" distL="114300" distR="114300" simplePos="0" relativeHeight="251661312" behindDoc="1" locked="0" layoutInCell="1" allowOverlap="1" wp14:anchorId="7446A6B6" wp14:editId="2F47EA4D">
            <wp:simplePos x="0" y="0"/>
            <wp:positionH relativeFrom="column">
              <wp:posOffset>3147060</wp:posOffset>
            </wp:positionH>
            <wp:positionV relativeFrom="paragraph">
              <wp:posOffset>-635</wp:posOffset>
            </wp:positionV>
            <wp:extent cx="3149600" cy="3149600"/>
            <wp:effectExtent l="0" t="0" r="0" b="0"/>
            <wp:wrapNone/>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49600" cy="3149600"/>
                    </a:xfrm>
                    <a:prstGeom prst="rect">
                      <a:avLst/>
                    </a:prstGeom>
                    <a:noFill/>
                    <a:ln>
                      <a:noFill/>
                    </a:ln>
                  </pic:spPr>
                </pic:pic>
              </a:graphicData>
            </a:graphic>
          </wp:anchor>
        </w:drawing>
      </w:r>
      <w:r>
        <w:rPr>
          <w:noProof/>
        </w:rPr>
        <w:drawing>
          <wp:inline distT="0" distB="0" distL="0" distR="0" wp14:anchorId="4345A928" wp14:editId="70BED538">
            <wp:extent cx="3149600" cy="3149600"/>
            <wp:effectExtent l="0" t="0" r="0"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49600" cy="3149600"/>
                    </a:xfrm>
                    <a:prstGeom prst="rect">
                      <a:avLst/>
                    </a:prstGeom>
                    <a:noFill/>
                    <a:ln>
                      <a:noFill/>
                    </a:ln>
                  </pic:spPr>
                </pic:pic>
              </a:graphicData>
            </a:graphic>
          </wp:inline>
        </w:drawing>
      </w:r>
      <w:r w:rsidRPr="00355802">
        <w:t xml:space="preserve"> </w:t>
      </w:r>
    </w:p>
    <w:p w14:paraId="0761C650" w14:textId="77777777" w:rsidR="00355802" w:rsidRDefault="00355802">
      <w:pPr>
        <w:spacing w:after="160" w:line="259" w:lineRule="auto"/>
        <w:rPr>
          <w:lang w:val="en-US"/>
        </w:rPr>
      </w:pPr>
      <w:r>
        <w:rPr>
          <w:lang w:val="en-US"/>
        </w:rPr>
        <w:br w:type="page"/>
      </w:r>
    </w:p>
    <w:p w14:paraId="574A4D6A" w14:textId="0AB52EAE" w:rsidR="00355802" w:rsidRDefault="00355802" w:rsidP="00355802">
      <w:pPr>
        <w:spacing w:after="160" w:line="480" w:lineRule="auto"/>
        <w:rPr>
          <w:lang w:val="en-US"/>
        </w:rPr>
      </w:pPr>
      <w:r>
        <w:rPr>
          <w:lang w:val="en-US"/>
        </w:rPr>
        <w:lastRenderedPageBreak/>
        <w:t xml:space="preserve">Figure S4 A) The hazards and survival curves start as constant but the difference evens out later. B) The log(-log) plot reveals proportional hazard violation at the end as the curves cross. </w:t>
      </w:r>
    </w:p>
    <w:p w14:paraId="0509B6A2" w14:textId="63CC823B" w:rsidR="00780D64" w:rsidRDefault="00355802" w:rsidP="009D3309">
      <w:pPr>
        <w:rPr>
          <w:noProof/>
        </w:rPr>
      </w:pPr>
      <w:r>
        <w:rPr>
          <w:noProof/>
        </w:rPr>
        <w:drawing>
          <wp:anchor distT="0" distB="0" distL="114300" distR="114300" simplePos="0" relativeHeight="251662336" behindDoc="1" locked="0" layoutInCell="1" allowOverlap="1" wp14:anchorId="7E78D773" wp14:editId="1A9F7971">
            <wp:simplePos x="0" y="0"/>
            <wp:positionH relativeFrom="column">
              <wp:posOffset>3128010</wp:posOffset>
            </wp:positionH>
            <wp:positionV relativeFrom="paragraph">
              <wp:posOffset>5715</wp:posOffset>
            </wp:positionV>
            <wp:extent cx="3149600" cy="3149600"/>
            <wp:effectExtent l="0" t="0" r="0" b="0"/>
            <wp:wrapNone/>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49600" cy="3149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4F73E3F" wp14:editId="1FD88F7F">
            <wp:extent cx="3130550" cy="3130550"/>
            <wp:effectExtent l="0" t="0" r="0" b="0"/>
            <wp:docPr id="7"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30550" cy="3130550"/>
                    </a:xfrm>
                    <a:prstGeom prst="rect">
                      <a:avLst/>
                    </a:prstGeom>
                    <a:noFill/>
                    <a:ln>
                      <a:noFill/>
                    </a:ln>
                  </pic:spPr>
                </pic:pic>
              </a:graphicData>
            </a:graphic>
          </wp:inline>
        </w:drawing>
      </w:r>
    </w:p>
    <w:p w14:paraId="76FF677F" w14:textId="3F325897" w:rsidR="00355802" w:rsidRDefault="00355802" w:rsidP="00355802">
      <w:pPr>
        <w:rPr>
          <w:noProof/>
        </w:rPr>
      </w:pPr>
    </w:p>
    <w:p w14:paraId="097D709A" w14:textId="2C556BF5" w:rsidR="00355802" w:rsidRDefault="00355802" w:rsidP="00355802">
      <w:pPr>
        <w:rPr>
          <w:noProof/>
        </w:rPr>
      </w:pPr>
    </w:p>
    <w:p w14:paraId="641B6FB1" w14:textId="51C2189E" w:rsidR="00355802" w:rsidRPr="00355802" w:rsidRDefault="00355802" w:rsidP="00355802">
      <w:pPr>
        <w:ind w:firstLine="1304"/>
        <w:rPr>
          <w:lang w:val="en-US"/>
        </w:rPr>
      </w:pPr>
    </w:p>
    <w:sectPr w:rsidR="00355802" w:rsidRPr="0035580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309"/>
    <w:rsid w:val="00002BD5"/>
    <w:rsid w:val="00002C4E"/>
    <w:rsid w:val="000078F5"/>
    <w:rsid w:val="00016B64"/>
    <w:rsid w:val="00021C01"/>
    <w:rsid w:val="00025458"/>
    <w:rsid w:val="0002630C"/>
    <w:rsid w:val="00026AD3"/>
    <w:rsid w:val="0004446F"/>
    <w:rsid w:val="00044E4A"/>
    <w:rsid w:val="00052960"/>
    <w:rsid w:val="00053799"/>
    <w:rsid w:val="00063797"/>
    <w:rsid w:val="000637FC"/>
    <w:rsid w:val="0006752B"/>
    <w:rsid w:val="000719F9"/>
    <w:rsid w:val="00071CB2"/>
    <w:rsid w:val="000757F9"/>
    <w:rsid w:val="00076682"/>
    <w:rsid w:val="00077D4E"/>
    <w:rsid w:val="000841C9"/>
    <w:rsid w:val="00091EF0"/>
    <w:rsid w:val="00095332"/>
    <w:rsid w:val="000963CA"/>
    <w:rsid w:val="00096F4E"/>
    <w:rsid w:val="00097962"/>
    <w:rsid w:val="000A2233"/>
    <w:rsid w:val="000A2708"/>
    <w:rsid w:val="000B0AE4"/>
    <w:rsid w:val="000B1B8F"/>
    <w:rsid w:val="000C3F9C"/>
    <w:rsid w:val="000C782C"/>
    <w:rsid w:val="000D3076"/>
    <w:rsid w:val="000D363A"/>
    <w:rsid w:val="000E07C7"/>
    <w:rsid w:val="000E0A3B"/>
    <w:rsid w:val="000E773D"/>
    <w:rsid w:val="000F0FF0"/>
    <w:rsid w:val="000F1D9D"/>
    <w:rsid w:val="0011140B"/>
    <w:rsid w:val="00112635"/>
    <w:rsid w:val="00113597"/>
    <w:rsid w:val="00114839"/>
    <w:rsid w:val="00116423"/>
    <w:rsid w:val="001206EA"/>
    <w:rsid w:val="00123ECC"/>
    <w:rsid w:val="00131B57"/>
    <w:rsid w:val="00150AFC"/>
    <w:rsid w:val="00154C1D"/>
    <w:rsid w:val="00156413"/>
    <w:rsid w:val="00157D51"/>
    <w:rsid w:val="0016320F"/>
    <w:rsid w:val="00174609"/>
    <w:rsid w:val="00176A84"/>
    <w:rsid w:val="00177686"/>
    <w:rsid w:val="00177BF8"/>
    <w:rsid w:val="00186B6E"/>
    <w:rsid w:val="0018783D"/>
    <w:rsid w:val="001B385A"/>
    <w:rsid w:val="001B4867"/>
    <w:rsid w:val="001B48AC"/>
    <w:rsid w:val="001C07BD"/>
    <w:rsid w:val="001C3F8A"/>
    <w:rsid w:val="001D50ED"/>
    <w:rsid w:val="001D6921"/>
    <w:rsid w:val="001E0E18"/>
    <w:rsid w:val="001E4889"/>
    <w:rsid w:val="001E66CF"/>
    <w:rsid w:val="001F7CF9"/>
    <w:rsid w:val="0020355A"/>
    <w:rsid w:val="00206171"/>
    <w:rsid w:val="00207380"/>
    <w:rsid w:val="00211158"/>
    <w:rsid w:val="002169B4"/>
    <w:rsid w:val="00226353"/>
    <w:rsid w:val="00232C7E"/>
    <w:rsid w:val="002357EC"/>
    <w:rsid w:val="00236F4F"/>
    <w:rsid w:val="00244FDD"/>
    <w:rsid w:val="002501BE"/>
    <w:rsid w:val="00250C80"/>
    <w:rsid w:val="00252386"/>
    <w:rsid w:val="00254E7E"/>
    <w:rsid w:val="00255BFA"/>
    <w:rsid w:val="0026322B"/>
    <w:rsid w:val="0026495B"/>
    <w:rsid w:val="002677E9"/>
    <w:rsid w:val="0027420C"/>
    <w:rsid w:val="002763A4"/>
    <w:rsid w:val="00277F19"/>
    <w:rsid w:val="00286D67"/>
    <w:rsid w:val="00291173"/>
    <w:rsid w:val="0029151D"/>
    <w:rsid w:val="002A1EBB"/>
    <w:rsid w:val="002A31D4"/>
    <w:rsid w:val="002B10E9"/>
    <w:rsid w:val="002B231F"/>
    <w:rsid w:val="002B3282"/>
    <w:rsid w:val="002B7382"/>
    <w:rsid w:val="002C0603"/>
    <w:rsid w:val="002C3508"/>
    <w:rsid w:val="002C3CD7"/>
    <w:rsid w:val="002C5620"/>
    <w:rsid w:val="002E1C5B"/>
    <w:rsid w:val="002E283A"/>
    <w:rsid w:val="002E59D7"/>
    <w:rsid w:val="002E7102"/>
    <w:rsid w:val="002F1EEA"/>
    <w:rsid w:val="002F1EF7"/>
    <w:rsid w:val="002F3628"/>
    <w:rsid w:val="002F5809"/>
    <w:rsid w:val="00301E40"/>
    <w:rsid w:val="00305E96"/>
    <w:rsid w:val="00307DFA"/>
    <w:rsid w:val="00321599"/>
    <w:rsid w:val="00321836"/>
    <w:rsid w:val="003265A5"/>
    <w:rsid w:val="00333A95"/>
    <w:rsid w:val="003363DF"/>
    <w:rsid w:val="0033763C"/>
    <w:rsid w:val="00337E09"/>
    <w:rsid w:val="00345563"/>
    <w:rsid w:val="0035156B"/>
    <w:rsid w:val="00354D79"/>
    <w:rsid w:val="00355802"/>
    <w:rsid w:val="00357B30"/>
    <w:rsid w:val="00360A53"/>
    <w:rsid w:val="00361AA0"/>
    <w:rsid w:val="00371782"/>
    <w:rsid w:val="0037399C"/>
    <w:rsid w:val="003804D9"/>
    <w:rsid w:val="0038487B"/>
    <w:rsid w:val="003900EA"/>
    <w:rsid w:val="00391131"/>
    <w:rsid w:val="0039332A"/>
    <w:rsid w:val="00394269"/>
    <w:rsid w:val="003A0E49"/>
    <w:rsid w:val="003A3B8B"/>
    <w:rsid w:val="003A51F8"/>
    <w:rsid w:val="003A546F"/>
    <w:rsid w:val="003B5C13"/>
    <w:rsid w:val="003B74C0"/>
    <w:rsid w:val="003C1161"/>
    <w:rsid w:val="003C3B8A"/>
    <w:rsid w:val="003C7D5B"/>
    <w:rsid w:val="003D0102"/>
    <w:rsid w:val="003D2899"/>
    <w:rsid w:val="003D2D6D"/>
    <w:rsid w:val="003D5B0A"/>
    <w:rsid w:val="003D615A"/>
    <w:rsid w:val="003E14DF"/>
    <w:rsid w:val="003E16D7"/>
    <w:rsid w:val="003E3773"/>
    <w:rsid w:val="003E39AE"/>
    <w:rsid w:val="003F4564"/>
    <w:rsid w:val="003F48DE"/>
    <w:rsid w:val="004042E0"/>
    <w:rsid w:val="0040477F"/>
    <w:rsid w:val="00405248"/>
    <w:rsid w:val="0040530A"/>
    <w:rsid w:val="004055E4"/>
    <w:rsid w:val="00407101"/>
    <w:rsid w:val="00407423"/>
    <w:rsid w:val="0041654C"/>
    <w:rsid w:val="004170A2"/>
    <w:rsid w:val="00422771"/>
    <w:rsid w:val="004232C5"/>
    <w:rsid w:val="00427499"/>
    <w:rsid w:val="00430B40"/>
    <w:rsid w:val="004333EE"/>
    <w:rsid w:val="00433428"/>
    <w:rsid w:val="0043347C"/>
    <w:rsid w:val="0044110F"/>
    <w:rsid w:val="00442B71"/>
    <w:rsid w:val="00451AB8"/>
    <w:rsid w:val="00453AFF"/>
    <w:rsid w:val="00463E4E"/>
    <w:rsid w:val="00472DF4"/>
    <w:rsid w:val="004736C6"/>
    <w:rsid w:val="004740F9"/>
    <w:rsid w:val="00482126"/>
    <w:rsid w:val="00487CD7"/>
    <w:rsid w:val="00490D7F"/>
    <w:rsid w:val="00494405"/>
    <w:rsid w:val="0049574B"/>
    <w:rsid w:val="004A0A6C"/>
    <w:rsid w:val="004A108D"/>
    <w:rsid w:val="004A448D"/>
    <w:rsid w:val="004A4BFF"/>
    <w:rsid w:val="004B3125"/>
    <w:rsid w:val="004B4946"/>
    <w:rsid w:val="004B7E34"/>
    <w:rsid w:val="004C04FD"/>
    <w:rsid w:val="004C48B9"/>
    <w:rsid w:val="004C5DA3"/>
    <w:rsid w:val="004D06C7"/>
    <w:rsid w:val="004D3872"/>
    <w:rsid w:val="004D397F"/>
    <w:rsid w:val="004E69AD"/>
    <w:rsid w:val="004E7B2E"/>
    <w:rsid w:val="004F170E"/>
    <w:rsid w:val="004F4E1E"/>
    <w:rsid w:val="004F7072"/>
    <w:rsid w:val="004F7817"/>
    <w:rsid w:val="00503F7D"/>
    <w:rsid w:val="005041FE"/>
    <w:rsid w:val="00506104"/>
    <w:rsid w:val="00506126"/>
    <w:rsid w:val="005072C3"/>
    <w:rsid w:val="005105E0"/>
    <w:rsid w:val="005302BB"/>
    <w:rsid w:val="00530AEC"/>
    <w:rsid w:val="00531900"/>
    <w:rsid w:val="00531904"/>
    <w:rsid w:val="005359CF"/>
    <w:rsid w:val="00537607"/>
    <w:rsid w:val="00537936"/>
    <w:rsid w:val="005429A5"/>
    <w:rsid w:val="005461FF"/>
    <w:rsid w:val="005508EB"/>
    <w:rsid w:val="00551412"/>
    <w:rsid w:val="00551A02"/>
    <w:rsid w:val="005522B8"/>
    <w:rsid w:val="005528B1"/>
    <w:rsid w:val="00552EB3"/>
    <w:rsid w:val="0057025C"/>
    <w:rsid w:val="00570BE6"/>
    <w:rsid w:val="00570C71"/>
    <w:rsid w:val="0057456A"/>
    <w:rsid w:val="005749D2"/>
    <w:rsid w:val="00574AF1"/>
    <w:rsid w:val="0058237F"/>
    <w:rsid w:val="00584D17"/>
    <w:rsid w:val="00587AD3"/>
    <w:rsid w:val="00587F46"/>
    <w:rsid w:val="00591527"/>
    <w:rsid w:val="005931F6"/>
    <w:rsid w:val="00595167"/>
    <w:rsid w:val="005A0910"/>
    <w:rsid w:val="005A2ECD"/>
    <w:rsid w:val="005B126A"/>
    <w:rsid w:val="005B2C79"/>
    <w:rsid w:val="005B6F38"/>
    <w:rsid w:val="005C1F76"/>
    <w:rsid w:val="005C27EA"/>
    <w:rsid w:val="005C404A"/>
    <w:rsid w:val="005C4628"/>
    <w:rsid w:val="005D4532"/>
    <w:rsid w:val="005D75C3"/>
    <w:rsid w:val="005E15A5"/>
    <w:rsid w:val="005E3286"/>
    <w:rsid w:val="005E4A41"/>
    <w:rsid w:val="005E738C"/>
    <w:rsid w:val="005F5BE5"/>
    <w:rsid w:val="005F68AE"/>
    <w:rsid w:val="006070F8"/>
    <w:rsid w:val="00611F4B"/>
    <w:rsid w:val="00612868"/>
    <w:rsid w:val="00614219"/>
    <w:rsid w:val="00616213"/>
    <w:rsid w:val="00632590"/>
    <w:rsid w:val="0065320C"/>
    <w:rsid w:val="0065752C"/>
    <w:rsid w:val="00657F43"/>
    <w:rsid w:val="00661804"/>
    <w:rsid w:val="00662965"/>
    <w:rsid w:val="0066671B"/>
    <w:rsid w:val="0067083D"/>
    <w:rsid w:val="0067196B"/>
    <w:rsid w:val="006764C0"/>
    <w:rsid w:val="006921F6"/>
    <w:rsid w:val="006922EA"/>
    <w:rsid w:val="00693EF8"/>
    <w:rsid w:val="00693F35"/>
    <w:rsid w:val="00697B2A"/>
    <w:rsid w:val="006A3D77"/>
    <w:rsid w:val="006A6407"/>
    <w:rsid w:val="006A65E5"/>
    <w:rsid w:val="006A683F"/>
    <w:rsid w:val="006B2A8E"/>
    <w:rsid w:val="006B3E6C"/>
    <w:rsid w:val="006B4467"/>
    <w:rsid w:val="006B4E18"/>
    <w:rsid w:val="006B6264"/>
    <w:rsid w:val="006B79FA"/>
    <w:rsid w:val="006C14B4"/>
    <w:rsid w:val="006C5F7E"/>
    <w:rsid w:val="006E3B97"/>
    <w:rsid w:val="006E46A1"/>
    <w:rsid w:val="006F5EA6"/>
    <w:rsid w:val="00705082"/>
    <w:rsid w:val="00705EF6"/>
    <w:rsid w:val="00712D86"/>
    <w:rsid w:val="00715CE6"/>
    <w:rsid w:val="00716605"/>
    <w:rsid w:val="00723FA9"/>
    <w:rsid w:val="007259CA"/>
    <w:rsid w:val="00725AE2"/>
    <w:rsid w:val="0072694D"/>
    <w:rsid w:val="00731167"/>
    <w:rsid w:val="007370C8"/>
    <w:rsid w:val="00742EFF"/>
    <w:rsid w:val="00744E79"/>
    <w:rsid w:val="00745DCD"/>
    <w:rsid w:val="007474BE"/>
    <w:rsid w:val="007531BB"/>
    <w:rsid w:val="0075456F"/>
    <w:rsid w:val="0075634C"/>
    <w:rsid w:val="007625C0"/>
    <w:rsid w:val="00764E22"/>
    <w:rsid w:val="00780D64"/>
    <w:rsid w:val="007834D6"/>
    <w:rsid w:val="00786F4E"/>
    <w:rsid w:val="00791A50"/>
    <w:rsid w:val="00792E87"/>
    <w:rsid w:val="00793037"/>
    <w:rsid w:val="00794E64"/>
    <w:rsid w:val="007958FE"/>
    <w:rsid w:val="0079726E"/>
    <w:rsid w:val="007A023C"/>
    <w:rsid w:val="007A174B"/>
    <w:rsid w:val="007A1D0B"/>
    <w:rsid w:val="007A46EB"/>
    <w:rsid w:val="007A5F43"/>
    <w:rsid w:val="007A6200"/>
    <w:rsid w:val="007B09DF"/>
    <w:rsid w:val="007B0EC6"/>
    <w:rsid w:val="007B78C8"/>
    <w:rsid w:val="007C47AB"/>
    <w:rsid w:val="007C48EB"/>
    <w:rsid w:val="007D0BF0"/>
    <w:rsid w:val="007D215E"/>
    <w:rsid w:val="007D3BC1"/>
    <w:rsid w:val="007D4D44"/>
    <w:rsid w:val="007D4E5A"/>
    <w:rsid w:val="007E15A8"/>
    <w:rsid w:val="007E228B"/>
    <w:rsid w:val="007E5DCB"/>
    <w:rsid w:val="007F1732"/>
    <w:rsid w:val="00800C90"/>
    <w:rsid w:val="00805333"/>
    <w:rsid w:val="0080548E"/>
    <w:rsid w:val="0080776E"/>
    <w:rsid w:val="008123E1"/>
    <w:rsid w:val="00813B4B"/>
    <w:rsid w:val="00816736"/>
    <w:rsid w:val="00825537"/>
    <w:rsid w:val="00831793"/>
    <w:rsid w:val="00831F0E"/>
    <w:rsid w:val="00832559"/>
    <w:rsid w:val="00846AB1"/>
    <w:rsid w:val="00846D31"/>
    <w:rsid w:val="00847841"/>
    <w:rsid w:val="00850602"/>
    <w:rsid w:val="0085476D"/>
    <w:rsid w:val="0085559A"/>
    <w:rsid w:val="00855B1F"/>
    <w:rsid w:val="00856A8F"/>
    <w:rsid w:val="00862C89"/>
    <w:rsid w:val="008659E4"/>
    <w:rsid w:val="00874CF3"/>
    <w:rsid w:val="00874F4D"/>
    <w:rsid w:val="008800BD"/>
    <w:rsid w:val="00882FE2"/>
    <w:rsid w:val="00883ECD"/>
    <w:rsid w:val="0088530D"/>
    <w:rsid w:val="008877A1"/>
    <w:rsid w:val="00894C31"/>
    <w:rsid w:val="008A04E9"/>
    <w:rsid w:val="008A1582"/>
    <w:rsid w:val="008B7A70"/>
    <w:rsid w:val="008C0DF8"/>
    <w:rsid w:val="008C1D77"/>
    <w:rsid w:val="008C2118"/>
    <w:rsid w:val="008C4C72"/>
    <w:rsid w:val="008D225A"/>
    <w:rsid w:val="008E7F0F"/>
    <w:rsid w:val="008F003F"/>
    <w:rsid w:val="008F67F2"/>
    <w:rsid w:val="00904089"/>
    <w:rsid w:val="009043EE"/>
    <w:rsid w:val="00904968"/>
    <w:rsid w:val="00911158"/>
    <w:rsid w:val="00911A88"/>
    <w:rsid w:val="00912635"/>
    <w:rsid w:val="00914C9D"/>
    <w:rsid w:val="00920DCE"/>
    <w:rsid w:val="0092135D"/>
    <w:rsid w:val="00925C80"/>
    <w:rsid w:val="00930F27"/>
    <w:rsid w:val="009330D2"/>
    <w:rsid w:val="00943417"/>
    <w:rsid w:val="009515BA"/>
    <w:rsid w:val="00954794"/>
    <w:rsid w:val="009567DB"/>
    <w:rsid w:val="00961DD0"/>
    <w:rsid w:val="009627C0"/>
    <w:rsid w:val="00970194"/>
    <w:rsid w:val="009721EB"/>
    <w:rsid w:val="00977030"/>
    <w:rsid w:val="009775D8"/>
    <w:rsid w:val="00981116"/>
    <w:rsid w:val="009871F3"/>
    <w:rsid w:val="00990D5B"/>
    <w:rsid w:val="009934F2"/>
    <w:rsid w:val="00993DCF"/>
    <w:rsid w:val="00994968"/>
    <w:rsid w:val="00997BEB"/>
    <w:rsid w:val="009A321A"/>
    <w:rsid w:val="009A7A56"/>
    <w:rsid w:val="009B3483"/>
    <w:rsid w:val="009B6EF5"/>
    <w:rsid w:val="009C2C3C"/>
    <w:rsid w:val="009C655C"/>
    <w:rsid w:val="009D3309"/>
    <w:rsid w:val="009E2FDC"/>
    <w:rsid w:val="009E3FC2"/>
    <w:rsid w:val="009E562B"/>
    <w:rsid w:val="009E5ABC"/>
    <w:rsid w:val="009F1C49"/>
    <w:rsid w:val="009F6051"/>
    <w:rsid w:val="009F6F75"/>
    <w:rsid w:val="00A0056D"/>
    <w:rsid w:val="00A00A42"/>
    <w:rsid w:val="00A02310"/>
    <w:rsid w:val="00A05DD7"/>
    <w:rsid w:val="00A1087E"/>
    <w:rsid w:val="00A163B3"/>
    <w:rsid w:val="00A23DBC"/>
    <w:rsid w:val="00A25E46"/>
    <w:rsid w:val="00A26B23"/>
    <w:rsid w:val="00A26E96"/>
    <w:rsid w:val="00A272A6"/>
    <w:rsid w:val="00A32EF4"/>
    <w:rsid w:val="00A33B62"/>
    <w:rsid w:val="00A3695A"/>
    <w:rsid w:val="00A402F3"/>
    <w:rsid w:val="00A46357"/>
    <w:rsid w:val="00A561FD"/>
    <w:rsid w:val="00A619A5"/>
    <w:rsid w:val="00A70409"/>
    <w:rsid w:val="00A74550"/>
    <w:rsid w:val="00A747AD"/>
    <w:rsid w:val="00A77C5B"/>
    <w:rsid w:val="00A84C22"/>
    <w:rsid w:val="00A96E63"/>
    <w:rsid w:val="00A9713D"/>
    <w:rsid w:val="00A9766D"/>
    <w:rsid w:val="00AA3802"/>
    <w:rsid w:val="00AA3DD4"/>
    <w:rsid w:val="00AA3F10"/>
    <w:rsid w:val="00AA78AC"/>
    <w:rsid w:val="00AB2169"/>
    <w:rsid w:val="00AB3FFF"/>
    <w:rsid w:val="00AD36BD"/>
    <w:rsid w:val="00AD5D34"/>
    <w:rsid w:val="00AD70C9"/>
    <w:rsid w:val="00AE16E3"/>
    <w:rsid w:val="00AE3F59"/>
    <w:rsid w:val="00AF6208"/>
    <w:rsid w:val="00B000F5"/>
    <w:rsid w:val="00B00F8D"/>
    <w:rsid w:val="00B02B78"/>
    <w:rsid w:val="00B0395F"/>
    <w:rsid w:val="00B03CFE"/>
    <w:rsid w:val="00B141E0"/>
    <w:rsid w:val="00B1615F"/>
    <w:rsid w:val="00B17222"/>
    <w:rsid w:val="00B20219"/>
    <w:rsid w:val="00B23075"/>
    <w:rsid w:val="00B25A5F"/>
    <w:rsid w:val="00B27BBA"/>
    <w:rsid w:val="00B322B8"/>
    <w:rsid w:val="00B327D9"/>
    <w:rsid w:val="00B32E47"/>
    <w:rsid w:val="00B35061"/>
    <w:rsid w:val="00B36291"/>
    <w:rsid w:val="00B41DAD"/>
    <w:rsid w:val="00B423EB"/>
    <w:rsid w:val="00B424FE"/>
    <w:rsid w:val="00B45E81"/>
    <w:rsid w:val="00B60B9B"/>
    <w:rsid w:val="00B611C1"/>
    <w:rsid w:val="00B6121D"/>
    <w:rsid w:val="00B62171"/>
    <w:rsid w:val="00B66869"/>
    <w:rsid w:val="00B712AE"/>
    <w:rsid w:val="00B738FE"/>
    <w:rsid w:val="00B80D96"/>
    <w:rsid w:val="00B840A2"/>
    <w:rsid w:val="00B85669"/>
    <w:rsid w:val="00B87E5A"/>
    <w:rsid w:val="00B90A1A"/>
    <w:rsid w:val="00B910E4"/>
    <w:rsid w:val="00B93B15"/>
    <w:rsid w:val="00B95389"/>
    <w:rsid w:val="00B96272"/>
    <w:rsid w:val="00B96276"/>
    <w:rsid w:val="00B97CC4"/>
    <w:rsid w:val="00BA6C2E"/>
    <w:rsid w:val="00BB0B68"/>
    <w:rsid w:val="00BC2887"/>
    <w:rsid w:val="00BC3337"/>
    <w:rsid w:val="00BC4747"/>
    <w:rsid w:val="00BC6B95"/>
    <w:rsid w:val="00BC7818"/>
    <w:rsid w:val="00BD0401"/>
    <w:rsid w:val="00BD4203"/>
    <w:rsid w:val="00BD6C92"/>
    <w:rsid w:val="00BE0943"/>
    <w:rsid w:val="00BE34AE"/>
    <w:rsid w:val="00BF1102"/>
    <w:rsid w:val="00BF53E1"/>
    <w:rsid w:val="00BF5AA1"/>
    <w:rsid w:val="00BF776A"/>
    <w:rsid w:val="00C033A8"/>
    <w:rsid w:val="00C03FC0"/>
    <w:rsid w:val="00C04630"/>
    <w:rsid w:val="00C04866"/>
    <w:rsid w:val="00C06095"/>
    <w:rsid w:val="00C2308F"/>
    <w:rsid w:val="00C26A0A"/>
    <w:rsid w:val="00C40C69"/>
    <w:rsid w:val="00C421D7"/>
    <w:rsid w:val="00C43955"/>
    <w:rsid w:val="00C4435B"/>
    <w:rsid w:val="00C52729"/>
    <w:rsid w:val="00C62A4B"/>
    <w:rsid w:val="00C65759"/>
    <w:rsid w:val="00C6661B"/>
    <w:rsid w:val="00C67C7A"/>
    <w:rsid w:val="00C704FA"/>
    <w:rsid w:val="00C70900"/>
    <w:rsid w:val="00C72397"/>
    <w:rsid w:val="00C80248"/>
    <w:rsid w:val="00C82EE9"/>
    <w:rsid w:val="00C83A4F"/>
    <w:rsid w:val="00C86998"/>
    <w:rsid w:val="00C9365E"/>
    <w:rsid w:val="00C936D6"/>
    <w:rsid w:val="00C94B3A"/>
    <w:rsid w:val="00CA1830"/>
    <w:rsid w:val="00CA29A2"/>
    <w:rsid w:val="00CB0F53"/>
    <w:rsid w:val="00CB5C31"/>
    <w:rsid w:val="00CB642D"/>
    <w:rsid w:val="00CB743F"/>
    <w:rsid w:val="00CB76BB"/>
    <w:rsid w:val="00CC0038"/>
    <w:rsid w:val="00CC0A82"/>
    <w:rsid w:val="00CD1D68"/>
    <w:rsid w:val="00CE48DA"/>
    <w:rsid w:val="00CF23EF"/>
    <w:rsid w:val="00CF49BF"/>
    <w:rsid w:val="00CF6C0C"/>
    <w:rsid w:val="00D00ED1"/>
    <w:rsid w:val="00D03594"/>
    <w:rsid w:val="00D054A5"/>
    <w:rsid w:val="00D130C8"/>
    <w:rsid w:val="00D1428B"/>
    <w:rsid w:val="00D205F1"/>
    <w:rsid w:val="00D227A4"/>
    <w:rsid w:val="00D22F27"/>
    <w:rsid w:val="00D23CAF"/>
    <w:rsid w:val="00D258E9"/>
    <w:rsid w:val="00D27FCA"/>
    <w:rsid w:val="00D31FD0"/>
    <w:rsid w:val="00D41320"/>
    <w:rsid w:val="00D41833"/>
    <w:rsid w:val="00D44BDD"/>
    <w:rsid w:val="00D472C8"/>
    <w:rsid w:val="00D6106C"/>
    <w:rsid w:val="00D6261E"/>
    <w:rsid w:val="00D649D7"/>
    <w:rsid w:val="00D65E8F"/>
    <w:rsid w:val="00D66B86"/>
    <w:rsid w:val="00D67C69"/>
    <w:rsid w:val="00D71D39"/>
    <w:rsid w:val="00D73931"/>
    <w:rsid w:val="00D7428B"/>
    <w:rsid w:val="00D80F4E"/>
    <w:rsid w:val="00D84A75"/>
    <w:rsid w:val="00D85E56"/>
    <w:rsid w:val="00D875D1"/>
    <w:rsid w:val="00D92D9C"/>
    <w:rsid w:val="00DA0170"/>
    <w:rsid w:val="00DA1CF4"/>
    <w:rsid w:val="00DA4498"/>
    <w:rsid w:val="00DB4236"/>
    <w:rsid w:val="00DB43C9"/>
    <w:rsid w:val="00DB6355"/>
    <w:rsid w:val="00DC17FE"/>
    <w:rsid w:val="00DC1B4F"/>
    <w:rsid w:val="00DC2731"/>
    <w:rsid w:val="00DC753E"/>
    <w:rsid w:val="00DD3F6E"/>
    <w:rsid w:val="00DF314B"/>
    <w:rsid w:val="00E10068"/>
    <w:rsid w:val="00E10969"/>
    <w:rsid w:val="00E1183C"/>
    <w:rsid w:val="00E129D4"/>
    <w:rsid w:val="00E22EFF"/>
    <w:rsid w:val="00E248E2"/>
    <w:rsid w:val="00E271FA"/>
    <w:rsid w:val="00E274CD"/>
    <w:rsid w:val="00E35CCD"/>
    <w:rsid w:val="00E35DD0"/>
    <w:rsid w:val="00E41735"/>
    <w:rsid w:val="00E42378"/>
    <w:rsid w:val="00E451EB"/>
    <w:rsid w:val="00E45FBE"/>
    <w:rsid w:val="00E533BD"/>
    <w:rsid w:val="00E545D2"/>
    <w:rsid w:val="00E61DEE"/>
    <w:rsid w:val="00E6410C"/>
    <w:rsid w:val="00E67AAB"/>
    <w:rsid w:val="00E72B02"/>
    <w:rsid w:val="00E72B54"/>
    <w:rsid w:val="00E73202"/>
    <w:rsid w:val="00E76167"/>
    <w:rsid w:val="00E80D35"/>
    <w:rsid w:val="00E85265"/>
    <w:rsid w:val="00E85C70"/>
    <w:rsid w:val="00E86983"/>
    <w:rsid w:val="00E91E32"/>
    <w:rsid w:val="00E92375"/>
    <w:rsid w:val="00E934D4"/>
    <w:rsid w:val="00E97F10"/>
    <w:rsid w:val="00EA1DA9"/>
    <w:rsid w:val="00EA68A9"/>
    <w:rsid w:val="00EA78D3"/>
    <w:rsid w:val="00EC0541"/>
    <w:rsid w:val="00EC37DC"/>
    <w:rsid w:val="00EC4A16"/>
    <w:rsid w:val="00EC53E1"/>
    <w:rsid w:val="00EC7533"/>
    <w:rsid w:val="00ED19CC"/>
    <w:rsid w:val="00ED2A19"/>
    <w:rsid w:val="00ED41AE"/>
    <w:rsid w:val="00EE4BF0"/>
    <w:rsid w:val="00EE5222"/>
    <w:rsid w:val="00EE58F7"/>
    <w:rsid w:val="00EF266D"/>
    <w:rsid w:val="00EF2D99"/>
    <w:rsid w:val="00EF6293"/>
    <w:rsid w:val="00EF7422"/>
    <w:rsid w:val="00EF79A8"/>
    <w:rsid w:val="00F012A8"/>
    <w:rsid w:val="00F02003"/>
    <w:rsid w:val="00F03296"/>
    <w:rsid w:val="00F04A81"/>
    <w:rsid w:val="00F069DE"/>
    <w:rsid w:val="00F06D8E"/>
    <w:rsid w:val="00F06EC1"/>
    <w:rsid w:val="00F15FE4"/>
    <w:rsid w:val="00F17037"/>
    <w:rsid w:val="00F21300"/>
    <w:rsid w:val="00F22179"/>
    <w:rsid w:val="00F231F4"/>
    <w:rsid w:val="00F24BE9"/>
    <w:rsid w:val="00F26324"/>
    <w:rsid w:val="00F30513"/>
    <w:rsid w:val="00F34CC2"/>
    <w:rsid w:val="00F439DA"/>
    <w:rsid w:val="00F458B5"/>
    <w:rsid w:val="00F45EE7"/>
    <w:rsid w:val="00F4648B"/>
    <w:rsid w:val="00F53117"/>
    <w:rsid w:val="00F5418E"/>
    <w:rsid w:val="00F6062A"/>
    <w:rsid w:val="00F6104A"/>
    <w:rsid w:val="00F615B6"/>
    <w:rsid w:val="00F62AF4"/>
    <w:rsid w:val="00F62EF7"/>
    <w:rsid w:val="00F7193F"/>
    <w:rsid w:val="00F71A42"/>
    <w:rsid w:val="00F743AE"/>
    <w:rsid w:val="00F7579F"/>
    <w:rsid w:val="00F8248D"/>
    <w:rsid w:val="00F8280D"/>
    <w:rsid w:val="00F83C92"/>
    <w:rsid w:val="00F85872"/>
    <w:rsid w:val="00F93475"/>
    <w:rsid w:val="00FA5B98"/>
    <w:rsid w:val="00FA628F"/>
    <w:rsid w:val="00FB069B"/>
    <w:rsid w:val="00FB3B2B"/>
    <w:rsid w:val="00FB44EA"/>
    <w:rsid w:val="00FC3AC6"/>
    <w:rsid w:val="00FC634C"/>
    <w:rsid w:val="00FD04C8"/>
    <w:rsid w:val="00FD18B8"/>
    <w:rsid w:val="00FD585B"/>
    <w:rsid w:val="00FD6C20"/>
    <w:rsid w:val="00FD70D3"/>
    <w:rsid w:val="00FE12C8"/>
    <w:rsid w:val="00FE1A86"/>
    <w:rsid w:val="00FE3797"/>
    <w:rsid w:val="00FE6894"/>
    <w:rsid w:val="00FF073C"/>
    <w:rsid w:val="00FF4972"/>
    <w:rsid w:val="00FF4F8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A447D"/>
  <w15:chartTrackingRefBased/>
  <w15:docId w15:val="{C93FDEAA-3A00-4E77-AC8A-480AE8E3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9D3309"/>
    <w:pPr>
      <w:spacing w:after="0" w:line="240" w:lineRule="auto"/>
    </w:pPr>
    <w:rPr>
      <w:rFonts w:ascii="Times New Roman" w:eastAsia="Times New Roman" w:hAnsi="Times New Roman"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9D3309"/>
    <w:pPr>
      <w:spacing w:before="100" w:beforeAutospacing="1" w:after="100" w:afterAutospacing="1"/>
    </w:pPr>
    <w:rPr>
      <w:rFonts w:eastAsiaTheme="minorEastAsia"/>
    </w:rPr>
  </w:style>
  <w:style w:type="paragraph" w:styleId="Seliteteksti">
    <w:name w:val="Balloon Text"/>
    <w:basedOn w:val="Normaali"/>
    <w:link w:val="SelitetekstiChar"/>
    <w:uiPriority w:val="99"/>
    <w:semiHidden/>
    <w:unhideWhenUsed/>
    <w:rsid w:val="009D330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9D3309"/>
    <w:rPr>
      <w:rFonts w:ascii="Segoe UI" w:eastAsia="Times New Roman" w:hAnsi="Segoe UI" w:cs="Segoe UI"/>
      <w:sz w:val="18"/>
      <w:szCs w:val="18"/>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67052">
      <w:bodyDiv w:val="1"/>
      <w:marLeft w:val="0"/>
      <w:marRight w:val="0"/>
      <w:marTop w:val="0"/>
      <w:marBottom w:val="0"/>
      <w:divBdr>
        <w:top w:val="none" w:sz="0" w:space="0" w:color="auto"/>
        <w:left w:val="none" w:sz="0" w:space="0" w:color="auto"/>
        <w:bottom w:val="none" w:sz="0" w:space="0" w:color="auto"/>
        <w:right w:val="none" w:sz="0" w:space="0" w:color="auto"/>
      </w:divBdr>
    </w:div>
    <w:div w:id="794831132">
      <w:bodyDiv w:val="1"/>
      <w:marLeft w:val="0"/>
      <w:marRight w:val="0"/>
      <w:marTop w:val="0"/>
      <w:marBottom w:val="0"/>
      <w:divBdr>
        <w:top w:val="none" w:sz="0" w:space="0" w:color="auto"/>
        <w:left w:val="none" w:sz="0" w:space="0" w:color="auto"/>
        <w:bottom w:val="none" w:sz="0" w:space="0" w:color="auto"/>
        <w:right w:val="none" w:sz="0" w:space="0" w:color="auto"/>
      </w:divBdr>
    </w:div>
    <w:div w:id="877621285">
      <w:bodyDiv w:val="1"/>
      <w:marLeft w:val="0"/>
      <w:marRight w:val="0"/>
      <w:marTop w:val="0"/>
      <w:marBottom w:val="0"/>
      <w:divBdr>
        <w:top w:val="none" w:sz="0" w:space="0" w:color="auto"/>
        <w:left w:val="none" w:sz="0" w:space="0" w:color="auto"/>
        <w:bottom w:val="none" w:sz="0" w:space="0" w:color="auto"/>
        <w:right w:val="none" w:sz="0" w:space="0" w:color="auto"/>
      </w:divBdr>
    </w:div>
    <w:div w:id="89281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909</Words>
  <Characters>7365</Characters>
  <Application>Microsoft Office Word</Application>
  <DocSecurity>0</DocSecurity>
  <Lines>61</Lines>
  <Paragraphs>16</Paragraphs>
  <ScaleCrop>false</ScaleCrop>
  <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Ilari Kuitunen</dc:creator>
  <cp:keywords/>
  <dc:description/>
  <cp:lastModifiedBy>Ilari Kuitunen</cp:lastModifiedBy>
  <cp:revision>2</cp:revision>
  <dcterms:created xsi:type="dcterms:W3CDTF">2021-05-15T06:56:00Z</dcterms:created>
  <dcterms:modified xsi:type="dcterms:W3CDTF">2021-05-15T06:56:00Z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WProjectId">
    <vt:lpwstr>ap:5e3ab323e4b07571eb06ab4f</vt:lpwstr>
  </property>
</Properties>
</file>