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S</w:t>
      </w:r>
      <w:r>
        <w:rPr>
          <w:rFonts w:hint="default" w:ascii="Times New Roman" w:hAnsi="Times New Roman" w:cs="Times New Roman"/>
          <w:color w:val="000000" w:themeColor="text1"/>
          <w:sz w:val="24"/>
          <w:szCs w:val="24"/>
          <w:lang w:val="en-US" w:eastAsia="zh-CN"/>
          <w14:textFill>
            <w14:solidFill>
              <w14:schemeClr w14:val="tx1"/>
            </w14:solidFill>
          </w14:textFill>
        </w:rPr>
        <w:t>upplementary material</w:t>
      </w:r>
    </w:p>
    <w:p>
      <w:pPr>
        <w:spacing w:line="480" w:lineRule="auto"/>
        <w:rPr>
          <w:rFonts w:hint="default" w:ascii="Times New Roman" w:hAnsi="Times New Roman" w:cs="Times New Roman"/>
          <w:b/>
          <w:bCs/>
          <w:sz w:val="24"/>
          <w:szCs w:val="24"/>
          <w:shd w:val="clear" w:color="auto" w:fill="FFFFFF"/>
        </w:rPr>
      </w:pPr>
      <w:r>
        <w:rPr>
          <w:rFonts w:hint="default" w:ascii="Times New Roman" w:hAnsi="Times New Roman" w:cs="Times New Roman"/>
          <w:b/>
          <w:bCs/>
          <w:sz w:val="24"/>
          <w:szCs w:val="24"/>
          <w:shd w:val="clear" w:color="auto" w:fill="FFFFFF"/>
        </w:rPr>
        <w:t>Methods</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calculation for in vitro and in vivo precision</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For the calculation in vivo precision, we recruited 30 right-handed (aged 20-77 years) healthy individuals to measure left forearm BMD on AKDX and </w:t>
      </w:r>
      <w:r>
        <w:rPr>
          <w:rFonts w:hint="eastAsia" w:ascii="Times New Roman" w:hAnsi="Times New Roman" w:cs="Times New Roman"/>
          <w:color w:val="000000" w:themeColor="text1"/>
          <w:sz w:val="24"/>
          <w:szCs w:val="24"/>
          <w:lang w:val="en-US" w:eastAsia="zh-CN"/>
          <w14:textFill>
            <w14:solidFill>
              <w14:schemeClr w14:val="tx1"/>
            </w14:solidFill>
          </w14:textFill>
        </w:rPr>
        <w:t>H</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ologic DXA on the same day,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and </w:t>
      </w:r>
      <w:r>
        <w:rPr>
          <w:rFonts w:hint="default" w:ascii="Times New Roman" w:hAnsi="Times New Roman" w:cs="Times New Roman"/>
          <w:color w:val="000000" w:themeColor="text1"/>
          <w:sz w:val="24"/>
          <w:szCs w:val="24"/>
          <w:lang w:val="en-US" w:eastAsia="zh-CN"/>
          <w14:textFill>
            <w14:solidFill>
              <w14:schemeClr w14:val="tx1"/>
            </w14:solidFill>
          </w14:textFill>
        </w:rPr>
        <w:t>each person w</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as </w:t>
      </w:r>
      <w:r>
        <w:rPr>
          <w:rFonts w:hint="default" w:ascii="Times New Roman" w:hAnsi="Times New Roman" w:cs="Times New Roman"/>
          <w:color w:val="000000" w:themeColor="text1"/>
          <w:sz w:val="24"/>
          <w:szCs w:val="24"/>
          <w:lang w:val="en-US" w:eastAsia="zh-CN"/>
          <w14:textFill>
            <w14:solidFill>
              <w14:schemeClr w14:val="tx1"/>
            </w14:solidFill>
          </w14:textFill>
        </w:rPr>
        <w:t>scanned twice (with repositioning). Then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we</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import the bone mineral density results into the ISCD Advanced Precision Calculating Tool to calculate the root mean square standard deviation (RMS-SD) and Coefficient of Variation (precision).</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For the calculation in vitro precision, the density gradient phantom provided by the company</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was used</w:t>
      </w:r>
      <w:r>
        <w:rPr>
          <w:rFonts w:hint="default" w:ascii="Times New Roman" w:hAnsi="Times New Roman" w:cs="Times New Roman"/>
          <w:color w:val="000000" w:themeColor="text1"/>
          <w:sz w:val="24"/>
          <w:szCs w:val="24"/>
          <w:lang w:val="en-US" w:eastAsia="zh-CN"/>
          <w14:textFill>
            <w14:solidFill>
              <w14:schemeClr w14:val="tx1"/>
            </w14:solidFill>
          </w14:textFill>
        </w:rPr>
        <w:t>. The AKDX forearm phantom was manufacturer-supplied and made of 99% high-purity aluminum in the shape of the radius and ulna. The three-gradient phantom represents low, medium, and high densities with actual BMD values of 0.299 g/cm2, 0.494,g/cm2, and 0.585 g/cm2, respectively. With the same person, the same time period and the constant indoor temperature, density gradient bulk mode was scanned three times (with repositioning) on the AKDX and hologic DXA for 30 consecutive days. The BMD results were then imported into the ISCD Advanced Precision Calculating Tool to calculate the root mean square standard deviation (RMS-SD) and Coefficient of Variation (precision) for the group</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Times New Roman" w:hAnsi="Times New Roman" w:cs="Times New Roman"/>
          <w:color w:val="000000" w:themeColor="text1"/>
          <w:sz w:val="28"/>
          <w:szCs w:val="28"/>
          <w:lang w:val="en-US" w:eastAsia="zh-CN"/>
          <w14:textFill>
            <w14:solidFill>
              <w14:schemeClr w14:val="tx1"/>
            </w14:solidFill>
          </w14:textFill>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1699895" cy="2120900"/>
            <wp:effectExtent l="0" t="0" r="1905" b="0"/>
            <wp:docPr id="5" name="图片 1" descr="09W-I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09W-I新LOGO"/>
                    <pic:cNvPicPr>
                      <a:picLocks noChangeAspect="1"/>
                    </pic:cNvPicPr>
                  </pic:nvPicPr>
                  <pic:blipFill>
                    <a:blip r:embed="rId4"/>
                    <a:stretch>
                      <a:fillRect/>
                    </a:stretch>
                  </pic:blipFill>
                  <pic:spPr>
                    <a:xfrm>
                      <a:off x="0" y="0"/>
                      <a:ext cx="1699895" cy="2120900"/>
                    </a:xfrm>
                    <a:prstGeom prst="rect">
                      <a:avLst/>
                    </a:prstGeom>
                    <a:noFill/>
                    <a:ln>
                      <a:noFill/>
                    </a:ln>
                  </pic:spPr>
                </pic:pic>
              </a:graphicData>
            </a:graphic>
          </wp:inline>
        </w:drawing>
      </w:r>
    </w:p>
    <w:p>
      <w:pPr>
        <w:jc w:val="center"/>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Figure 1 The photo of </w:t>
      </w:r>
      <w:r>
        <w:rPr>
          <w:rFonts w:hint="default" w:ascii="Times New Roman" w:hAnsi="Times New Roman" w:cs="Times New Roman"/>
          <w:sz w:val="24"/>
          <w:szCs w:val="24"/>
          <w:lang w:val="en-US" w:eastAsia="zh-CN"/>
        </w:rPr>
        <w:t>the portable instrument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AKDX</w:t>
      </w:r>
    </w:p>
    <w:p>
      <w:pPr>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 xml:space="preserve"> </w:t>
      </w:r>
    </w:p>
    <w:p>
      <w:pPr>
        <w:jc w:val="center"/>
        <w:rPr>
          <w:rFonts w:hint="default" w:ascii="Times New Roman" w:hAnsi="Times New Roman" w:cs="Times New Roman"/>
          <w:color w:val="FF0000"/>
          <w:lang w:val="en-US" w:eastAsia="zh-CN"/>
        </w:rPr>
      </w:pPr>
      <w:r>
        <w:drawing>
          <wp:inline distT="0" distB="0" distL="114300" distR="114300">
            <wp:extent cx="3429000" cy="176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3429000" cy="1765300"/>
                    </a:xfrm>
                    <a:prstGeom prst="rect">
                      <a:avLst/>
                    </a:prstGeom>
                    <a:noFill/>
                    <a:ln>
                      <a:noFill/>
                    </a:ln>
                  </pic:spPr>
                </pic:pic>
              </a:graphicData>
            </a:graphic>
          </wp:inline>
        </w:drawing>
      </w:r>
    </w:p>
    <w:p>
      <w:pPr>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Figure 2</w:t>
      </w:r>
      <w:r>
        <w:rPr>
          <w:rFonts w:hint="eastAsia" w:ascii="Times New Roman" w:hAnsi="Times New Roman" w:cs="Times New Roman" w:eastAsiaTheme="minorEastAsia"/>
          <w:sz w:val="24"/>
          <w:szCs w:val="24"/>
          <w:lang w:val="en-US" w:eastAsia="zh-CN"/>
        </w:rPr>
        <w:t xml:space="preserve"> The picture of</w:t>
      </w:r>
      <w:r>
        <w:rPr>
          <w:rFonts w:hint="default" w:ascii="Times New Roman" w:hAnsi="Times New Roman" w:cs="Times New Roman" w:eastAsiaTheme="minorEastAsia"/>
          <w:sz w:val="24"/>
          <w:szCs w:val="24"/>
          <w:lang w:val="en-US" w:eastAsia="zh-CN"/>
        </w:rPr>
        <w:t xml:space="preserve"> the ROI of AKDX and Hologic DXA ultradistal radius</w:t>
      </w:r>
    </w:p>
    <w:p>
      <w:pPr>
        <w:jc w:val="both"/>
        <w:rPr>
          <w:rFonts w:hint="default" w:ascii="Times New Roman" w:hAnsi="Times New Roman" w:cs="Times New Roman" w:eastAsiaTheme="minorEastAsia"/>
          <w:sz w:val="24"/>
          <w:szCs w:val="24"/>
          <w:lang w:val="en-US" w:eastAsia="zh-CN"/>
        </w:rPr>
      </w:pPr>
    </w:p>
    <w:p>
      <w:pPr>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Table </w:t>
      </w:r>
      <w:r>
        <w:rPr>
          <w:rFonts w:hint="eastAsia" w:ascii="Times New Roman" w:hAnsi="Times New Roman" w:cs="Times New Roman" w:eastAsiaTheme="minorEastAsia"/>
          <w:sz w:val="24"/>
          <w:szCs w:val="24"/>
          <w:lang w:val="en-US" w:eastAsia="zh-CN"/>
        </w:rPr>
        <w:t>1</w:t>
      </w:r>
      <w:r>
        <w:rPr>
          <w:rFonts w:hint="default" w:ascii="Times New Roman" w:hAnsi="Times New Roman" w:cs="Times New Roman" w:eastAsiaTheme="minorEastAsia"/>
          <w:sz w:val="24"/>
          <w:szCs w:val="24"/>
          <w:lang w:val="en-US" w:eastAsia="zh-CN"/>
        </w:rPr>
        <w:t xml:space="preserve"> The agreement between AKDX and DXA</w:t>
      </w:r>
    </w:p>
    <w:tbl>
      <w:tblPr>
        <w:tblStyle w:val="3"/>
        <w:tblpPr w:leftFromText="180" w:rightFromText="180" w:vertAnchor="page" w:horzAnchor="page" w:tblpX="2270" w:tblpY="5317"/>
        <w:tblOverlap w:val="never"/>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2"/>
        <w:gridCol w:w="2082"/>
        <w:gridCol w:w="1682"/>
        <w:gridCol w:w="1972"/>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4064" w:type="dxa"/>
            <w:gridSpan w:val="2"/>
            <w:tcBorders>
              <w:bottom w:val="single" w:color="auto" w:sz="4" w:space="0"/>
            </w:tcBorders>
            <w:noWrap w:val="0"/>
            <w:vAlign w:val="top"/>
          </w:tcPr>
          <w:p>
            <w:pPr>
              <w:jc w:val="both"/>
              <w:rPr>
                <w:rFonts w:hint="default" w:ascii="Times New Roman" w:hAnsi="Times New Roman" w:eastAsia="宋体" w:cs="Times New Roman"/>
                <w:sz w:val="24"/>
                <w:szCs w:val="24"/>
                <w:vertAlign w:val="baseline"/>
                <w:lang w:val="en-US" w:eastAsia="zh-CN"/>
              </w:rPr>
            </w:pPr>
          </w:p>
        </w:tc>
        <w:tc>
          <w:tcPr>
            <w:tcW w:w="1682" w:type="dxa"/>
            <w:tcBorders>
              <w:bottom w:val="single" w:color="auto" w:sz="4" w:space="0"/>
            </w:tcBorders>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k</w:t>
            </w:r>
          </w:p>
        </w:tc>
        <w:tc>
          <w:tcPr>
            <w:tcW w:w="1972" w:type="dxa"/>
            <w:tcBorders>
              <w:bottom w:val="single" w:color="auto" w:sz="4" w:space="0"/>
            </w:tcBorders>
            <w:noWrap w:val="0"/>
            <w:vAlign w:val="top"/>
          </w:tcPr>
          <w:p>
            <w:pPr>
              <w:jc w:val="center"/>
              <w:rPr>
                <w:rFonts w:hint="default" w:ascii="Times New Roman" w:hAnsi="Times New Roman" w:eastAsia="宋体" w:cs="Times New Roman"/>
                <w:sz w:val="24"/>
                <w:szCs w:val="24"/>
                <w:vertAlign w:val="baseline"/>
                <w:lang w:val="en-US" w:eastAsia="zh-CN"/>
              </w:rPr>
            </w:pPr>
            <w:bookmarkStart w:id="0" w:name="_GoBack"/>
            <w:r>
              <w:rPr>
                <w:rFonts w:hint="default" w:ascii="Times New Roman" w:hAnsi="Times New Roman" w:cs="Times New Roman"/>
                <w:b w:val="0"/>
                <w:bCs w:val="0"/>
                <w:i/>
                <w:iCs/>
                <w:caps w:val="0"/>
                <w:color w:val="auto"/>
                <w:spacing w:val="0"/>
                <w:sz w:val="24"/>
                <w:szCs w:val="24"/>
                <w:shd w:val="clear" w:color="auto" w:fill="FFFFFF"/>
                <w:vertAlign w:val="baseline"/>
                <w:lang w:val="en-US" w:eastAsia="zh-CN"/>
              </w:rPr>
              <w:t>p</w:t>
            </w:r>
            <w:bookmarkEnd w:id="0"/>
            <w:r>
              <w:rPr>
                <w:rFonts w:hint="default" w:ascii="Times New Roman" w:hAnsi="Times New Roman" w:cs="Times New Roman"/>
                <w:b w:val="0"/>
                <w:bCs w:val="0"/>
                <w:i/>
                <w:iCs/>
                <w:caps w:val="0"/>
                <w:color w:val="auto"/>
                <w:spacing w:val="0"/>
                <w:sz w:val="24"/>
                <w:szCs w:val="24"/>
                <w:shd w:val="clear" w:color="auto" w:fill="FFFFFF"/>
                <w:vertAlign w:val="baseline"/>
                <w:lang w:val="en-US" w:eastAsia="zh-CN"/>
              </w:rPr>
              <w:t>-</w:t>
            </w:r>
            <w:r>
              <w:rPr>
                <w:rFonts w:hint="default" w:ascii="Times New Roman" w:hAnsi="Times New Roman" w:cs="Times New Roman"/>
                <w:b w:val="0"/>
                <w:bCs w:val="0"/>
                <w:i w:val="0"/>
                <w:caps w:val="0"/>
                <w:color w:val="auto"/>
                <w:spacing w:val="0"/>
                <w:sz w:val="24"/>
                <w:szCs w:val="24"/>
                <w:shd w:val="clear" w:color="auto" w:fill="FFFFFF"/>
                <w:vertAlign w:val="baseline"/>
                <w:lang w:val="en-US" w:eastAsia="zh-CN"/>
              </w:rPr>
              <w:t>value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1982" w:type="dxa"/>
            <w:vMerge w:val="restart"/>
            <w:tcBorders>
              <w:top w:val="single" w:color="auto" w:sz="4" w:space="0"/>
            </w:tcBorders>
            <w:noWrap w:val="0"/>
            <w:vAlign w:val="top"/>
          </w:tcPr>
          <w:p>
            <w:pPr>
              <w:jc w:val="center"/>
              <w:rPr>
                <w:rFonts w:hint="default" w:ascii="Times New Roman" w:hAnsi="Times New Roman" w:cs="Times New Roman"/>
                <w:b w:val="0"/>
                <w:bCs w:val="0"/>
                <w:i w:val="0"/>
                <w:caps w:val="0"/>
                <w:color w:val="auto"/>
                <w:spacing w:val="0"/>
                <w:sz w:val="24"/>
                <w:szCs w:val="24"/>
                <w:shd w:val="clear" w:color="auto" w:fill="FFFFFF"/>
                <w:lang w:val="en-US" w:eastAsia="zh-CN"/>
              </w:rPr>
            </w:pPr>
            <w:r>
              <w:rPr>
                <w:rFonts w:hint="default" w:ascii="Times New Roman" w:hAnsi="Times New Roman" w:cs="Times New Roman"/>
                <w:b w:val="0"/>
                <w:bCs w:val="0"/>
                <w:i w:val="0"/>
                <w:caps w:val="0"/>
                <w:color w:val="auto"/>
                <w:spacing w:val="0"/>
                <w:sz w:val="24"/>
                <w:szCs w:val="24"/>
                <w:shd w:val="clear" w:color="auto" w:fill="FFFFFF"/>
                <w:lang w:val="en-US" w:eastAsia="zh-CN"/>
              </w:rPr>
              <w:t>suboptimal bone health</w:t>
            </w:r>
          </w:p>
        </w:tc>
        <w:tc>
          <w:tcPr>
            <w:tcW w:w="2082" w:type="dxa"/>
            <w:tcBorders>
              <w:top w:val="single" w:color="auto" w:sz="4" w:space="0"/>
            </w:tcBorders>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cs="Times New Roman"/>
                <w:b w:val="0"/>
                <w:bCs w:val="0"/>
                <w:i w:val="0"/>
                <w:caps w:val="0"/>
                <w:color w:val="auto"/>
                <w:spacing w:val="0"/>
                <w:sz w:val="24"/>
                <w:szCs w:val="24"/>
                <w:shd w:val="clear" w:color="auto" w:fill="FFFFFF"/>
                <w:lang w:val="en-US" w:eastAsia="zh-CN"/>
              </w:rPr>
              <w:t>distal 1/3 of radius</w:t>
            </w:r>
          </w:p>
        </w:tc>
        <w:tc>
          <w:tcPr>
            <w:tcW w:w="1682" w:type="dxa"/>
            <w:tcBorders>
              <w:top w:val="single" w:color="auto" w:sz="4" w:space="0"/>
            </w:tcBorders>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0.405</w:t>
            </w:r>
          </w:p>
        </w:tc>
        <w:tc>
          <w:tcPr>
            <w:tcW w:w="1972" w:type="dxa"/>
            <w:tcBorders>
              <w:top w:val="single" w:color="auto" w:sz="4" w:space="0"/>
            </w:tcBorders>
            <w:noWrap w:val="0"/>
            <w:vAlign w:val="top"/>
          </w:tcPr>
          <w:p>
            <w:pPr>
              <w:jc w:val="center"/>
              <w:rPr>
                <w:rFonts w:hint="default" w:ascii="Times New Roman" w:hAnsi="Times New Roman" w:eastAsia="宋体"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&lt;0.001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1982" w:type="dxa"/>
            <w:vMerge w:val="continue"/>
            <w:noWrap w:val="0"/>
            <w:vAlign w:val="top"/>
          </w:tcPr>
          <w:p>
            <w:pPr>
              <w:jc w:val="center"/>
              <w:rPr>
                <w:rFonts w:hint="default" w:ascii="Times New Roman" w:hAnsi="Times New Roman" w:cs="Times New Roman"/>
                <w:b w:val="0"/>
                <w:bCs w:val="0"/>
                <w:i w:val="0"/>
                <w:caps w:val="0"/>
                <w:color w:val="auto"/>
                <w:spacing w:val="0"/>
                <w:sz w:val="24"/>
                <w:szCs w:val="24"/>
                <w:shd w:val="clear" w:color="auto" w:fill="FFFFFF"/>
                <w:vertAlign w:val="baseline"/>
                <w:lang w:val="en-US" w:eastAsia="zh-CN"/>
              </w:rPr>
            </w:pPr>
          </w:p>
        </w:tc>
        <w:tc>
          <w:tcPr>
            <w:tcW w:w="2082" w:type="dxa"/>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cs="Times New Roman"/>
                <w:b w:val="0"/>
                <w:bCs w:val="0"/>
                <w:i w:val="0"/>
                <w:caps w:val="0"/>
                <w:color w:val="auto"/>
                <w:spacing w:val="0"/>
                <w:sz w:val="24"/>
                <w:szCs w:val="24"/>
                <w:shd w:val="clear" w:color="auto" w:fill="FFFFFF"/>
                <w:vertAlign w:val="baseline"/>
                <w:lang w:val="en-US" w:eastAsia="zh-CN"/>
              </w:rPr>
              <w:t>Any site</w:t>
            </w:r>
          </w:p>
        </w:tc>
        <w:tc>
          <w:tcPr>
            <w:tcW w:w="1682" w:type="dxa"/>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0.448</w:t>
            </w:r>
          </w:p>
        </w:tc>
        <w:tc>
          <w:tcPr>
            <w:tcW w:w="1972" w:type="dxa"/>
            <w:noWrap w:val="0"/>
            <w:vAlign w:val="top"/>
          </w:tcPr>
          <w:p>
            <w:pPr>
              <w:jc w:val="center"/>
              <w:rPr>
                <w:rFonts w:hint="default" w:ascii="Times New Roman" w:hAnsi="Times New Roman" w:eastAsia="宋体"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i/>
                <w:iCs/>
                <w:color w:val="000000" w:themeColor="text1"/>
                <w:lang w:val="en-US" w:eastAsia="zh-CN"/>
                <w14:textFill>
                  <w14:solidFill>
                    <w14:schemeClr w14:val="tx1"/>
                  </w14:solidFill>
                </w14:textFill>
              </w:rPr>
              <w:t>&lt;0.001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1982" w:type="dxa"/>
            <w:vMerge w:val="restart"/>
            <w:noWrap w:val="0"/>
            <w:vAlign w:val="top"/>
          </w:tcPr>
          <w:p>
            <w:pPr>
              <w:jc w:val="center"/>
              <w:rPr>
                <w:rFonts w:hint="default" w:ascii="Times New Roman" w:hAnsi="Times New Roman" w:cs="Times New Roman"/>
                <w:b w:val="0"/>
                <w:bCs w:val="0"/>
                <w:i w:val="0"/>
                <w:caps w:val="0"/>
                <w:color w:val="auto"/>
                <w:spacing w:val="0"/>
                <w:sz w:val="24"/>
                <w:szCs w:val="24"/>
                <w:shd w:val="clear" w:color="auto" w:fill="FFFFFF"/>
                <w:lang w:val="en-US" w:eastAsia="zh-CN"/>
              </w:rPr>
            </w:pPr>
            <w:r>
              <w:rPr>
                <w:rFonts w:hint="default" w:ascii="Times New Roman" w:hAnsi="Times New Roman" w:cs="Times New Roman"/>
                <w:b w:val="0"/>
                <w:bCs w:val="0"/>
                <w:i w:val="0"/>
                <w:caps w:val="0"/>
                <w:color w:val="auto"/>
                <w:spacing w:val="0"/>
                <w:sz w:val="24"/>
                <w:szCs w:val="24"/>
                <w:shd w:val="clear" w:color="auto" w:fill="FFFFFF"/>
                <w:lang w:val="en-US" w:eastAsia="zh-CN"/>
              </w:rPr>
              <w:t xml:space="preserve">osteoporosis </w:t>
            </w:r>
          </w:p>
        </w:tc>
        <w:tc>
          <w:tcPr>
            <w:tcW w:w="2082" w:type="dxa"/>
            <w:noWrap w:val="0"/>
            <w:vAlign w:val="top"/>
          </w:tcPr>
          <w:p>
            <w:pPr>
              <w:jc w:val="center"/>
              <w:rPr>
                <w:rFonts w:hint="default" w:ascii="Times New Roman" w:hAnsi="Times New Roman" w:eastAsia="宋体" w:cs="Times New Roman"/>
                <w:kern w:val="2"/>
                <w:sz w:val="24"/>
                <w:szCs w:val="24"/>
                <w:vertAlign w:val="baseline"/>
                <w:lang w:val="en-US" w:eastAsia="zh-CN" w:bidi="ar-SA"/>
              </w:rPr>
            </w:pPr>
            <w:r>
              <w:rPr>
                <w:rFonts w:hint="default" w:ascii="Times New Roman" w:hAnsi="Times New Roman" w:cs="Times New Roman"/>
                <w:b w:val="0"/>
                <w:bCs w:val="0"/>
                <w:i w:val="0"/>
                <w:caps w:val="0"/>
                <w:color w:val="auto"/>
                <w:spacing w:val="0"/>
                <w:sz w:val="24"/>
                <w:szCs w:val="24"/>
                <w:shd w:val="clear" w:color="auto" w:fill="FFFFFF"/>
                <w:lang w:val="en-US" w:eastAsia="zh-CN"/>
              </w:rPr>
              <w:t>distal 1/3 of radius</w:t>
            </w:r>
          </w:p>
        </w:tc>
        <w:tc>
          <w:tcPr>
            <w:tcW w:w="1682" w:type="dxa"/>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0.428</w:t>
            </w:r>
          </w:p>
        </w:tc>
        <w:tc>
          <w:tcPr>
            <w:tcW w:w="1972" w:type="dxa"/>
            <w:noWrap w:val="0"/>
            <w:vAlign w:val="top"/>
          </w:tcPr>
          <w:p>
            <w:pPr>
              <w:jc w:val="center"/>
              <w:rPr>
                <w:rFonts w:hint="default" w:ascii="Times New Roman" w:hAnsi="Times New Roman" w:eastAsia="宋体"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i/>
                <w:iCs/>
                <w:color w:val="000000" w:themeColor="text1"/>
                <w:lang w:val="en-US" w:eastAsia="zh-CN"/>
                <w14:textFill>
                  <w14:solidFill>
                    <w14:schemeClr w14:val="tx1"/>
                  </w14:solidFill>
                </w14:textFill>
              </w:rPr>
              <w:t>&lt;0.001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1982" w:type="dxa"/>
            <w:vMerge w:val="continue"/>
            <w:noWrap w:val="0"/>
            <w:vAlign w:val="top"/>
          </w:tcPr>
          <w:p>
            <w:pPr>
              <w:jc w:val="center"/>
              <w:rPr>
                <w:rFonts w:hint="default" w:ascii="Times New Roman" w:hAnsi="Times New Roman" w:cs="Times New Roman"/>
                <w:b w:val="0"/>
                <w:bCs w:val="0"/>
                <w:i w:val="0"/>
                <w:caps w:val="0"/>
                <w:color w:val="auto"/>
                <w:spacing w:val="0"/>
                <w:sz w:val="24"/>
                <w:szCs w:val="24"/>
                <w:shd w:val="clear" w:color="auto" w:fill="FFFFFF"/>
                <w:vertAlign w:val="baseline"/>
                <w:lang w:val="en-US" w:eastAsia="zh-CN"/>
              </w:rPr>
            </w:pPr>
          </w:p>
        </w:tc>
        <w:tc>
          <w:tcPr>
            <w:tcW w:w="2082" w:type="dxa"/>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cs="Times New Roman"/>
                <w:b w:val="0"/>
                <w:bCs w:val="0"/>
                <w:i w:val="0"/>
                <w:caps w:val="0"/>
                <w:color w:val="auto"/>
                <w:spacing w:val="0"/>
                <w:sz w:val="24"/>
                <w:szCs w:val="24"/>
                <w:shd w:val="clear" w:color="auto" w:fill="FFFFFF"/>
                <w:vertAlign w:val="baseline"/>
                <w:lang w:val="en-US" w:eastAsia="zh-CN"/>
              </w:rPr>
              <w:t>Any site</w:t>
            </w:r>
          </w:p>
        </w:tc>
        <w:tc>
          <w:tcPr>
            <w:tcW w:w="1682" w:type="dxa"/>
            <w:noWrap w:val="0"/>
            <w:vAlign w:val="top"/>
          </w:tcPr>
          <w:p>
            <w:pPr>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0.428</w:t>
            </w:r>
          </w:p>
        </w:tc>
        <w:tc>
          <w:tcPr>
            <w:tcW w:w="1972" w:type="dxa"/>
            <w:noWrap w:val="0"/>
            <w:vAlign w:val="top"/>
          </w:tcPr>
          <w:p>
            <w:pPr>
              <w:jc w:val="center"/>
              <w:rPr>
                <w:rFonts w:hint="default" w:ascii="Times New Roman" w:hAnsi="Times New Roman" w:eastAsia="宋体" w:cs="Times New Roman"/>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i/>
                <w:iCs/>
                <w:color w:val="000000" w:themeColor="text1"/>
                <w:lang w:val="en-US" w:eastAsia="zh-CN"/>
                <w14:textFill>
                  <w14:solidFill>
                    <w14:schemeClr w14:val="tx1"/>
                  </w14:solidFill>
                </w14:textFill>
              </w:rPr>
              <w:t>&lt;0.001</w:t>
            </w:r>
          </w:p>
        </w:tc>
      </w:tr>
    </w:tbl>
    <w:p>
      <w:pPr>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Significant p-values are italicized; κ, kappa coefficient</w:t>
      </w:r>
    </w:p>
    <w:p>
      <w:pPr>
        <w:jc w:val="left"/>
        <w:rPr>
          <w:rFonts w:hint="default" w:ascii="Times New Roman" w:hAnsi="Times New Roman" w:cs="Times New Roman" w:eastAsiaTheme="minorEastAsia"/>
          <w:sz w:val="24"/>
          <w:szCs w:val="24"/>
          <w:lang w:val="en-US" w:eastAsia="zh-CN"/>
        </w:rPr>
      </w:pPr>
    </w:p>
    <w:p>
      <w:pPr>
        <w:jc w:val="left"/>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Table 1</w:t>
      </w:r>
      <w:r>
        <w:rPr>
          <w:rFonts w:hint="eastAsia"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sz w:val="24"/>
          <w:szCs w:val="24"/>
          <w:lang w:val="en-US" w:eastAsia="zh-CN"/>
        </w:rPr>
        <w:t>Kappa statistics revealed that the agreement for osteoporosis risk stratification between AKDX and DXA w</w:t>
      </w:r>
      <w:r>
        <w:rPr>
          <w:rFonts w:hint="eastAsia" w:ascii="Times New Roman" w:hAnsi="Times New Roman" w:cs="Times New Roman" w:eastAsiaTheme="minorEastAsia"/>
          <w:sz w:val="24"/>
          <w:szCs w:val="24"/>
          <w:lang w:val="en-US" w:eastAsia="zh-CN"/>
        </w:rPr>
        <w:t xml:space="preserve">as moderate </w:t>
      </w:r>
    </w:p>
    <w:p>
      <w:pPr>
        <w:jc w:val="center"/>
        <w:rPr>
          <w:rFonts w:hint="default" w:ascii="Times New Roman" w:hAnsi="Times New Roman" w:cs="Times New Roman" w:eastAsiaTheme="minorEastAsia"/>
          <w:sz w:val="24"/>
          <w:szCs w:val="24"/>
          <w:lang w:val="en-US" w:eastAsia="zh-CN"/>
        </w:rPr>
      </w:pPr>
    </w:p>
    <w:p>
      <w:pPr>
        <w:jc w:val="center"/>
        <w:rPr>
          <w:rFonts w:hint="default" w:ascii="Times New Roman" w:hAnsi="Times New Roman" w:cs="Times New Roman" w:eastAsiaTheme="minorEastAsia"/>
          <w:sz w:val="24"/>
          <w:szCs w:val="24"/>
          <w:lang w:val="en-US" w:eastAsia="zh-CN"/>
        </w:rPr>
      </w:pPr>
    </w:p>
    <w:p>
      <w:pPr>
        <w:jc w:val="center"/>
        <w:rPr>
          <w:rFonts w:hint="default" w:ascii="Times New Roman" w:hAnsi="Times New Roman" w:cs="Times New Roman" w:eastAsiaTheme="minorEastAsia"/>
          <w:sz w:val="24"/>
          <w:szCs w:val="24"/>
          <w:lang w:val="en-US" w:eastAsia="zh-CN"/>
        </w:rPr>
      </w:pPr>
    </w:p>
    <w:p>
      <w:pPr>
        <w:jc w:val="center"/>
        <w:rPr>
          <w:rFonts w:hint="default" w:ascii="Times New Roman" w:hAnsi="Times New Roman" w:cs="Times New Roman" w:eastAsiaTheme="minorEastAsia"/>
          <w:sz w:val="24"/>
          <w:szCs w:val="24"/>
          <w:lang w:val="en-US" w:eastAsia="zh-CN"/>
        </w:rPr>
      </w:pPr>
    </w:p>
    <w:p>
      <w:pPr>
        <w:jc w:val="center"/>
        <w:rPr>
          <w:rFonts w:hint="default" w:ascii="Times New Roman" w:hAnsi="Times New Roman" w:cs="Times New Roman" w:eastAsiaTheme="minorEastAsia"/>
          <w:sz w:val="24"/>
          <w:szCs w:val="24"/>
          <w:lang w:val="en-US" w:eastAsia="zh-CN"/>
        </w:rPr>
      </w:pPr>
    </w:p>
    <w:p>
      <w:pPr>
        <w:jc w:val="center"/>
        <w:rPr>
          <w:rFonts w:hint="default" w:ascii="Times New Roman" w:hAnsi="Times New Roman" w:cs="Times New Roman" w:eastAsiaTheme="minorEastAsia"/>
          <w:sz w:val="24"/>
          <w:szCs w:val="24"/>
          <w:lang w:val="en-US" w:eastAsia="zh-CN"/>
        </w:rPr>
      </w:pPr>
    </w:p>
    <w:p>
      <w:pPr>
        <w:jc w:val="both"/>
        <w:rPr>
          <w:rFonts w:hint="default" w:ascii="Times New Roman" w:hAnsi="Times New Roman" w:cs="Times New Roman" w:eastAsiaTheme="minorEastAsia"/>
          <w:sz w:val="24"/>
          <w:szCs w:val="24"/>
          <w:lang w:val="en-US" w:eastAsia="zh-CN"/>
        </w:rPr>
      </w:pPr>
    </w:p>
    <w:sectPr>
      <w:pgSz w:w="11906" w:h="16838"/>
      <w:pgMar w:top="1440" w:right="1800" w:bottom="1440" w:left="1800" w:header="851" w:footer="992" w:gutter="0"/>
      <w:lnNumType w:countBy="1" w:restart="continuous"/>
      <w:cols w:space="425" w:num="1"/>
      <w:docGrid w:type="lines" w:linePitch="312" w:charSpace="0"/>
      <mc:AlternateContent>
        <mc:Choice Requires="wpsCustomData">
          <wpsCustomData:blankLineNoLineNum/>
        </mc:Choice>
      </mc:AlternateContent>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916E9C"/>
    <w:rsid w:val="01BD3C97"/>
    <w:rsid w:val="05007C74"/>
    <w:rsid w:val="0687017E"/>
    <w:rsid w:val="08AF2A1E"/>
    <w:rsid w:val="0AAA1166"/>
    <w:rsid w:val="0B300100"/>
    <w:rsid w:val="0DC2711D"/>
    <w:rsid w:val="100C6F79"/>
    <w:rsid w:val="116F3DDF"/>
    <w:rsid w:val="1275519E"/>
    <w:rsid w:val="131E3C33"/>
    <w:rsid w:val="19E53BFE"/>
    <w:rsid w:val="1BA63FEB"/>
    <w:rsid w:val="1C880956"/>
    <w:rsid w:val="1CDC5A29"/>
    <w:rsid w:val="20A92FB8"/>
    <w:rsid w:val="288004EC"/>
    <w:rsid w:val="28E1271F"/>
    <w:rsid w:val="28E43982"/>
    <w:rsid w:val="29F201B9"/>
    <w:rsid w:val="2D143A4F"/>
    <w:rsid w:val="32D0202A"/>
    <w:rsid w:val="359B3011"/>
    <w:rsid w:val="39822E7D"/>
    <w:rsid w:val="3B622760"/>
    <w:rsid w:val="3ED61743"/>
    <w:rsid w:val="42916E9C"/>
    <w:rsid w:val="42991040"/>
    <w:rsid w:val="42AE3AF6"/>
    <w:rsid w:val="45303407"/>
    <w:rsid w:val="45682DAD"/>
    <w:rsid w:val="4B3D3105"/>
    <w:rsid w:val="4C0974AB"/>
    <w:rsid w:val="4CDC5E1F"/>
    <w:rsid w:val="4FA13A68"/>
    <w:rsid w:val="51873991"/>
    <w:rsid w:val="571D6459"/>
    <w:rsid w:val="57586938"/>
    <w:rsid w:val="5CB6234C"/>
    <w:rsid w:val="606448DC"/>
    <w:rsid w:val="636C1A20"/>
    <w:rsid w:val="67A46513"/>
    <w:rsid w:val="6B192CB5"/>
    <w:rsid w:val="6FC40E80"/>
    <w:rsid w:val="72BE51A4"/>
    <w:rsid w:val="73EC1C80"/>
    <w:rsid w:val="74A47E90"/>
    <w:rsid w:val="757D5584"/>
    <w:rsid w:val="775E1049"/>
    <w:rsid w:val="7A3662AB"/>
    <w:rsid w:val="7D3A035E"/>
    <w:rsid w:val="7D5B43E0"/>
    <w:rsid w:val="7E3D56EE"/>
    <w:rsid w:val="7E604CB6"/>
    <w:rsid w:val="7F6C6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Office_11.1.0.9192_F1E327BC-269C-435d-A152-05C5408002CA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2022-04-03T17:42:00Z</dcterms:created>
  <dc:creator>纯子</dc:creator>
  <cp:lastModifiedBy>纯子</cp:lastModifiedBy>
  <dcterms:modified xsi:type="dcterms:W3CDTF">2022-04-04T03:41:59Z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2052-11.1.0.9192</vt:lpwstr>
  </property>
</Properties>
</file>