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C3995E" w14:textId="2A3F0635" w:rsidR="00F53F11" w:rsidRPr="006F5E82" w:rsidRDefault="00ED44AF" w:rsidP="00F53F11">
      <w:pPr>
        <w:pStyle w:val="a3"/>
        <w:rPr>
          <w:rFonts w:ascii="Times New Roman" w:hAnsi="Times New Roman" w:cs="Times New Roman"/>
          <w:sz w:val="20"/>
          <w:szCs w:val="20"/>
        </w:rPr>
      </w:pPr>
      <w:bookmarkStart w:id="0" w:name="_GoBack"/>
      <w:bookmarkEnd w:id="0"/>
      <w:r w:rsidRPr="006F5E82">
        <w:rPr>
          <w:rFonts w:ascii="Times New Roman" w:hAnsi="Times New Roman" w:cs="Times New Roman"/>
          <w:sz w:val="20"/>
          <w:szCs w:val="20"/>
        </w:rPr>
        <w:t xml:space="preserve">Additional file 2: </w:t>
      </w:r>
      <w:r w:rsidR="00F53F11" w:rsidRPr="006F5E82">
        <w:rPr>
          <w:rFonts w:ascii="Times New Roman" w:hAnsi="Times New Roman" w:cs="Times New Roman"/>
          <w:sz w:val="20"/>
          <w:szCs w:val="20"/>
        </w:rPr>
        <w:t xml:space="preserve">Supplementary Table </w:t>
      </w:r>
      <w:r w:rsidRPr="006F5E82">
        <w:rPr>
          <w:rFonts w:ascii="Times New Roman" w:hAnsi="Times New Roman" w:cs="Times New Roman"/>
          <w:sz w:val="20"/>
          <w:szCs w:val="20"/>
        </w:rPr>
        <w:t>2</w:t>
      </w:r>
      <w:r w:rsidR="00F53F11" w:rsidRPr="006F5E82">
        <w:rPr>
          <w:rFonts w:ascii="Times New Roman" w:hAnsi="Times New Roman" w:cs="Times New Roman"/>
          <w:sz w:val="20"/>
          <w:szCs w:val="20"/>
        </w:rPr>
        <w:t xml:space="preserve"> </w:t>
      </w:r>
      <w:r w:rsidR="00F53F11" w:rsidRPr="006F5E82">
        <w:rPr>
          <w:rFonts w:ascii="Times New Roman" w:hAnsi="Times New Roman" w:cs="Times New Roman"/>
          <w:b w:val="0"/>
          <w:sz w:val="20"/>
          <w:szCs w:val="20"/>
        </w:rPr>
        <w:t>Adverse events (AEs): definitions for evaluating and reporting</w:t>
      </w:r>
      <w:r w:rsidR="009C04C1" w:rsidRPr="006F5E82">
        <w:rPr>
          <w:rFonts w:ascii="Times New Roman" w:hAnsi="Times New Roman" w:cs="Times New Roman"/>
          <w:b w:val="0"/>
          <w:sz w:val="20"/>
          <w:szCs w:val="20"/>
        </w:rPr>
        <w:t>.</w:t>
      </w:r>
    </w:p>
    <w:tbl>
      <w:tblPr>
        <w:tblW w:w="5000" w:type="pct"/>
        <w:jc w:val="center"/>
        <w:tblCellMar>
          <w:left w:w="0" w:type="dxa"/>
          <w:right w:w="0" w:type="dxa"/>
        </w:tblCellMar>
        <w:tblLook w:val="0000" w:firstRow="0" w:lastRow="0" w:firstColumn="0" w:lastColumn="0" w:noHBand="0" w:noVBand="0"/>
      </w:tblPr>
      <w:tblGrid>
        <w:gridCol w:w="1444"/>
        <w:gridCol w:w="7582"/>
      </w:tblGrid>
      <w:tr w:rsidR="00F53F11" w:rsidRPr="0050746D" w14:paraId="1DBE6249" w14:textId="77777777" w:rsidTr="000E7455">
        <w:trPr>
          <w:cantSplit/>
          <w:trHeight w:val="340"/>
          <w:tblHeader/>
          <w:jc w:val="center"/>
        </w:trPr>
        <w:tc>
          <w:tcPr>
            <w:tcW w:w="800" w:type="pct"/>
            <w:tcBorders>
              <w:top w:val="single" w:sz="4" w:space="0" w:color="auto"/>
              <w:left w:val="nil"/>
              <w:bottom w:val="single" w:sz="4" w:space="0" w:color="000000"/>
              <w:right w:val="nil"/>
            </w:tcBorders>
            <w:shd w:val="clear" w:color="auto" w:fill="FFFFFF"/>
            <w:tcMar>
              <w:left w:w="10" w:type="dxa"/>
              <w:right w:w="10" w:type="dxa"/>
            </w:tcMar>
            <w:vAlign w:val="center"/>
          </w:tcPr>
          <w:p w14:paraId="07DF7FAC" w14:textId="77777777" w:rsidR="00F53F11" w:rsidRPr="00684554" w:rsidRDefault="00F53F11" w:rsidP="000E7455">
            <w:pPr>
              <w:pStyle w:val="TableText"/>
              <w:keepNext/>
              <w:jc w:val="center"/>
              <w:rPr>
                <w:szCs w:val="18"/>
              </w:rPr>
            </w:pPr>
            <w:r w:rsidRPr="00684554">
              <w:rPr>
                <w:szCs w:val="18"/>
              </w:rPr>
              <w:t>Item</w:t>
            </w:r>
          </w:p>
        </w:tc>
        <w:tc>
          <w:tcPr>
            <w:tcW w:w="4200" w:type="pct"/>
            <w:tcBorders>
              <w:top w:val="single" w:sz="4" w:space="0" w:color="auto"/>
              <w:left w:val="nil"/>
              <w:bottom w:val="single" w:sz="4" w:space="0" w:color="000000"/>
              <w:right w:val="nil"/>
            </w:tcBorders>
            <w:shd w:val="clear" w:color="auto" w:fill="FFFFFF"/>
            <w:tcMar>
              <w:left w:w="10" w:type="dxa"/>
              <w:right w:w="10" w:type="dxa"/>
            </w:tcMar>
            <w:vAlign w:val="center"/>
          </w:tcPr>
          <w:p w14:paraId="243198C4" w14:textId="77777777" w:rsidR="00F53F11" w:rsidRPr="00684554" w:rsidRDefault="00F53F11" w:rsidP="000E7455">
            <w:pPr>
              <w:pStyle w:val="TableTextCenter"/>
              <w:keepNext/>
              <w:rPr>
                <w:szCs w:val="18"/>
                <w:lang w:eastAsia="en-US"/>
              </w:rPr>
            </w:pPr>
            <w:r w:rsidRPr="00684554">
              <w:rPr>
                <w:szCs w:val="18"/>
                <w:lang w:eastAsia="en-US"/>
              </w:rPr>
              <w:t>Definition</w:t>
            </w:r>
          </w:p>
        </w:tc>
      </w:tr>
      <w:tr w:rsidR="00F53F11" w:rsidRPr="0050746D" w14:paraId="598D50DE" w14:textId="77777777" w:rsidTr="000E7455">
        <w:trPr>
          <w:cantSplit/>
          <w:trHeight w:val="198"/>
          <w:jc w:val="center"/>
        </w:trPr>
        <w:tc>
          <w:tcPr>
            <w:tcW w:w="800" w:type="pct"/>
            <w:tcBorders>
              <w:top w:val="nil"/>
              <w:left w:val="nil"/>
              <w:bottom w:val="single" w:sz="4" w:space="0" w:color="auto"/>
              <w:right w:val="nil"/>
            </w:tcBorders>
            <w:shd w:val="clear" w:color="auto" w:fill="FFFFFF"/>
            <w:tcMar>
              <w:left w:w="10" w:type="dxa"/>
              <w:right w:w="10" w:type="dxa"/>
            </w:tcMar>
          </w:tcPr>
          <w:p w14:paraId="2BCD3E26" w14:textId="77777777" w:rsidR="00F53F11" w:rsidRPr="00684554" w:rsidRDefault="00F53F11" w:rsidP="000E7455">
            <w:pPr>
              <w:pStyle w:val="TableText"/>
              <w:spacing w:line="360" w:lineRule="auto"/>
              <w:ind w:leftChars="63" w:left="132"/>
              <w:rPr>
                <w:szCs w:val="18"/>
              </w:rPr>
            </w:pPr>
            <w:r w:rsidRPr="00684554">
              <w:rPr>
                <w:szCs w:val="18"/>
                <w:lang w:eastAsia="ja-JP"/>
              </w:rPr>
              <w:t>AE</w:t>
            </w:r>
          </w:p>
        </w:tc>
        <w:tc>
          <w:tcPr>
            <w:tcW w:w="4200" w:type="pct"/>
            <w:tcBorders>
              <w:top w:val="nil"/>
              <w:left w:val="nil"/>
              <w:bottom w:val="single" w:sz="4" w:space="0" w:color="auto"/>
              <w:right w:val="nil"/>
            </w:tcBorders>
            <w:shd w:val="clear" w:color="auto" w:fill="FFFFFF"/>
            <w:tcMar>
              <w:left w:w="10" w:type="dxa"/>
              <w:right w:w="10" w:type="dxa"/>
            </w:tcMar>
          </w:tcPr>
          <w:p w14:paraId="7BD5F10C" w14:textId="77777777" w:rsidR="00F53F11" w:rsidRPr="00684554" w:rsidRDefault="00F53F11" w:rsidP="000E7455">
            <w:pPr>
              <w:pStyle w:val="TableTextCenter"/>
              <w:spacing w:line="360" w:lineRule="auto"/>
              <w:ind w:leftChars="61" w:left="133" w:hangingChars="3" w:hanging="5"/>
              <w:jc w:val="left"/>
              <w:rPr>
                <w:szCs w:val="18"/>
              </w:rPr>
            </w:pPr>
            <w:r w:rsidRPr="00684554">
              <w:rPr>
                <w:szCs w:val="18"/>
              </w:rPr>
              <w:t>An AE is any unfavorable or unintended sign (including laboratory test abnormalities), symptom, or disease occurring after obtaining consent, regardless of the causal relationship with the study drug.</w:t>
            </w:r>
          </w:p>
        </w:tc>
      </w:tr>
      <w:tr w:rsidR="00F53F11" w:rsidRPr="00A74205" w14:paraId="51E2F55E" w14:textId="77777777" w:rsidTr="000E7455">
        <w:trPr>
          <w:cantSplit/>
          <w:trHeight w:val="209"/>
          <w:jc w:val="center"/>
        </w:trPr>
        <w:tc>
          <w:tcPr>
            <w:tcW w:w="800" w:type="pct"/>
            <w:tcBorders>
              <w:top w:val="single" w:sz="4" w:space="0" w:color="auto"/>
              <w:left w:val="nil"/>
              <w:bottom w:val="single" w:sz="4" w:space="0" w:color="auto"/>
              <w:right w:val="nil"/>
            </w:tcBorders>
            <w:shd w:val="clear" w:color="auto" w:fill="FFFFFF"/>
            <w:tcMar>
              <w:left w:w="10" w:type="dxa"/>
              <w:right w:w="10" w:type="dxa"/>
            </w:tcMar>
          </w:tcPr>
          <w:p w14:paraId="1D644A10" w14:textId="77777777" w:rsidR="00F53F11" w:rsidRPr="00684554" w:rsidRDefault="00F53F11" w:rsidP="000E7455">
            <w:pPr>
              <w:pStyle w:val="TableText"/>
              <w:spacing w:line="360" w:lineRule="auto"/>
              <w:ind w:leftChars="63" w:left="132"/>
              <w:rPr>
                <w:szCs w:val="18"/>
                <w:lang w:eastAsia="ja-JP"/>
              </w:rPr>
            </w:pPr>
            <w:r w:rsidRPr="00684554">
              <w:rPr>
                <w:szCs w:val="18"/>
                <w:lang w:eastAsia="ja-JP"/>
              </w:rPr>
              <w:t>Serious AEs (SAE)</w:t>
            </w:r>
          </w:p>
        </w:tc>
        <w:tc>
          <w:tcPr>
            <w:tcW w:w="4200" w:type="pct"/>
            <w:tcBorders>
              <w:top w:val="single" w:sz="4" w:space="0" w:color="auto"/>
              <w:left w:val="nil"/>
              <w:bottom w:val="single" w:sz="4" w:space="0" w:color="auto"/>
              <w:right w:val="nil"/>
            </w:tcBorders>
            <w:shd w:val="clear" w:color="auto" w:fill="FFFFFF"/>
            <w:tcMar>
              <w:left w:w="10" w:type="dxa"/>
              <w:right w:w="10" w:type="dxa"/>
            </w:tcMar>
          </w:tcPr>
          <w:p w14:paraId="2B7A137E" w14:textId="77777777" w:rsidR="00F53F11" w:rsidRPr="00684554" w:rsidRDefault="00F53F11" w:rsidP="000E7455">
            <w:pPr>
              <w:pStyle w:val="TableTextCenter"/>
              <w:spacing w:line="360" w:lineRule="auto"/>
              <w:ind w:leftChars="61" w:left="133" w:hangingChars="3" w:hanging="5"/>
              <w:jc w:val="left"/>
              <w:rPr>
                <w:szCs w:val="18"/>
              </w:rPr>
            </w:pPr>
            <w:r w:rsidRPr="00684554">
              <w:rPr>
                <w:szCs w:val="18"/>
              </w:rPr>
              <w:t>An SAE is an AE characterized by any of the following</w:t>
            </w:r>
            <w:r>
              <w:rPr>
                <w:szCs w:val="18"/>
              </w:rPr>
              <w:t>:</w:t>
            </w:r>
          </w:p>
          <w:p w14:paraId="054A8DC9" w14:textId="77777777" w:rsidR="00F53F11" w:rsidRPr="00684554" w:rsidRDefault="00F53F11" w:rsidP="00F53F11">
            <w:pPr>
              <w:pStyle w:val="TableTextCenter"/>
              <w:numPr>
                <w:ilvl w:val="0"/>
                <w:numId w:val="1"/>
              </w:numPr>
              <w:spacing w:line="360" w:lineRule="auto"/>
              <w:jc w:val="left"/>
              <w:rPr>
                <w:szCs w:val="18"/>
              </w:rPr>
            </w:pPr>
            <w:r w:rsidRPr="00684554">
              <w:rPr>
                <w:szCs w:val="18"/>
              </w:rPr>
              <w:t>Results in death</w:t>
            </w:r>
          </w:p>
          <w:p w14:paraId="182E16AA" w14:textId="77777777" w:rsidR="00F53F11" w:rsidRPr="00684554" w:rsidRDefault="00F53F11" w:rsidP="00F53F11">
            <w:pPr>
              <w:pStyle w:val="TableTextCenter"/>
              <w:numPr>
                <w:ilvl w:val="0"/>
                <w:numId w:val="1"/>
              </w:numPr>
              <w:spacing w:line="360" w:lineRule="auto"/>
              <w:jc w:val="left"/>
              <w:rPr>
                <w:szCs w:val="18"/>
              </w:rPr>
            </w:pPr>
            <w:r w:rsidRPr="00684554">
              <w:rPr>
                <w:szCs w:val="18"/>
              </w:rPr>
              <w:t>Is life-threatening</w:t>
            </w:r>
          </w:p>
          <w:p w14:paraId="3B28258A" w14:textId="77777777" w:rsidR="00F53F11" w:rsidRPr="00684554" w:rsidRDefault="00F53F11" w:rsidP="000E7455">
            <w:pPr>
              <w:pStyle w:val="TableTextCenter"/>
              <w:spacing w:line="360" w:lineRule="auto"/>
              <w:ind w:leftChars="61" w:left="133" w:hangingChars="3" w:hanging="5"/>
              <w:jc w:val="left"/>
              <w:rPr>
                <w:szCs w:val="18"/>
              </w:rPr>
            </w:pPr>
            <w:r w:rsidRPr="00684554">
              <w:rPr>
                <w:szCs w:val="18"/>
              </w:rPr>
              <w:t>“Life-threatening” means that the patient was at risk of dying at the time that the event occurred, not that the event could hypothetically have caused death if it had been more severe.</w:t>
            </w:r>
          </w:p>
          <w:p w14:paraId="0E34F84D" w14:textId="77777777" w:rsidR="00F53F11" w:rsidRPr="00684554" w:rsidRDefault="00F53F11" w:rsidP="00F53F11">
            <w:pPr>
              <w:pStyle w:val="TableTextCenter"/>
              <w:numPr>
                <w:ilvl w:val="0"/>
                <w:numId w:val="1"/>
              </w:numPr>
              <w:spacing w:line="360" w:lineRule="auto"/>
              <w:jc w:val="left"/>
              <w:rPr>
                <w:szCs w:val="18"/>
              </w:rPr>
            </w:pPr>
            <w:r w:rsidRPr="00684554">
              <w:rPr>
                <w:szCs w:val="18"/>
              </w:rPr>
              <w:t>Requires in-patient hospitalization or prolongation of existing hospitalization for treatment</w:t>
            </w:r>
          </w:p>
          <w:p w14:paraId="21265B4C" w14:textId="77777777" w:rsidR="00F53F11" w:rsidRPr="00684554" w:rsidRDefault="00F53F11" w:rsidP="00F53F11">
            <w:pPr>
              <w:pStyle w:val="TableTextCenter"/>
              <w:numPr>
                <w:ilvl w:val="0"/>
                <w:numId w:val="1"/>
              </w:numPr>
              <w:spacing w:line="360" w:lineRule="auto"/>
              <w:jc w:val="left"/>
              <w:rPr>
                <w:szCs w:val="18"/>
              </w:rPr>
            </w:pPr>
            <w:r w:rsidRPr="00684554">
              <w:rPr>
                <w:szCs w:val="18"/>
              </w:rPr>
              <w:t>Results in persistent or significant disability or incapacity</w:t>
            </w:r>
          </w:p>
          <w:p w14:paraId="5789245C" w14:textId="77777777" w:rsidR="00F53F11" w:rsidRPr="00684554" w:rsidRDefault="00F53F11" w:rsidP="00F53F11">
            <w:pPr>
              <w:pStyle w:val="TableTextCenter"/>
              <w:numPr>
                <w:ilvl w:val="0"/>
                <w:numId w:val="1"/>
              </w:numPr>
              <w:spacing w:line="360" w:lineRule="auto"/>
              <w:jc w:val="left"/>
              <w:rPr>
                <w:szCs w:val="18"/>
              </w:rPr>
            </w:pPr>
            <w:r w:rsidRPr="00684554">
              <w:rPr>
                <w:szCs w:val="18"/>
              </w:rPr>
              <w:t>Causes a congenital abnormality or birth defect</w:t>
            </w:r>
          </w:p>
          <w:p w14:paraId="4344CEA3" w14:textId="77777777" w:rsidR="00F53F11" w:rsidRPr="00684554" w:rsidRDefault="00F53F11" w:rsidP="00F53F11">
            <w:pPr>
              <w:pStyle w:val="TableTextCenter"/>
              <w:numPr>
                <w:ilvl w:val="0"/>
                <w:numId w:val="1"/>
              </w:numPr>
              <w:spacing w:line="360" w:lineRule="auto"/>
              <w:jc w:val="left"/>
              <w:rPr>
                <w:szCs w:val="18"/>
              </w:rPr>
            </w:pPr>
            <w:r w:rsidRPr="00684554">
              <w:rPr>
                <w:szCs w:val="18"/>
              </w:rPr>
              <w:t>Any other medically significant event or reaction</w:t>
            </w:r>
          </w:p>
          <w:p w14:paraId="41B82EAA" w14:textId="77777777" w:rsidR="00F53F11" w:rsidRPr="00684554" w:rsidRDefault="00F53F11" w:rsidP="000E7455">
            <w:pPr>
              <w:pStyle w:val="TableTextCenter"/>
              <w:spacing w:line="360" w:lineRule="auto"/>
              <w:ind w:leftChars="61" w:left="133" w:hangingChars="3" w:hanging="5"/>
              <w:jc w:val="left"/>
              <w:rPr>
                <w:szCs w:val="18"/>
              </w:rPr>
            </w:pPr>
            <w:r w:rsidRPr="00684554">
              <w:rPr>
                <w:szCs w:val="18"/>
              </w:rPr>
              <w:t xml:space="preserve">Medical and scientific judgment should be exercised </w:t>
            </w:r>
            <w:r>
              <w:rPr>
                <w:szCs w:val="18"/>
              </w:rPr>
              <w:t>when</w:t>
            </w:r>
            <w:r w:rsidRPr="00684554">
              <w:rPr>
                <w:szCs w:val="18"/>
              </w:rPr>
              <w:t xml:space="preserve"> deciding whether other situations should be considered serious</w:t>
            </w:r>
            <w:r>
              <w:rPr>
                <w:szCs w:val="18"/>
              </w:rPr>
              <w:t>,</w:t>
            </w:r>
            <w:r w:rsidRPr="00684554">
              <w:rPr>
                <w:szCs w:val="18"/>
              </w:rPr>
              <w:t xml:space="preserve"> such as important medical events that might not be immediately life-threatening or result in death or hospitalization but might jeopardize the patient or might require intervention to prevent one of the other outcomes listed in the definition above. Examples of such events are intensive treatment in an emergency room or at home for allergic bronchospasm, blood dyscrasias</w:t>
            </w:r>
            <w:r>
              <w:rPr>
                <w:szCs w:val="18"/>
              </w:rPr>
              <w:t>,</w:t>
            </w:r>
            <w:r w:rsidRPr="00684554">
              <w:rPr>
                <w:szCs w:val="18"/>
              </w:rPr>
              <w:t xml:space="preserve"> or convulsions that do not result in hospitalization, or development of drug dependency or drug abuse.</w:t>
            </w:r>
          </w:p>
        </w:tc>
      </w:tr>
      <w:tr w:rsidR="00F53F11" w:rsidRPr="0050746D" w14:paraId="3B659E7C" w14:textId="77777777" w:rsidTr="000E7455">
        <w:trPr>
          <w:cantSplit/>
          <w:trHeight w:val="209"/>
          <w:jc w:val="center"/>
        </w:trPr>
        <w:tc>
          <w:tcPr>
            <w:tcW w:w="800" w:type="pct"/>
            <w:tcBorders>
              <w:top w:val="single" w:sz="4" w:space="0" w:color="auto"/>
              <w:left w:val="nil"/>
              <w:bottom w:val="single" w:sz="4" w:space="0" w:color="auto"/>
              <w:right w:val="nil"/>
            </w:tcBorders>
            <w:shd w:val="clear" w:color="auto" w:fill="FFFFFF"/>
            <w:tcMar>
              <w:left w:w="10" w:type="dxa"/>
              <w:right w:w="10" w:type="dxa"/>
            </w:tcMar>
          </w:tcPr>
          <w:p w14:paraId="0AEBE72D" w14:textId="77777777" w:rsidR="00F53F11" w:rsidRPr="00684554" w:rsidRDefault="00F53F11" w:rsidP="000E7455">
            <w:pPr>
              <w:pStyle w:val="TableText"/>
              <w:spacing w:line="360" w:lineRule="auto"/>
              <w:ind w:leftChars="63" w:left="132"/>
              <w:rPr>
                <w:szCs w:val="18"/>
                <w:lang w:eastAsia="ja-JP"/>
              </w:rPr>
            </w:pPr>
            <w:r w:rsidRPr="00684554">
              <w:rPr>
                <w:szCs w:val="18"/>
                <w:lang w:eastAsia="ja-JP"/>
              </w:rPr>
              <w:t>Assessment of severity</w:t>
            </w:r>
          </w:p>
        </w:tc>
        <w:tc>
          <w:tcPr>
            <w:tcW w:w="4200" w:type="pct"/>
            <w:tcBorders>
              <w:top w:val="single" w:sz="4" w:space="0" w:color="auto"/>
              <w:left w:val="nil"/>
              <w:bottom w:val="single" w:sz="4" w:space="0" w:color="auto"/>
              <w:right w:val="nil"/>
            </w:tcBorders>
            <w:shd w:val="clear" w:color="auto" w:fill="FFFFFF"/>
            <w:tcMar>
              <w:left w:w="10" w:type="dxa"/>
              <w:right w:w="10" w:type="dxa"/>
            </w:tcMar>
          </w:tcPr>
          <w:p w14:paraId="17105C87" w14:textId="77777777" w:rsidR="00F53F11" w:rsidRPr="00684554" w:rsidRDefault="00F53F11" w:rsidP="000E7455">
            <w:pPr>
              <w:pStyle w:val="TableTextCenter"/>
              <w:spacing w:line="360" w:lineRule="auto"/>
              <w:ind w:leftChars="61" w:left="133" w:hangingChars="3" w:hanging="5"/>
              <w:jc w:val="left"/>
              <w:rPr>
                <w:szCs w:val="18"/>
              </w:rPr>
            </w:pPr>
            <w:r>
              <w:rPr>
                <w:szCs w:val="18"/>
              </w:rPr>
              <w:t>AE</w:t>
            </w:r>
            <w:r w:rsidRPr="00684554">
              <w:rPr>
                <w:szCs w:val="18"/>
              </w:rPr>
              <w:t xml:space="preserve"> severity is graded according to the following grades:</w:t>
            </w:r>
          </w:p>
          <w:p w14:paraId="69BA5CD7" w14:textId="77777777" w:rsidR="00F53F11" w:rsidRPr="00684554" w:rsidRDefault="00F53F11" w:rsidP="000E7455">
            <w:pPr>
              <w:pStyle w:val="TableTextCenter"/>
              <w:spacing w:line="360" w:lineRule="auto"/>
              <w:ind w:leftChars="61" w:left="133" w:hangingChars="3" w:hanging="5"/>
              <w:jc w:val="left"/>
              <w:rPr>
                <w:szCs w:val="18"/>
              </w:rPr>
            </w:pPr>
            <w:r w:rsidRPr="00684554">
              <w:rPr>
                <w:szCs w:val="18"/>
              </w:rPr>
              <w:t>Mild: does not or only minimally interferes with activities of daily living. No intervention or only simple intervention indicated.</w:t>
            </w:r>
          </w:p>
          <w:p w14:paraId="2D888DFB" w14:textId="77777777" w:rsidR="00F53F11" w:rsidRPr="00684554" w:rsidRDefault="00F53F11" w:rsidP="000E7455">
            <w:pPr>
              <w:pStyle w:val="TableTextCenter"/>
              <w:spacing w:line="360" w:lineRule="auto"/>
              <w:ind w:leftChars="61" w:left="133" w:hangingChars="3" w:hanging="5"/>
              <w:jc w:val="left"/>
              <w:rPr>
                <w:szCs w:val="18"/>
              </w:rPr>
            </w:pPr>
            <w:r w:rsidRPr="00684554">
              <w:rPr>
                <w:szCs w:val="18"/>
              </w:rPr>
              <w:t>Moderate: interferes with activities of daily living; intervention indicated.</w:t>
            </w:r>
          </w:p>
          <w:p w14:paraId="6ABBA2E8" w14:textId="77777777" w:rsidR="00F53F11" w:rsidRPr="00684554" w:rsidRDefault="00F53F11" w:rsidP="000E7455">
            <w:pPr>
              <w:pStyle w:val="TableTextCenter"/>
              <w:spacing w:line="360" w:lineRule="auto"/>
              <w:ind w:leftChars="61" w:left="133" w:hangingChars="3" w:hanging="5"/>
              <w:jc w:val="left"/>
              <w:rPr>
                <w:szCs w:val="18"/>
              </w:rPr>
            </w:pPr>
            <w:r w:rsidRPr="00684554">
              <w:rPr>
                <w:szCs w:val="18"/>
              </w:rPr>
              <w:t>Severe: can perform almost no activities of daily living, or systemic intervention indicated.</w:t>
            </w:r>
          </w:p>
        </w:tc>
      </w:tr>
      <w:tr w:rsidR="00F53F11" w:rsidRPr="0050746D" w14:paraId="2FF0425B" w14:textId="77777777" w:rsidTr="000E7455">
        <w:trPr>
          <w:cantSplit/>
          <w:trHeight w:val="209"/>
          <w:jc w:val="center"/>
        </w:trPr>
        <w:tc>
          <w:tcPr>
            <w:tcW w:w="800" w:type="pct"/>
            <w:tcBorders>
              <w:top w:val="single" w:sz="4" w:space="0" w:color="auto"/>
              <w:left w:val="nil"/>
              <w:bottom w:val="single" w:sz="4" w:space="0" w:color="auto"/>
              <w:right w:val="nil"/>
            </w:tcBorders>
            <w:shd w:val="clear" w:color="auto" w:fill="FFFFFF"/>
            <w:tcMar>
              <w:left w:w="10" w:type="dxa"/>
              <w:right w:w="10" w:type="dxa"/>
            </w:tcMar>
          </w:tcPr>
          <w:p w14:paraId="447DCCB8" w14:textId="77777777" w:rsidR="00F53F11" w:rsidRPr="00684554" w:rsidRDefault="00F53F11" w:rsidP="000E7455">
            <w:pPr>
              <w:pStyle w:val="TableText"/>
              <w:spacing w:line="360" w:lineRule="auto"/>
              <w:ind w:leftChars="63" w:left="132"/>
              <w:rPr>
                <w:szCs w:val="18"/>
                <w:lang w:eastAsia="ja-JP"/>
              </w:rPr>
            </w:pPr>
            <w:r w:rsidRPr="00684554">
              <w:rPr>
                <w:szCs w:val="18"/>
                <w:lang w:eastAsia="ja-JP"/>
              </w:rPr>
              <w:t>Assessment of causality</w:t>
            </w:r>
          </w:p>
        </w:tc>
        <w:tc>
          <w:tcPr>
            <w:tcW w:w="4200" w:type="pct"/>
            <w:tcBorders>
              <w:top w:val="single" w:sz="4" w:space="0" w:color="auto"/>
              <w:left w:val="nil"/>
              <w:bottom w:val="single" w:sz="4" w:space="0" w:color="auto"/>
              <w:right w:val="nil"/>
            </w:tcBorders>
            <w:shd w:val="clear" w:color="auto" w:fill="FFFFFF"/>
            <w:tcMar>
              <w:left w:w="10" w:type="dxa"/>
              <w:right w:w="10" w:type="dxa"/>
            </w:tcMar>
          </w:tcPr>
          <w:p w14:paraId="2923883C" w14:textId="77777777" w:rsidR="00F53F11" w:rsidRPr="00684554" w:rsidRDefault="00F53F11" w:rsidP="000E7455">
            <w:pPr>
              <w:pStyle w:val="TableTextCenter"/>
              <w:spacing w:line="360" w:lineRule="auto"/>
              <w:ind w:leftChars="61" w:left="133" w:hangingChars="3" w:hanging="5"/>
              <w:jc w:val="left"/>
              <w:rPr>
                <w:szCs w:val="18"/>
              </w:rPr>
            </w:pPr>
            <w:r w:rsidRPr="00684554">
              <w:rPr>
                <w:szCs w:val="18"/>
              </w:rPr>
              <w:t>A treatment-related AE is an AE for which causality with the study drug is at least a reasonable possibility</w:t>
            </w:r>
            <w:r>
              <w:rPr>
                <w:szCs w:val="18"/>
              </w:rPr>
              <w:t>;</w:t>
            </w:r>
            <w:r w:rsidRPr="00684554">
              <w:rPr>
                <w:szCs w:val="18"/>
              </w:rPr>
              <w:t xml:space="preserve"> i.e.</w:t>
            </w:r>
            <w:r>
              <w:rPr>
                <w:szCs w:val="18"/>
              </w:rPr>
              <w:t>,</w:t>
            </w:r>
            <w:r w:rsidRPr="00684554">
              <w:rPr>
                <w:szCs w:val="18"/>
              </w:rPr>
              <w:t xml:space="preserve"> a causal relationship cannot be ruled out.</w:t>
            </w:r>
          </w:p>
          <w:p w14:paraId="532E3405" w14:textId="77777777" w:rsidR="00F53F11" w:rsidRPr="00684554" w:rsidRDefault="00F53F11" w:rsidP="000E7455">
            <w:pPr>
              <w:pStyle w:val="TableTextCenter"/>
              <w:spacing w:line="360" w:lineRule="auto"/>
              <w:ind w:leftChars="61" w:left="133" w:hangingChars="3" w:hanging="5"/>
              <w:jc w:val="left"/>
              <w:rPr>
                <w:szCs w:val="18"/>
              </w:rPr>
            </w:pPr>
            <w:r w:rsidRPr="00684554">
              <w:rPr>
                <w:szCs w:val="18"/>
              </w:rPr>
              <w:t>Causal relationship with the study drug is assessed using the following guidelines:</w:t>
            </w:r>
          </w:p>
          <w:p w14:paraId="2E8E95EF" w14:textId="77777777" w:rsidR="00F53F11" w:rsidRPr="00684554" w:rsidRDefault="00F53F11" w:rsidP="000E7455">
            <w:pPr>
              <w:pStyle w:val="TableTextCenter"/>
              <w:spacing w:line="360" w:lineRule="auto"/>
              <w:ind w:leftChars="61" w:left="133" w:hangingChars="3" w:hanging="5"/>
              <w:jc w:val="left"/>
              <w:rPr>
                <w:szCs w:val="18"/>
              </w:rPr>
            </w:pPr>
            <w:r w:rsidRPr="00684554">
              <w:rPr>
                <w:szCs w:val="18"/>
              </w:rPr>
              <w:t xml:space="preserve">Related: </w:t>
            </w:r>
            <w:r>
              <w:rPr>
                <w:szCs w:val="18"/>
              </w:rPr>
              <w:t>T</w:t>
            </w:r>
            <w:r w:rsidRPr="00684554">
              <w:rPr>
                <w:szCs w:val="18"/>
              </w:rPr>
              <w:t>here is at least a reasonable possibility that the event was due to the study drug, and a causal relationship cannot be ruled out.</w:t>
            </w:r>
          </w:p>
          <w:p w14:paraId="2F1ABDCE" w14:textId="77777777" w:rsidR="00F53F11" w:rsidRPr="00684554" w:rsidRDefault="00F53F11" w:rsidP="000E7455">
            <w:pPr>
              <w:pStyle w:val="TableTextCenter"/>
              <w:spacing w:line="360" w:lineRule="auto"/>
              <w:ind w:leftChars="61" w:left="133" w:hangingChars="3" w:hanging="5"/>
              <w:jc w:val="left"/>
              <w:rPr>
                <w:szCs w:val="18"/>
              </w:rPr>
            </w:pPr>
            <w:r w:rsidRPr="00684554">
              <w:rPr>
                <w:szCs w:val="18"/>
              </w:rPr>
              <w:t xml:space="preserve">Not related: </w:t>
            </w:r>
            <w:r>
              <w:rPr>
                <w:szCs w:val="18"/>
              </w:rPr>
              <w:t>T</w:t>
            </w:r>
            <w:r w:rsidRPr="00684554">
              <w:rPr>
                <w:szCs w:val="18"/>
              </w:rPr>
              <w:t>he event does not have a temporal relationship with study drug administration and can be explained by another factor</w:t>
            </w:r>
            <w:r>
              <w:rPr>
                <w:szCs w:val="18"/>
              </w:rPr>
              <w:t>,</w:t>
            </w:r>
            <w:r w:rsidRPr="00684554">
              <w:rPr>
                <w:szCs w:val="18"/>
              </w:rPr>
              <w:t xml:space="preserve"> such as underlying disease, complications, concomitant medications, diathesis, or concomitant therapies.</w:t>
            </w:r>
          </w:p>
        </w:tc>
      </w:tr>
    </w:tbl>
    <w:p w14:paraId="3679E46E" w14:textId="77777777" w:rsidR="005D52B2" w:rsidRDefault="005D52B2"/>
    <w:sectPr w:rsidR="005D52B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EF58BB" w14:textId="77777777" w:rsidR="00C23255" w:rsidRDefault="00C23255" w:rsidP="00417ECC">
      <w:r>
        <w:separator/>
      </w:r>
    </w:p>
  </w:endnote>
  <w:endnote w:type="continuationSeparator" w:id="0">
    <w:p w14:paraId="1B9D7FA9" w14:textId="77777777" w:rsidR="00C23255" w:rsidRDefault="00C23255" w:rsidP="00417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Mangal">
    <w:altName w:val="Courier New"/>
    <w:panose1 w:val="00000400000000000000"/>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engXian Light">
    <w:altName w:val="Microsoft YaHei"/>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5AFD2" w14:textId="77777777" w:rsidR="00C23255" w:rsidRDefault="00C23255" w:rsidP="00417ECC">
      <w:r>
        <w:separator/>
      </w:r>
    </w:p>
  </w:footnote>
  <w:footnote w:type="continuationSeparator" w:id="0">
    <w:p w14:paraId="58487628" w14:textId="77777777" w:rsidR="00C23255" w:rsidRDefault="00C23255" w:rsidP="00417E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B353C7"/>
    <w:multiLevelType w:val="hybridMultilevel"/>
    <w:tmpl w:val="6A522E72"/>
    <w:lvl w:ilvl="0" w:tplc="0409000F">
      <w:start w:val="1"/>
      <w:numFmt w:val="decimal"/>
      <w:lvlText w:val="%1."/>
      <w:lvlJc w:val="left"/>
      <w:pPr>
        <w:ind w:left="548" w:hanging="420"/>
      </w:pPr>
    </w:lvl>
    <w:lvl w:ilvl="1" w:tplc="04090017" w:tentative="1">
      <w:start w:val="1"/>
      <w:numFmt w:val="aiueoFullWidth"/>
      <w:lvlText w:val="(%2)"/>
      <w:lvlJc w:val="left"/>
      <w:pPr>
        <w:ind w:left="968" w:hanging="420"/>
      </w:pPr>
    </w:lvl>
    <w:lvl w:ilvl="2" w:tplc="04090011" w:tentative="1">
      <w:start w:val="1"/>
      <w:numFmt w:val="decimalEnclosedCircle"/>
      <w:lvlText w:val="%3"/>
      <w:lvlJc w:val="left"/>
      <w:pPr>
        <w:ind w:left="1388" w:hanging="420"/>
      </w:pPr>
    </w:lvl>
    <w:lvl w:ilvl="3" w:tplc="0409000F" w:tentative="1">
      <w:start w:val="1"/>
      <w:numFmt w:val="decimal"/>
      <w:lvlText w:val="%4."/>
      <w:lvlJc w:val="left"/>
      <w:pPr>
        <w:ind w:left="1808" w:hanging="420"/>
      </w:pPr>
    </w:lvl>
    <w:lvl w:ilvl="4" w:tplc="04090017" w:tentative="1">
      <w:start w:val="1"/>
      <w:numFmt w:val="aiueoFullWidth"/>
      <w:lvlText w:val="(%5)"/>
      <w:lvlJc w:val="left"/>
      <w:pPr>
        <w:ind w:left="2228" w:hanging="420"/>
      </w:pPr>
    </w:lvl>
    <w:lvl w:ilvl="5" w:tplc="04090011" w:tentative="1">
      <w:start w:val="1"/>
      <w:numFmt w:val="decimalEnclosedCircle"/>
      <w:lvlText w:val="%6"/>
      <w:lvlJc w:val="left"/>
      <w:pPr>
        <w:ind w:left="2648" w:hanging="420"/>
      </w:pPr>
    </w:lvl>
    <w:lvl w:ilvl="6" w:tplc="0409000F" w:tentative="1">
      <w:start w:val="1"/>
      <w:numFmt w:val="decimal"/>
      <w:lvlText w:val="%7."/>
      <w:lvlJc w:val="left"/>
      <w:pPr>
        <w:ind w:left="3068" w:hanging="420"/>
      </w:pPr>
    </w:lvl>
    <w:lvl w:ilvl="7" w:tplc="04090017" w:tentative="1">
      <w:start w:val="1"/>
      <w:numFmt w:val="aiueoFullWidth"/>
      <w:lvlText w:val="(%8)"/>
      <w:lvlJc w:val="left"/>
      <w:pPr>
        <w:ind w:left="3488" w:hanging="420"/>
      </w:pPr>
    </w:lvl>
    <w:lvl w:ilvl="8" w:tplc="04090011" w:tentative="1">
      <w:start w:val="1"/>
      <w:numFmt w:val="decimalEnclosedCircle"/>
      <w:lvlText w:val="%9"/>
      <w:lvlJc w:val="left"/>
      <w:pPr>
        <w:ind w:left="390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720"/>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F11"/>
    <w:rsid w:val="00030E71"/>
    <w:rsid w:val="00417ECC"/>
    <w:rsid w:val="005D52B2"/>
    <w:rsid w:val="006F5E82"/>
    <w:rsid w:val="007A33A5"/>
    <w:rsid w:val="0091766A"/>
    <w:rsid w:val="009C04C1"/>
    <w:rsid w:val="00B63E32"/>
    <w:rsid w:val="00C23255"/>
    <w:rsid w:val="00D70E99"/>
    <w:rsid w:val="00E30EF5"/>
    <w:rsid w:val="00ED44AF"/>
    <w:rsid w:val="00F53F11"/>
  </w:rsids>
  <m:mathPr>
    <m:mathFont m:val="Cambria Math"/>
    <m:brkBin m:val="before"/>
    <m:brkBinSub m:val="--"/>
    <m:smallFrac m:val="0"/>
    <m:dispDef/>
    <m:lMargin m:val="0"/>
    <m:rMargin m:val="0"/>
    <m:defJc m:val="centerGroup"/>
    <m:wrapIndent m:val="1440"/>
    <m:intLim m:val="subSup"/>
    <m:naryLim m:val="undOvr"/>
  </m:mathPr>
  <w:themeFontLang w:val="en-IN"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AA81B1E"/>
  <w15:chartTrackingRefBased/>
  <w15:docId w15:val="{1BC41E61-7A17-4767-A274-24C376BA1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3F11"/>
    <w:pPr>
      <w:widowControl w:val="0"/>
      <w:spacing w:after="0" w:line="240" w:lineRule="auto"/>
      <w:jc w:val="both"/>
    </w:pPr>
    <w:rPr>
      <w:kern w:val="2"/>
      <w:sz w:val="21"/>
      <w:szCs w:val="21"/>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Text">
    <w:name w:val="TableText"/>
    <w:link w:val="TableText0"/>
    <w:rsid w:val="00F53F11"/>
    <w:pPr>
      <w:snapToGrid w:val="0"/>
      <w:spacing w:after="0" w:line="240" w:lineRule="exact"/>
    </w:pPr>
    <w:rPr>
      <w:rFonts w:ascii="Times New Roman" w:eastAsia="ＭＳ 明朝" w:hAnsi="Times New Roman" w:cs="Times New Roman"/>
      <w:sz w:val="18"/>
      <w:szCs w:val="20"/>
      <w:lang w:val="en-US" w:eastAsia="en-US"/>
    </w:rPr>
  </w:style>
  <w:style w:type="character" w:customStyle="1" w:styleId="TableText0">
    <w:name w:val="TableText (文字)"/>
    <w:link w:val="TableText"/>
    <w:rsid w:val="00F53F11"/>
    <w:rPr>
      <w:rFonts w:ascii="Times New Roman" w:eastAsia="ＭＳ 明朝" w:hAnsi="Times New Roman" w:cs="Times New Roman"/>
      <w:sz w:val="18"/>
      <w:szCs w:val="20"/>
      <w:lang w:val="en-US" w:eastAsia="en-US"/>
    </w:rPr>
  </w:style>
  <w:style w:type="paragraph" w:styleId="a3">
    <w:name w:val="caption"/>
    <w:basedOn w:val="a"/>
    <w:next w:val="a"/>
    <w:unhideWhenUsed/>
    <w:qFormat/>
    <w:rsid w:val="00F53F11"/>
    <w:rPr>
      <w:b/>
      <w:bCs/>
    </w:rPr>
  </w:style>
  <w:style w:type="paragraph" w:customStyle="1" w:styleId="TableTextCenter">
    <w:name w:val="TableText Center"/>
    <w:rsid w:val="00F53F11"/>
    <w:pPr>
      <w:snapToGrid w:val="0"/>
      <w:spacing w:after="0" w:line="240" w:lineRule="exact"/>
      <w:jc w:val="center"/>
    </w:pPr>
    <w:rPr>
      <w:rFonts w:ascii="Times New Roman" w:eastAsia="ＭＳ 明朝" w:hAnsi="Times New Roman" w:cs="Times New Roman"/>
      <w:sz w:val="18"/>
      <w:szCs w:val="20"/>
      <w:lang w:val="en-US" w:eastAsia="ja-JP"/>
    </w:rPr>
  </w:style>
  <w:style w:type="paragraph" w:styleId="a4">
    <w:name w:val="header"/>
    <w:basedOn w:val="a"/>
    <w:link w:val="a5"/>
    <w:uiPriority w:val="99"/>
    <w:unhideWhenUsed/>
    <w:rsid w:val="00417ECC"/>
    <w:pPr>
      <w:tabs>
        <w:tab w:val="center" w:pos="4419"/>
        <w:tab w:val="right" w:pos="8838"/>
      </w:tabs>
    </w:pPr>
  </w:style>
  <w:style w:type="character" w:customStyle="1" w:styleId="a5">
    <w:name w:val="ヘッダー (文字)"/>
    <w:basedOn w:val="a0"/>
    <w:link w:val="a4"/>
    <w:uiPriority w:val="99"/>
    <w:rsid w:val="00417ECC"/>
    <w:rPr>
      <w:kern w:val="2"/>
      <w:sz w:val="21"/>
      <w:szCs w:val="21"/>
      <w:lang w:val="en-US" w:eastAsia="ja-JP"/>
    </w:rPr>
  </w:style>
  <w:style w:type="paragraph" w:styleId="a6">
    <w:name w:val="footer"/>
    <w:basedOn w:val="a"/>
    <w:link w:val="a7"/>
    <w:uiPriority w:val="99"/>
    <w:unhideWhenUsed/>
    <w:rsid w:val="00417ECC"/>
    <w:pPr>
      <w:tabs>
        <w:tab w:val="center" w:pos="4419"/>
        <w:tab w:val="right" w:pos="8838"/>
      </w:tabs>
    </w:pPr>
  </w:style>
  <w:style w:type="character" w:customStyle="1" w:styleId="a7">
    <w:name w:val="フッター (文字)"/>
    <w:basedOn w:val="a0"/>
    <w:link w:val="a6"/>
    <w:uiPriority w:val="99"/>
    <w:rsid w:val="00417ECC"/>
    <w:rPr>
      <w:kern w:val="2"/>
      <w:sz w:val="21"/>
      <w:szCs w:val="21"/>
      <w:lang w:val="en-US" w:eastAsia="ja-JP"/>
    </w:rPr>
  </w:style>
  <w:style w:type="paragraph" w:styleId="a8">
    <w:name w:val="Balloon Text"/>
    <w:basedOn w:val="a"/>
    <w:link w:val="a9"/>
    <w:uiPriority w:val="99"/>
    <w:semiHidden/>
    <w:unhideWhenUsed/>
    <w:rsid w:val="00030E7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30E71"/>
    <w:rPr>
      <w:rFonts w:asciiTheme="majorHAnsi" w:eastAsiaTheme="majorEastAsia" w:hAnsiTheme="majorHAnsi" w:cstheme="majorBidi"/>
      <w:kern w:val="2"/>
      <w:sz w:val="18"/>
      <w:szCs w:val="1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374</Words>
  <Characters>2135</Characters>
  <Application>Microsoft Office Word</Application>
  <DocSecurity>0</DocSecurity>
  <Lines>17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Kubo et al</dc:creator>
  <cp:keywords/>
  <dc:description/>
  <cp:lastModifiedBy>Takayuki Ishibashi </cp:lastModifiedBy>
  <cp:revision>5</cp:revision>
  <dcterms:created xsi:type="dcterms:W3CDTF">2021-12-17T21:57:00Z</dcterms:created>
  <dcterms:modified xsi:type="dcterms:W3CDTF">2022-01-28T00:17:00Z</dcterms:modified>
</cp:coreProperties>
</file>