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LineNumbers/>
        <w:spacing w:before="240" w:after="120" w:line="240" w:lineRule="auto"/>
        <w:jc w:val="center"/>
        <w:rPr>
          <w:rFonts w:ascii="Times New Roman" w:hAnsi="Times New Roman" w:eastAsia="Calibri" w:cs="Times New Roman"/>
          <w:b w:val="0"/>
          <w:i/>
          <w:sz w:val="32"/>
          <w:szCs w:val="32"/>
          <w:lang w:val="en-US" w:eastAsia="en-US" w:bidi="ar-SA"/>
        </w:rPr>
      </w:pPr>
      <w:r>
        <w:rPr>
          <w:rFonts w:ascii="Times New Roman" w:hAnsi="Times New Roman" w:eastAsia="Calibri" w:cs="Times New Roman"/>
          <w:b/>
          <w:i/>
          <w:sz w:val="32"/>
          <w:szCs w:val="32"/>
          <w:lang w:val="en-US" w:eastAsia="en-US" w:bidi="ar-SA"/>
        </w:rPr>
        <w:t>Supplementary Material</w:t>
      </w:r>
    </w:p>
    <w:p>
      <w:pPr>
        <w:jc w:val="lef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hint="eastAsia" w:ascii="Times New Roman" w:hAnsi="Times New Roman" w:cs="Times New Roman"/>
          <w:b/>
          <w:bCs/>
          <w:sz w:val="32"/>
          <w:szCs w:val="32"/>
        </w:rPr>
        <w:t xml:space="preserve">Development and validation of a machine learning model to predict imminent new vertebral fractures after vertebral augmentation </w:t>
      </w:r>
    </w:p>
    <w:p>
      <w:pPr>
        <w:jc w:val="left"/>
        <w:rPr>
          <w:rFonts w:ascii="Times New Roman" w:hAnsi="Times New Roman" w:eastAsia="宋体" w:cs="Times New Roman"/>
          <w:b/>
          <w:sz w:val="24"/>
          <w:vertAlign w:val="superscript"/>
        </w:rPr>
      </w:pPr>
      <w:r>
        <w:rPr>
          <w:rFonts w:ascii="Times New Roman" w:hAnsi="Times New Roman" w:eastAsia="宋体" w:cs="Times New Roman"/>
          <w:b/>
          <w:sz w:val="24"/>
        </w:rPr>
        <w:t>Yang Jiang</w:t>
      </w:r>
      <w:r>
        <w:rPr>
          <w:rFonts w:ascii="Times New Roman" w:hAnsi="Times New Roman" w:eastAsia="宋体" w:cs="Times New Roman"/>
          <w:b/>
          <w:sz w:val="24"/>
          <w:vertAlign w:val="superscript"/>
        </w:rPr>
        <w:t>1†</w:t>
      </w:r>
      <w:r>
        <w:rPr>
          <w:rFonts w:ascii="Times New Roman" w:hAnsi="Times New Roman" w:eastAsia="宋体" w:cs="Times New Roman"/>
          <w:b/>
          <w:sz w:val="24"/>
        </w:rPr>
        <w:t>,</w:t>
      </w:r>
      <w:r>
        <w:rPr>
          <w:rFonts w:hint="eastAsia" w:ascii="Times New Roman" w:hAnsi="Times New Roman" w:eastAsia="宋体" w:cs="Times New Roman"/>
          <w:b/>
          <w:sz w:val="24"/>
        </w:rPr>
        <w:t xml:space="preserve"> </w:t>
      </w:r>
      <w:r>
        <w:rPr>
          <w:rFonts w:ascii="Times New Roman" w:hAnsi="Times New Roman" w:eastAsia="宋体" w:cs="Times New Roman"/>
          <w:b/>
          <w:sz w:val="24"/>
        </w:rPr>
        <w:t>Jinhui Cai</w:t>
      </w:r>
      <w:r>
        <w:rPr>
          <w:rFonts w:ascii="Times New Roman" w:hAnsi="Times New Roman" w:eastAsia="宋体" w:cs="Times New Roman"/>
          <w:b/>
          <w:sz w:val="24"/>
          <w:vertAlign w:val="superscript"/>
        </w:rPr>
        <w:t>1†</w:t>
      </w:r>
      <w:r>
        <w:rPr>
          <w:rFonts w:ascii="Times New Roman" w:hAnsi="Times New Roman" w:eastAsia="宋体" w:cs="Times New Roman"/>
          <w:b/>
          <w:sz w:val="24"/>
        </w:rPr>
        <w:t>, Yu</w:t>
      </w:r>
      <w:r>
        <w:rPr>
          <w:rFonts w:hint="eastAsia" w:ascii="Times New Roman" w:hAnsi="Times New Roman" w:eastAsia="宋体" w:cs="Times New Roman"/>
          <w:b/>
          <w:sz w:val="24"/>
        </w:rPr>
        <w:t>r</w:t>
      </w:r>
      <w:r>
        <w:rPr>
          <w:rFonts w:ascii="Times New Roman" w:hAnsi="Times New Roman" w:eastAsia="宋体" w:cs="Times New Roman"/>
          <w:b/>
          <w:sz w:val="24"/>
        </w:rPr>
        <w:t>ong Zeng</w:t>
      </w:r>
      <w:r>
        <w:rPr>
          <w:rFonts w:ascii="Times New Roman" w:hAnsi="Times New Roman" w:eastAsia="宋体" w:cs="Times New Roman"/>
          <w:b/>
          <w:sz w:val="24"/>
          <w:vertAlign w:val="superscript"/>
        </w:rPr>
        <w:t>3</w:t>
      </w:r>
      <w:r>
        <w:rPr>
          <w:rFonts w:ascii="Times New Roman" w:hAnsi="Times New Roman" w:eastAsia="宋体" w:cs="Times New Roman"/>
          <w:b/>
          <w:sz w:val="24"/>
        </w:rPr>
        <w:t>, Haoyi Ye</w:t>
      </w:r>
      <w:r>
        <w:rPr>
          <w:rFonts w:ascii="Times New Roman" w:hAnsi="Times New Roman" w:eastAsia="宋体" w:cs="Times New Roman"/>
          <w:b/>
          <w:sz w:val="24"/>
          <w:vertAlign w:val="superscript"/>
        </w:rPr>
        <w:t>2</w:t>
      </w:r>
      <w:r>
        <w:rPr>
          <w:rFonts w:ascii="Times New Roman" w:hAnsi="Times New Roman" w:eastAsia="宋体" w:cs="Times New Roman"/>
          <w:b/>
          <w:sz w:val="24"/>
        </w:rPr>
        <w:t>,</w:t>
      </w:r>
      <w:r>
        <w:rPr>
          <w:rFonts w:hint="eastAsia" w:ascii="Times New Roman" w:hAnsi="Times New Roman" w:eastAsia="宋体" w:cs="Times New Roman"/>
          <w:b/>
          <w:sz w:val="24"/>
        </w:rPr>
        <w:t xml:space="preserve"> </w:t>
      </w:r>
      <w:r>
        <w:rPr>
          <w:rFonts w:ascii="Times New Roman" w:hAnsi="Times New Roman" w:eastAsia="宋体" w:cs="Times New Roman"/>
          <w:b/>
          <w:sz w:val="24"/>
        </w:rPr>
        <w:t>Tingqian Yang</w:t>
      </w:r>
      <w:r>
        <w:rPr>
          <w:rFonts w:ascii="Times New Roman" w:hAnsi="Times New Roman" w:eastAsia="宋体" w:cs="Times New Roman"/>
          <w:b/>
          <w:sz w:val="24"/>
          <w:vertAlign w:val="superscript"/>
        </w:rPr>
        <w:t>1</w:t>
      </w:r>
      <w:r>
        <w:rPr>
          <w:rFonts w:ascii="Times New Roman" w:hAnsi="Times New Roman" w:eastAsia="宋体" w:cs="Times New Roman"/>
          <w:b/>
          <w:sz w:val="24"/>
        </w:rPr>
        <w:t>,</w:t>
      </w:r>
      <w:r>
        <w:rPr>
          <w:rFonts w:hint="eastAsia" w:ascii="Times New Roman" w:hAnsi="Times New Roman" w:eastAsia="宋体" w:cs="Times New Roman"/>
          <w:b/>
          <w:sz w:val="24"/>
        </w:rPr>
        <w:t xml:space="preserve"> </w:t>
      </w:r>
      <w:r>
        <w:rPr>
          <w:rFonts w:ascii="Times New Roman" w:hAnsi="Times New Roman" w:eastAsia="宋体" w:cs="Times New Roman"/>
          <w:b/>
          <w:sz w:val="24"/>
        </w:rPr>
        <w:t>Zhifeng Liu</w:t>
      </w:r>
      <w:r>
        <w:rPr>
          <w:rFonts w:ascii="Times New Roman" w:hAnsi="Times New Roman" w:eastAsia="宋体" w:cs="Times New Roman"/>
          <w:b/>
          <w:sz w:val="24"/>
          <w:vertAlign w:val="superscript"/>
        </w:rPr>
        <w:t>2</w:t>
      </w:r>
      <w:r>
        <w:rPr>
          <w:rFonts w:hint="eastAsia" w:ascii="Times New Roman" w:hAnsi="Times New Roman" w:eastAsia="宋体" w:cs="Times New Roman"/>
          <w:b/>
          <w:sz w:val="24"/>
          <w:vertAlign w:val="superscript"/>
        </w:rPr>
        <w:t>*</w:t>
      </w:r>
      <w:r>
        <w:rPr>
          <w:rFonts w:ascii="Times New Roman" w:hAnsi="Times New Roman" w:eastAsia="宋体" w:cs="Times New Roman"/>
          <w:b/>
          <w:sz w:val="24"/>
        </w:rPr>
        <w:t>,</w:t>
      </w:r>
      <w:r>
        <w:rPr>
          <w:rFonts w:hint="eastAsia" w:ascii="Times New Roman" w:hAnsi="Times New Roman" w:eastAsia="宋体" w:cs="Times New Roman"/>
          <w:b/>
          <w:sz w:val="24"/>
        </w:rPr>
        <w:t xml:space="preserve"> </w:t>
      </w:r>
      <w:r>
        <w:rPr>
          <w:rFonts w:ascii="Times New Roman" w:hAnsi="Times New Roman" w:eastAsia="宋体" w:cs="Times New Roman"/>
          <w:b/>
          <w:sz w:val="24"/>
        </w:rPr>
        <w:t>Qingyu Liu</w:t>
      </w:r>
      <w:r>
        <w:rPr>
          <w:rFonts w:ascii="Times New Roman" w:hAnsi="Times New Roman" w:eastAsia="宋体" w:cs="Times New Roman"/>
          <w:b/>
          <w:sz w:val="24"/>
          <w:vertAlign w:val="superscript"/>
        </w:rPr>
        <w:t>1</w:t>
      </w:r>
      <w:r>
        <w:rPr>
          <w:rFonts w:hint="eastAsia" w:ascii="Times New Roman" w:hAnsi="Times New Roman" w:eastAsia="宋体" w:cs="Times New Roman"/>
          <w:b/>
          <w:sz w:val="24"/>
          <w:vertAlign w:val="superscript"/>
        </w:rPr>
        <w:t>*</w:t>
      </w:r>
    </w:p>
    <w:p>
      <w:pPr>
        <w:jc w:val="left"/>
        <w:rPr>
          <w:rFonts w:ascii="Times New Roman" w:hAnsi="Times New Roman" w:eastAsia="宋体" w:cs="Times New Roman"/>
          <w:bCs/>
          <w:color w:val="000000"/>
          <w:sz w:val="24"/>
        </w:rPr>
      </w:pP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†These authors have contributed equally to this work and share first authorship</w:t>
      </w:r>
    </w:p>
    <w:p>
      <w:pPr>
        <w:jc w:val="left"/>
        <w:rPr>
          <w:rFonts w:ascii="Times New Roman" w:hAnsi="Times New Roman" w:eastAsia="宋体" w:cs="Times New Roman"/>
          <w:bCs/>
          <w:color w:val="000000"/>
          <w:sz w:val="24"/>
        </w:rPr>
      </w:pPr>
      <w:r>
        <w:rPr>
          <w:rFonts w:hint="eastAsia" w:ascii="Times New Roman" w:hAnsi="Times New Roman" w:eastAsia="宋体" w:cs="Times New Roman"/>
          <w:bCs/>
          <w:sz w:val="24"/>
          <w:vertAlign w:val="superscript"/>
        </w:rPr>
        <w:t>*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These authors have contributed equally to this work and share last authorship</w:t>
      </w:r>
    </w:p>
    <w:p>
      <w:pPr>
        <w:jc w:val="left"/>
        <w:rPr>
          <w:rFonts w:ascii="Times New Roman" w:hAnsi="Times New Roman" w:eastAsia="宋体" w:cs="Times New Roman"/>
          <w:b/>
          <w:color w:val="000000"/>
          <w:sz w:val="24"/>
        </w:rPr>
      </w:pPr>
      <w:r>
        <w:rPr>
          <w:rFonts w:ascii="Times New Roman" w:hAnsi="Times New Roman" w:eastAsia="宋体" w:cs="Times New Roman"/>
          <w:b/>
          <w:color w:val="000000"/>
          <w:sz w:val="24"/>
          <w:vertAlign w:val="superscript"/>
        </w:rPr>
        <w:t>*</w:t>
      </w:r>
      <w:r>
        <w:rPr>
          <w:rFonts w:ascii="Times New Roman" w:hAnsi="Times New Roman" w:eastAsia="宋体" w:cs="Times New Roman"/>
          <w:b/>
          <w:color w:val="000000"/>
          <w:sz w:val="24"/>
        </w:rPr>
        <w:t xml:space="preserve"> Correspondence: </w:t>
      </w:r>
    </w:p>
    <w:p>
      <w:pPr>
        <w:jc w:val="left"/>
        <w:rPr>
          <w:rFonts w:ascii="Times New Roman" w:hAnsi="Times New Roman" w:eastAsia="宋体" w:cs="Times New Roman"/>
          <w:bCs/>
          <w:color w:val="000000"/>
          <w:sz w:val="24"/>
        </w:rPr>
      </w:pPr>
      <w:r>
        <w:rPr>
          <w:rFonts w:ascii="Times New Roman" w:hAnsi="Times New Roman" w:eastAsia="宋体" w:cs="Times New Roman"/>
          <w:bCs/>
          <w:color w:val="000000"/>
          <w:sz w:val="24"/>
        </w:rPr>
        <w:t>Qingyu Liu</w:t>
      </w:r>
    </w:p>
    <w:p>
      <w:pPr>
        <w:jc w:val="left"/>
        <w:rPr>
          <w:rFonts w:ascii="Times New Roman" w:hAnsi="Times New Roman" w:eastAsia="宋体" w:cs="Times New Roman"/>
          <w:bCs/>
          <w:color w:val="000000"/>
          <w:sz w:val="24"/>
        </w:rPr>
      </w:pPr>
      <w:r>
        <w:fldChar w:fldCharType="begin"/>
      </w:r>
      <w:r>
        <w:instrText xml:space="preserve"> HYPERLINK "mailto:liu.qingyu@163.com" </w:instrText>
      </w:r>
      <w:r>
        <w:fldChar w:fldCharType="separate"/>
      </w:r>
      <w:r>
        <w:rPr>
          <w:rFonts w:ascii="Times New Roman" w:hAnsi="Times New Roman" w:eastAsia="宋体" w:cs="Times New Roman"/>
          <w:bCs/>
          <w:color w:val="000000"/>
          <w:sz w:val="24"/>
        </w:rPr>
        <w:t>liu.qingyu@163.com</w:t>
      </w:r>
      <w:r>
        <w:rPr>
          <w:rFonts w:ascii="Times New Roman" w:hAnsi="Times New Roman" w:eastAsia="宋体" w:cs="Times New Roman"/>
          <w:bCs/>
          <w:color w:val="000000"/>
          <w:sz w:val="24"/>
        </w:rPr>
        <w:fldChar w:fldCharType="end"/>
      </w:r>
    </w:p>
    <w:p>
      <w:pPr>
        <w:jc w:val="left"/>
        <w:rPr>
          <w:rFonts w:ascii="Times New Roman" w:hAnsi="Times New Roman" w:eastAsia="宋体" w:cs="Times New Roman"/>
          <w:bCs/>
          <w:color w:val="000000"/>
          <w:sz w:val="24"/>
        </w:rPr>
      </w:pPr>
      <w:r>
        <w:rPr>
          <w:rFonts w:ascii="Times New Roman" w:hAnsi="Times New Roman" w:eastAsia="宋体" w:cs="Times New Roman"/>
          <w:bCs/>
          <w:color w:val="000000"/>
          <w:sz w:val="24"/>
        </w:rPr>
        <w:t>Zhi</w:t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 xml:space="preserve">feng </w:t>
      </w:r>
      <w:r>
        <w:rPr>
          <w:rFonts w:ascii="Times New Roman" w:hAnsi="Times New Roman" w:eastAsia="宋体" w:cs="Times New Roman"/>
          <w:bCs/>
          <w:color w:val="000000"/>
          <w:sz w:val="24"/>
        </w:rPr>
        <w:t>Liu</w:t>
      </w:r>
    </w:p>
    <w:p>
      <w:pPr>
        <w:jc w:val="left"/>
        <w:rPr>
          <w:rFonts w:ascii="Times New Roman" w:hAnsi="Times New Roman" w:eastAsia="宋体" w:cs="Times New Roman"/>
          <w:bCs/>
          <w:color w:val="000000"/>
          <w:sz w:val="24"/>
        </w:rPr>
      </w:pPr>
      <w:r>
        <w:fldChar w:fldCharType="begin"/>
      </w:r>
      <w:r>
        <w:instrText xml:space="preserve"> HYPERLINK "mailto:liu.qingyu@163.com" </w:instrText>
      </w:r>
      <w:r>
        <w:fldChar w:fldCharType="separate"/>
      </w:r>
      <w:r>
        <w:rPr>
          <w:rFonts w:hint="eastAsia" w:ascii="Times New Roman" w:hAnsi="Times New Roman" w:eastAsia="宋体" w:cs="Times New Roman"/>
          <w:bCs/>
          <w:color w:val="000000"/>
          <w:sz w:val="24"/>
        </w:rPr>
        <w:t>13798168271</w:t>
      </w:r>
      <w:r>
        <w:rPr>
          <w:rFonts w:ascii="Times New Roman" w:hAnsi="Times New Roman" w:eastAsia="宋体" w:cs="Times New Roman"/>
          <w:bCs/>
          <w:color w:val="000000"/>
          <w:sz w:val="24"/>
        </w:rPr>
        <w:t>@163.com</w:t>
      </w:r>
      <w:r>
        <w:rPr>
          <w:rFonts w:ascii="Times New Roman" w:hAnsi="Times New Roman" w:eastAsia="宋体" w:cs="Times New Roman"/>
          <w:bCs/>
          <w:color w:val="000000"/>
          <w:sz w:val="24"/>
        </w:rPr>
        <w:fldChar w:fldCharType="end"/>
      </w:r>
    </w:p>
    <w:p>
      <w:pPr>
        <w:jc w:val="left"/>
        <w:rPr>
          <w:rFonts w:ascii="Times New Roman" w:hAnsi="Times New Roman" w:eastAsia="宋体" w:cs="Times New Roman"/>
          <w:bCs/>
          <w:color w:val="000000"/>
          <w:sz w:val="24"/>
        </w:rPr>
      </w:pPr>
    </w:p>
    <w:p>
      <w:pPr>
        <w:numPr>
          <w:ilvl w:val="0"/>
          <w:numId w:val="1"/>
        </w:numPr>
        <w:spacing w:before="240" w:after="240" w:line="240" w:lineRule="auto"/>
        <w:contextualSpacing w:val="0"/>
        <w:outlineLvl w:val="0"/>
        <w:rPr>
          <w:rFonts w:ascii="Times New Roman" w:hAnsi="Times New Roman" w:eastAsia="Cambria" w:cs="Times New Roman"/>
          <w:b/>
          <w:sz w:val="24"/>
          <w:szCs w:val="24"/>
          <w:lang w:val="en-US" w:eastAsia="en-US" w:bidi="ar-SA"/>
        </w:rPr>
      </w:pPr>
      <w:r>
        <w:rPr>
          <w:rFonts w:ascii="Times New Roman" w:hAnsi="Times New Roman" w:eastAsia="Cambria" w:cs="Times New Roman"/>
          <w:b/>
          <w:sz w:val="24"/>
          <w:szCs w:val="24"/>
          <w:lang w:val="en-US" w:eastAsia="en-US" w:bidi="ar-SA"/>
        </w:rPr>
        <w:t>Supplementary Figures and Tables</w:t>
      </w:r>
    </w:p>
    <w:p>
      <w:pPr>
        <w:numPr>
          <w:ilvl w:val="1"/>
          <w:numId w:val="1"/>
        </w:numPr>
        <w:spacing w:before="240" w:after="200" w:line="240" w:lineRule="auto"/>
        <w:contextualSpacing w:val="0"/>
        <w:outlineLvl w:val="1"/>
        <w:rPr>
          <w:rFonts w:ascii="Times New Roman" w:hAnsi="Times New Roman" w:eastAsia="宋体" w:cs="Times New Roman"/>
          <w:bCs/>
          <w:color w:val="000000"/>
          <w:sz w:val="24"/>
        </w:rPr>
      </w:pPr>
      <w:r>
        <w:rPr>
          <w:rFonts w:ascii="Times New Roman" w:hAnsi="Times New Roman" w:eastAsia="Cambria" w:cs="Times New Roman"/>
          <w:b/>
          <w:sz w:val="24"/>
          <w:szCs w:val="24"/>
          <w:lang w:val="en-US" w:eastAsia="en-US" w:bidi="ar-SA"/>
        </w:rPr>
        <w:t>Supplementary Figures</w:t>
      </w: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Supplementary Figure </w:t>
      </w:r>
      <w:r>
        <w:rPr>
          <w:rFonts w:hint="default" w:ascii="Times New Roman" w:hAnsi="Times New Roman" w:cs="Times New Roman"/>
          <w:b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b/>
          <w:sz w:val="24"/>
          <w:szCs w:val="24"/>
        </w:rPr>
        <w:instrText xml:space="preserve"> SEQ Figure \* ARABIC </w:instrText>
      </w:r>
      <w:r>
        <w:rPr>
          <w:rFonts w:hint="default" w:ascii="Times New Roman" w:hAnsi="Times New Roman" w:cs="Times New Roman"/>
          <w:b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b/>
          <w:sz w:val="24"/>
          <w:szCs w:val="24"/>
        </w:rPr>
        <w:t>1</w:t>
      </w:r>
      <w:r>
        <w:rPr>
          <w:rFonts w:hint="default" w:ascii="Times New Roman" w:hAnsi="Times New Roman" w:cs="Times New Roman"/>
          <w:b/>
          <w:sz w:val="24"/>
          <w:szCs w:val="24"/>
        </w:rPr>
        <w:fldChar w:fldCharType="end"/>
      </w:r>
      <w:r>
        <w:rPr>
          <w:rFonts w:hint="default" w:ascii="Times New Roman" w:hAnsi="Times New Roman" w:cs="Times New Roman"/>
          <w:b/>
          <w:sz w:val="24"/>
          <w:szCs w:val="24"/>
        </w:rPr>
        <w:t>.</w:t>
      </w:r>
      <w:r>
        <w:rPr>
          <w:rFonts w:hint="default" w:ascii="Times New Roman" w:hAnsi="Times New Roman" w:cs="Times New Roman"/>
          <w:b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Construction and Performance of the radiomics signature.</w:t>
      </w:r>
      <w:r>
        <w:rPr>
          <w:rFonts w:hint="default" w:ascii="Times New Roman" w:hAnsi="Times New Roman" w:cs="Times New Roman"/>
          <w:sz w:val="24"/>
          <w:szCs w:val="24"/>
        </w:rPr>
        <w:t xml:space="preserve"> (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sz w:val="24"/>
          <w:szCs w:val="24"/>
        </w:rPr>
        <w:t>,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sz w:val="24"/>
          <w:szCs w:val="24"/>
        </w:rPr>
        <w:t>) Radiomics feature selection using least absolute shrinkage and selection operator(LASSO) logistic regression. (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a</w:t>
      </w:r>
      <w:r>
        <w:rPr>
          <w:rFonts w:hint="default" w:ascii="Times New Roman" w:hAnsi="Times New Roman" w:cs="Times New Roman"/>
          <w:sz w:val="24"/>
          <w:szCs w:val="24"/>
        </w:rPr>
        <w:t>) Selection of the tuning parameter (λ). (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cs="Times New Roman"/>
          <w:sz w:val="24"/>
          <w:szCs w:val="24"/>
        </w:rPr>
        <w:t>) LASSO coefficient profiles of the 514 radiomics features. (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cs="Times New Roman"/>
          <w:sz w:val="24"/>
          <w:szCs w:val="24"/>
        </w:rPr>
        <w:t>) Waterfall plot for the distribution of radiomics score and two groups of individual patients in all enrolled patients.</w:t>
      </w: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numPr>
          <w:ilvl w:val="1"/>
          <w:numId w:val="1"/>
        </w:numPr>
        <w:spacing w:before="240" w:after="200" w:line="240" w:lineRule="auto"/>
        <w:contextualSpacing w:val="0"/>
        <w:outlineLvl w:val="1"/>
        <w:rPr>
          <w:rFonts w:ascii="Times New Roman" w:hAnsi="Times New Roman" w:eastAsia="宋体" w:cs="Times New Roman"/>
          <w:bCs/>
          <w:color w:val="000000"/>
          <w:sz w:val="24"/>
        </w:rPr>
      </w:pPr>
      <w:r>
        <w:rPr>
          <w:rFonts w:ascii="Times New Roman" w:hAnsi="Times New Roman" w:eastAsia="Cambria" w:cs="Times New Roman"/>
          <w:b/>
          <w:sz w:val="24"/>
          <w:szCs w:val="24"/>
          <w:lang w:val="en-US" w:eastAsia="en-US" w:bidi="ar-SA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 w:bidi="ar-SA"/>
        </w:rPr>
        <w:t>Table</w:t>
      </w:r>
      <w:r>
        <w:rPr>
          <w:rFonts w:ascii="Times New Roman" w:hAnsi="Times New Roman" w:eastAsia="Cambria" w:cs="Times New Roman"/>
          <w:b/>
          <w:sz w:val="24"/>
          <w:szCs w:val="24"/>
          <w:lang w:val="en-US" w:eastAsia="en-US" w:bidi="ar-SA"/>
        </w:rPr>
        <w:t>s</w:t>
      </w:r>
    </w:p>
    <w:p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Cambria" w:cs="Times New Roman"/>
          <w:b/>
          <w:sz w:val="24"/>
          <w:szCs w:val="24"/>
          <w:lang w:val="en-US" w:eastAsia="en-US" w:bidi="ar-SA"/>
        </w:rPr>
        <w:t>Supplementary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 w:bidi="ar-SA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</w:rPr>
        <w:t>1</w:t>
      </w:r>
      <w:r>
        <w:rPr>
          <w:rFonts w:ascii="Times New Roman" w:hAnsi="Times New Roman" w:cs="Times New Roman"/>
          <w:sz w:val="24"/>
        </w:rPr>
        <w:t>:</w:t>
      </w:r>
      <w:r>
        <w:rPr>
          <w:rFonts w:hint="eastAsia" w:ascii="Times New Roman" w:hAnsi="Times New Roman" w:cs="Times New Roman"/>
          <w:sz w:val="24"/>
        </w:rPr>
        <w:t xml:space="preserve"> </w:t>
      </w:r>
      <w:bookmarkStart w:id="0" w:name="_GoBack"/>
      <w:r>
        <w:rPr>
          <w:rFonts w:ascii="Times New Roman" w:hAnsi="Times New Roman" w:eastAsia="宋体" w:cs="Times New Roman"/>
          <w:kern w:val="0"/>
          <w:sz w:val="24"/>
        </w:rPr>
        <w:t xml:space="preserve">Details of parameters for 1.5 Tesla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T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1-w </w:t>
      </w:r>
      <w:r>
        <w:rPr>
          <w:rFonts w:ascii="Times New Roman" w:hAnsi="Times New Roman" w:eastAsia="宋体" w:cs="Times New Roman"/>
          <w:kern w:val="0"/>
          <w:sz w:val="24"/>
        </w:rPr>
        <w:t>MRI imaging protocols</w:t>
      </w:r>
    </w:p>
    <w:bookmarkEnd w:id="0"/>
    <w:tbl>
      <w:tblPr>
        <w:tblStyle w:val="5"/>
        <w:tblW w:w="72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6"/>
        <w:gridCol w:w="2117"/>
        <w:gridCol w:w="21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 w:val="0"/>
              <w:spacing w:after="160" w:line="259" w:lineRule="auto"/>
              <w:jc w:val="righ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>Parameters</w:t>
            </w:r>
          </w:p>
        </w:tc>
        <w:tc>
          <w:tcPr>
            <w:tcW w:w="21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 w:val="0"/>
              <w:spacing w:after="160" w:line="259" w:lineRule="auto"/>
              <w:ind w:right="-113" w:rightChars="-54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the Fourth Affiliated Hospital of Guangzhou Medical University</w:t>
            </w:r>
          </w:p>
        </w:tc>
        <w:tc>
          <w:tcPr>
            <w:tcW w:w="21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widowControl w:val="0"/>
              <w:spacing w:after="160" w:line="259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>Huizhou Central People’s Hospital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6" w:type="dxa"/>
            <w:tcBorders>
              <w:top w:val="single" w:color="auto" w:sz="4" w:space="0"/>
              <w:bottom w:val="nil"/>
            </w:tcBorders>
          </w:tcPr>
          <w:p>
            <w:pPr>
              <w:widowControl w:val="0"/>
              <w:spacing w:after="160" w:line="259" w:lineRule="auto"/>
              <w:jc w:val="righ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>Scanner</w:t>
            </w:r>
          </w:p>
        </w:tc>
        <w:tc>
          <w:tcPr>
            <w:tcW w:w="2117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widowControl w:val="0"/>
              <w:spacing w:after="160" w:line="259" w:lineRule="auto"/>
              <w:ind w:right="-113" w:rightChars="-54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GE (Signa HDi)</w:t>
            </w:r>
          </w:p>
        </w:tc>
        <w:tc>
          <w:tcPr>
            <w:tcW w:w="2117" w:type="dxa"/>
            <w:tcBorders>
              <w:top w:val="single" w:color="auto" w:sz="4" w:space="0"/>
              <w:bottom w:val="nil"/>
            </w:tcBorders>
            <w:vAlign w:val="center"/>
          </w:tcPr>
          <w:p>
            <w:pPr>
              <w:widowControl w:val="0"/>
              <w:spacing w:after="160" w:line="259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Philips (Multiva)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6" w:type="dxa"/>
            <w:tcBorders>
              <w:top w:val="nil"/>
            </w:tcBorders>
          </w:tcPr>
          <w:p>
            <w:pPr>
              <w:widowControl w:val="0"/>
              <w:spacing w:after="160" w:line="259" w:lineRule="auto"/>
              <w:jc w:val="righ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>Repetition / echo time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>(msec)</w:t>
            </w:r>
          </w:p>
        </w:tc>
        <w:tc>
          <w:tcPr>
            <w:tcW w:w="2117" w:type="dxa"/>
            <w:tcBorders>
              <w:top w:val="nil"/>
            </w:tcBorders>
            <w:vAlign w:val="center"/>
          </w:tcPr>
          <w:p>
            <w:pPr>
              <w:widowControl w:val="0"/>
              <w:spacing w:after="160" w:line="259" w:lineRule="auto"/>
              <w:ind w:right="-113" w:rightChars="-54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450/8.2</w:t>
            </w:r>
          </w:p>
        </w:tc>
        <w:tc>
          <w:tcPr>
            <w:tcW w:w="2117" w:type="dxa"/>
            <w:tcBorders>
              <w:top w:val="nil"/>
            </w:tcBorders>
            <w:vAlign w:val="center"/>
          </w:tcPr>
          <w:p>
            <w:pPr>
              <w:widowControl w:val="0"/>
              <w:spacing w:after="160" w:line="259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384/7.4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6" w:type="dxa"/>
          </w:tcPr>
          <w:p>
            <w:pPr>
              <w:widowControl w:val="0"/>
              <w:wordWrap w:val="0"/>
              <w:spacing w:after="160" w:line="259" w:lineRule="auto"/>
              <w:jc w:val="righ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>Sequence</w:t>
            </w:r>
          </w:p>
        </w:tc>
        <w:tc>
          <w:tcPr>
            <w:tcW w:w="2117" w:type="dxa"/>
            <w:vAlign w:val="center"/>
          </w:tcPr>
          <w:p>
            <w:pPr>
              <w:widowControl w:val="0"/>
              <w:spacing w:after="160" w:line="259" w:lineRule="auto"/>
              <w:ind w:right="-113" w:rightChars="-54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TSE</w:t>
            </w:r>
          </w:p>
        </w:tc>
        <w:tc>
          <w:tcPr>
            <w:tcW w:w="2117" w:type="dxa"/>
            <w:vAlign w:val="center"/>
          </w:tcPr>
          <w:p>
            <w:pPr>
              <w:widowControl w:val="0"/>
              <w:spacing w:after="160" w:line="259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TSE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6" w:type="dxa"/>
          </w:tcPr>
          <w:p>
            <w:pPr>
              <w:widowControl w:val="0"/>
              <w:wordWrap w:val="0"/>
              <w:spacing w:after="160" w:line="259" w:lineRule="auto"/>
              <w:jc w:val="righ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>Bandwidth (Hz)</w:t>
            </w:r>
          </w:p>
        </w:tc>
        <w:tc>
          <w:tcPr>
            <w:tcW w:w="2117" w:type="dxa"/>
            <w:vAlign w:val="center"/>
          </w:tcPr>
          <w:p>
            <w:pPr>
              <w:widowControl w:val="0"/>
              <w:spacing w:after="160" w:line="259" w:lineRule="auto"/>
              <w:ind w:right="-113" w:rightChars="-54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2117" w:type="dxa"/>
            <w:vAlign w:val="center"/>
          </w:tcPr>
          <w:p>
            <w:pPr>
              <w:widowControl w:val="0"/>
              <w:spacing w:after="160" w:line="259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231.5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6" w:type="dxa"/>
          </w:tcPr>
          <w:p>
            <w:pPr>
              <w:widowControl w:val="0"/>
              <w:spacing w:after="160" w:line="259" w:lineRule="auto"/>
              <w:jc w:val="righ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>Thickness(mm)</w:t>
            </w:r>
          </w:p>
        </w:tc>
        <w:tc>
          <w:tcPr>
            <w:tcW w:w="2117" w:type="dxa"/>
            <w:vAlign w:val="center"/>
          </w:tcPr>
          <w:p>
            <w:pPr>
              <w:widowControl w:val="0"/>
              <w:spacing w:after="160" w:line="259" w:lineRule="auto"/>
              <w:ind w:right="-113" w:rightChars="-54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117" w:type="dxa"/>
            <w:vAlign w:val="center"/>
          </w:tcPr>
          <w:p>
            <w:pPr>
              <w:widowControl w:val="0"/>
              <w:spacing w:after="160" w:line="259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6" w:type="dxa"/>
          </w:tcPr>
          <w:p>
            <w:pPr>
              <w:widowControl w:val="0"/>
              <w:spacing w:after="160" w:line="259" w:lineRule="auto"/>
              <w:jc w:val="righ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>Gap(mm)</w:t>
            </w:r>
          </w:p>
        </w:tc>
        <w:tc>
          <w:tcPr>
            <w:tcW w:w="2117" w:type="dxa"/>
            <w:vAlign w:val="center"/>
          </w:tcPr>
          <w:p>
            <w:pPr>
              <w:widowControl w:val="0"/>
              <w:spacing w:after="160" w:line="259" w:lineRule="auto"/>
              <w:ind w:right="-113" w:rightChars="-54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0.5</w:t>
            </w:r>
          </w:p>
        </w:tc>
        <w:tc>
          <w:tcPr>
            <w:tcW w:w="2117" w:type="dxa"/>
            <w:vAlign w:val="center"/>
          </w:tcPr>
          <w:p>
            <w:pPr>
              <w:widowControl w:val="0"/>
              <w:spacing w:after="160" w:line="259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0.8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6" w:type="dxa"/>
          </w:tcPr>
          <w:p>
            <w:pPr>
              <w:widowControl w:val="0"/>
              <w:spacing w:after="160" w:line="259" w:lineRule="auto"/>
              <w:jc w:val="righ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>Field of view (mm)</w:t>
            </w:r>
          </w:p>
        </w:tc>
        <w:tc>
          <w:tcPr>
            <w:tcW w:w="2117" w:type="dxa"/>
            <w:vAlign w:val="center"/>
          </w:tcPr>
          <w:p>
            <w:pPr>
              <w:widowControl w:val="0"/>
              <w:spacing w:after="160" w:line="259" w:lineRule="auto"/>
              <w:ind w:right="-113" w:rightChars="-54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300</w:t>
            </w:r>
          </w:p>
        </w:tc>
        <w:tc>
          <w:tcPr>
            <w:tcW w:w="2117" w:type="dxa"/>
            <w:vAlign w:val="center"/>
          </w:tcPr>
          <w:p>
            <w:pPr>
              <w:widowControl w:val="0"/>
              <w:spacing w:after="160" w:line="259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342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6" w:type="dxa"/>
          </w:tcPr>
          <w:p>
            <w:pPr>
              <w:widowControl w:val="0"/>
              <w:spacing w:after="160" w:line="259" w:lineRule="auto"/>
              <w:jc w:val="righ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 xml:space="preserve">Voxel size(mm) </w:t>
            </w:r>
          </w:p>
        </w:tc>
        <w:tc>
          <w:tcPr>
            <w:tcW w:w="2117" w:type="dxa"/>
            <w:vAlign w:val="center"/>
          </w:tcPr>
          <w:p>
            <w:pPr>
              <w:widowControl w:val="0"/>
              <w:spacing w:after="160" w:line="259" w:lineRule="auto"/>
              <w:ind w:right="-113" w:rightChars="-54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0.9×1.3×4.0</w:t>
            </w:r>
          </w:p>
        </w:tc>
        <w:tc>
          <w:tcPr>
            <w:tcW w:w="2117" w:type="dxa"/>
            <w:vAlign w:val="center"/>
          </w:tcPr>
          <w:p>
            <w:pPr>
              <w:widowControl w:val="0"/>
              <w:spacing w:after="160" w:line="259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0.9×1.3×4.0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26" w:type="dxa"/>
            <w:tcBorders>
              <w:bottom w:val="single" w:color="auto" w:sz="4" w:space="0"/>
            </w:tcBorders>
          </w:tcPr>
          <w:p>
            <w:pPr>
              <w:widowControl w:val="0"/>
              <w:spacing w:after="160" w:line="259" w:lineRule="auto"/>
              <w:jc w:val="right"/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2"/>
              </w:rPr>
              <w:t>Flip angle (degrees)</w:t>
            </w:r>
          </w:p>
        </w:tc>
        <w:tc>
          <w:tcPr>
            <w:tcW w:w="2117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after="160" w:line="259" w:lineRule="auto"/>
              <w:ind w:right="-113" w:rightChars="-54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2117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after="160" w:line="259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/>
              </w:rPr>
              <w:t>90</w:t>
            </w:r>
          </w:p>
        </w:tc>
      </w:tr>
    </w:tbl>
    <w:p>
      <w:pPr>
        <w:jc w:val="left"/>
        <w:rPr>
          <w:rFonts w:ascii="Times New Roman" w:hAnsi="Times New Roman" w:cs="Times New Roman"/>
          <w:b/>
          <w:bCs/>
          <w:sz w:val="24"/>
        </w:rPr>
      </w:pPr>
    </w:p>
    <w:p>
      <w:pPr>
        <w:jc w:val="left"/>
        <w:rPr>
          <w:rFonts w:ascii="Times New Roman" w:hAnsi="Times New Roman" w:cs="Times New Roman"/>
          <w:b/>
          <w:bCs/>
          <w:sz w:val="24"/>
        </w:rPr>
      </w:pPr>
    </w:p>
    <w:p>
      <w:pPr>
        <w:jc w:val="lef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eastAsia="Cambria" w:cs="Times New Roman"/>
          <w:b/>
          <w:sz w:val="24"/>
          <w:szCs w:val="24"/>
          <w:lang w:val="en-US" w:eastAsia="en-US" w:bidi="ar-SA"/>
        </w:rPr>
        <w:t>Supplementary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 w:bidi="ar-SA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2</w:t>
      </w:r>
      <w:r>
        <w:rPr>
          <w:rFonts w:ascii="Times New Roman" w:hAnsi="Times New Roman" w:cs="Times New Roman"/>
          <w:sz w:val="24"/>
        </w:rPr>
        <w:t>: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Radiomic</w:t>
      </w:r>
      <w:r>
        <w:rPr>
          <w:rFonts w:hint="eastAsia"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feature</w:t>
      </w:r>
      <w:r>
        <w:rPr>
          <w:rFonts w:hint="eastAsia"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final selected by lasso regression and the coefficient to develop the radiomic</w:t>
      </w:r>
      <w:r>
        <w:rPr>
          <w:rFonts w:hint="eastAsia"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signature</w:t>
      </w:r>
    </w:p>
    <w:tbl>
      <w:tblPr>
        <w:tblStyle w:val="3"/>
        <w:tblW w:w="88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85"/>
        <w:gridCol w:w="24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8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Features</w:t>
            </w:r>
          </w:p>
        </w:tc>
        <w:tc>
          <w:tcPr>
            <w:tcW w:w="24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  <w:t>Coefficient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8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log-sigma-2-0-mm-3D_firstorder_Kurtosis</w:t>
            </w:r>
          </w:p>
        </w:tc>
        <w:tc>
          <w:tcPr>
            <w:tcW w:w="243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0.02114282400065759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log-sigma-3-0-mm-3D_glcm_Imc1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0.718705787701447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log-sigma-3-0-mm-3D_glcm_Imc2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-3.3164866553510395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log-sigma-3-0-mm-3D_glrlm_ShortRunLowGrayLevelEmphasis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-2.4684337724724874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log-sigma-4-0-mm-3D_glcm_InverseVariance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-3.776064384418479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log-sigma-5-0-mm-3D_glszm_GrayLevelNonUniformityNormalized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-1.5206950925170246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wavelet-HLH_glcm_MaximumProbability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-2.6138932746338672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wavelet-HHL_glcm_InverseVariance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-5.768992138656398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wavelet-HHL_glrlm_RunEntropy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0.04027520082662116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wavelet-HHL_glszm_SizeZoneNonUniformityNormalized</w:t>
            </w:r>
          </w:p>
        </w:tc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0.027990962009973815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8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Intercept（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β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243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9.271788199732192</w:t>
            </w:r>
          </w:p>
        </w:tc>
      </w:tr>
    </w:tbl>
    <w:p>
      <w:pPr>
        <w:jc w:val="left"/>
        <w:rPr>
          <w:rFonts w:ascii="Times New Roman" w:hAnsi="Times New Roman" w:cs="Times New Roman"/>
          <w:sz w:val="24"/>
        </w:rPr>
      </w:pPr>
    </w:p>
    <w:p>
      <w:pPr>
        <w:numPr>
          <w:ilvl w:val="0"/>
          <w:numId w:val="0"/>
        </w:numPr>
        <w:spacing w:before="240" w:after="200" w:line="240" w:lineRule="auto"/>
        <w:ind w:leftChars="0"/>
        <w:contextualSpacing w:val="0"/>
        <w:outlineLvl w:val="1"/>
        <w:rPr>
          <w:rFonts w:ascii="Times New Roman" w:hAnsi="Times New Roman" w:eastAsia="宋体" w:cs="Times New Roman"/>
          <w:bCs/>
          <w:color w:val="000000"/>
          <w:sz w:val="24"/>
        </w:rPr>
      </w:pPr>
    </w:p>
    <w:p>
      <w:pPr>
        <w:jc w:val="left"/>
        <w:rPr>
          <w:rFonts w:hint="default"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0601A"/>
    <w:multiLevelType w:val="multilevel"/>
    <w:tmpl w:val="1EC0601A"/>
    <w:lvl w:ilvl="0" w:tentative="0">
      <w:start w:val="1"/>
      <w:numFmt w:val="decimal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jODM5MmNmOTkxMjU0ZDlkYzE0MWQ5MDViNTY1YzMifQ=="/>
  </w:docVars>
  <w:rsids>
    <w:rsidRoot w:val="00000000"/>
    <w:rsid w:val="12482CD3"/>
    <w:rsid w:val="1E5B64F1"/>
    <w:rsid w:val="25F97811"/>
    <w:rsid w:val="265904C2"/>
    <w:rsid w:val="389E4425"/>
    <w:rsid w:val="3E6A1E9A"/>
    <w:rsid w:val="53754695"/>
    <w:rsid w:val="60483AFC"/>
    <w:rsid w:val="6520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Table Grid1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246</Words>
  <Characters>1993</Characters>
  <Lines>0</Lines>
  <Paragraphs>0</Paragraphs>
  <TotalTime>1</TotalTime>
  <ScaleCrop>false</ScaleCrop>
  <LinksUpToDate>false</LinksUpToDate>
  <CharactersWithSpaces>2168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2022-12-06T06:24:00Z</dcterms:created>
  <dc:creator>阳仔</dc:creator>
  <cp:lastModifiedBy>阳仔</cp:lastModifiedBy>
  <dcterms:modified xsi:type="dcterms:W3CDTF">2023-04-28T07:12:23Z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B1606C8287754B9F97C25562C9EEC5D3</vt:lpwstr>
  </property>
</Properties>
</file>