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E0CD3" w14:textId="16CADAC4" w:rsidR="008846F4" w:rsidRPr="00C643EB" w:rsidRDefault="00920B68" w:rsidP="00C643EB">
      <w:pPr>
        <w:spacing w:line="360" w:lineRule="auto"/>
        <w:ind w:right="-2529"/>
        <w:rPr>
          <w:rStyle w:val="nfase"/>
          <w:b/>
          <w:bCs/>
          <w:i w:val="0"/>
          <w:iCs w:val="0"/>
          <w:szCs w:val="24"/>
          <w:lang w:val="en-US"/>
        </w:rPr>
      </w:pPr>
      <w:bookmarkStart w:id="0" w:name="_Hlk122599824"/>
      <w:r>
        <w:rPr>
          <w:rStyle w:val="nfase"/>
          <w:b/>
          <w:bCs/>
          <w:i w:val="0"/>
          <w:iCs w:val="0"/>
          <w:szCs w:val="24"/>
          <w:lang w:val="en-US"/>
        </w:rPr>
        <w:t>Supplementary file</w:t>
      </w:r>
      <w:r w:rsidR="004D7653" w:rsidRPr="004D7653">
        <w:rPr>
          <w:rStyle w:val="nfase"/>
          <w:b/>
          <w:bCs/>
          <w:i w:val="0"/>
          <w:iCs w:val="0"/>
          <w:szCs w:val="24"/>
          <w:lang w:val="en-US"/>
        </w:rPr>
        <w:t xml:space="preserve"> </w:t>
      </w:r>
      <w:r w:rsidR="003436AD">
        <w:rPr>
          <w:rStyle w:val="nfase"/>
          <w:b/>
          <w:bCs/>
          <w:i w:val="0"/>
          <w:iCs w:val="0"/>
          <w:szCs w:val="24"/>
          <w:lang w:val="en-US"/>
        </w:rPr>
        <w:t>6</w:t>
      </w:r>
      <w:r w:rsidR="008C3B8E" w:rsidRPr="00927083">
        <w:rPr>
          <w:rStyle w:val="nfase"/>
          <w:b/>
          <w:bCs/>
          <w:i w:val="0"/>
          <w:iCs w:val="0"/>
          <w:szCs w:val="24"/>
          <w:lang w:val="en-US"/>
        </w:rPr>
        <w:t xml:space="preserve">. </w:t>
      </w:r>
      <w:r w:rsidR="00927083" w:rsidRPr="00927083">
        <w:rPr>
          <w:b/>
          <w:bCs/>
          <w:szCs w:val="24"/>
          <w:lang w:val="en-US"/>
        </w:rPr>
        <w:t xml:space="preserve">Final list of </w:t>
      </w:r>
      <w:r w:rsidR="008C3B8E" w:rsidRPr="00927083">
        <w:rPr>
          <w:b/>
          <w:bCs/>
          <w:szCs w:val="24"/>
          <w:lang w:val="en-US"/>
        </w:rPr>
        <w:t xml:space="preserve">panel members' group </w:t>
      </w:r>
      <w:bookmarkEnd w:id="0"/>
      <w:r w:rsidR="00927083" w:rsidRPr="00927083">
        <w:rPr>
          <w:b/>
          <w:bCs/>
          <w:szCs w:val="24"/>
          <w:lang w:val="en-US"/>
        </w:rPr>
        <w:t>rating agreement on telehealth research priorities</w:t>
      </w:r>
    </w:p>
    <w:p w14:paraId="4C653ADB" w14:textId="170CCEEB" w:rsidR="00DF6412" w:rsidRDefault="00DF6412" w:rsidP="00DF6412">
      <w:pPr>
        <w:spacing w:line="240" w:lineRule="auto"/>
        <w:ind w:right="-2529"/>
        <w:rPr>
          <w:noProof/>
          <w:lang w:val="en-US"/>
        </w:rPr>
      </w:pPr>
    </w:p>
    <w:p w14:paraId="58582C49" w14:textId="07558503" w:rsidR="003C1D90" w:rsidRPr="003C1D90" w:rsidRDefault="003C1D90" w:rsidP="00DF6412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6DC7F81" wp14:editId="6DB3AFF5">
            <wp:extent cx="6479540" cy="4924425"/>
            <wp:effectExtent l="0" t="0" r="0" b="0"/>
            <wp:docPr id="61009408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E4D507B-E72C-2104-614D-698BAF23EE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F5FF602" w14:textId="689FBBD6" w:rsidR="005D2CDD" w:rsidRPr="003C1D90" w:rsidRDefault="00920B68" w:rsidP="003C1D90">
      <w:pPr>
        <w:spacing w:line="24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4D7653" w:rsidRPr="004D7653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436AD">
        <w:rPr>
          <w:rStyle w:val="nfase"/>
          <w:b/>
          <w:bCs/>
          <w:i w:val="0"/>
          <w:iCs w:val="0"/>
          <w:sz w:val="20"/>
          <w:szCs w:val="20"/>
          <w:lang w:val="en-US"/>
        </w:rPr>
        <w:t>6</w:t>
      </w:r>
      <w:r w:rsidR="00E454F8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8C3B8E">
        <w:rPr>
          <w:b/>
          <w:bCs/>
          <w:sz w:val="20"/>
          <w:szCs w:val="20"/>
          <w:lang w:val="en-AU"/>
        </w:rPr>
        <w:t>A</w:t>
      </w:r>
      <w:r w:rsidR="00DF6412" w:rsidRPr="00B013D5">
        <w:rPr>
          <w:b/>
          <w:bCs/>
          <w:sz w:val="20"/>
          <w:szCs w:val="20"/>
          <w:lang w:val="en-US"/>
        </w:rPr>
        <w:t xml:space="preserve">. </w:t>
      </w:r>
      <w:r w:rsidR="00361DBA" w:rsidRPr="00361DBA">
        <w:rPr>
          <w:b/>
          <w:bCs/>
          <w:sz w:val="20"/>
          <w:szCs w:val="20"/>
          <w:lang w:val="en-US"/>
        </w:rPr>
        <w:t>Final list of panel members' rating agreement level in percent on telehealth research priorities ranked from highest to lowest</w:t>
      </w:r>
      <w:r w:rsidR="00DF6412" w:rsidRPr="00B013D5">
        <w:rPr>
          <w:b/>
          <w:bCs/>
          <w:sz w:val="20"/>
          <w:szCs w:val="20"/>
          <w:lang w:val="en-US"/>
        </w:rPr>
        <w:t>.</w:t>
      </w:r>
    </w:p>
    <w:p w14:paraId="361781B6" w14:textId="77777777" w:rsidR="00DF6412" w:rsidRDefault="00DF6412" w:rsidP="00EE494D">
      <w:pPr>
        <w:rPr>
          <w:rStyle w:val="nfase"/>
          <w:b/>
          <w:bCs/>
          <w:i w:val="0"/>
          <w:iCs w:val="0"/>
          <w:lang w:val="en-US"/>
        </w:rPr>
      </w:pPr>
    </w:p>
    <w:p w14:paraId="134318BC" w14:textId="04165EAD" w:rsidR="003C1D90" w:rsidRDefault="003C1D90" w:rsidP="00EE494D">
      <w:pPr>
        <w:rPr>
          <w:rStyle w:val="nfase"/>
          <w:b/>
          <w:bCs/>
          <w:i w:val="0"/>
          <w:iCs w:val="0"/>
          <w:lang w:val="en-US"/>
        </w:rPr>
        <w:sectPr w:rsidR="003C1D90" w:rsidSect="008846F4">
          <w:headerReference w:type="default" r:id="rId9"/>
          <w:footerReference w:type="default" r:id="rId10"/>
          <w:pgSz w:w="16840" w:h="11907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p w14:paraId="496F38E0" w14:textId="7A6E8070" w:rsidR="00361DBA" w:rsidRDefault="007D4E59" w:rsidP="00361DBA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7C423268" wp14:editId="1294CB60">
            <wp:extent cx="8460000" cy="4680000"/>
            <wp:effectExtent l="0" t="0" r="0" b="6350"/>
            <wp:docPr id="178078938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7053A42-F51E-4DA1-9541-039DAD5B87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82A180D" w14:textId="6B5F248B" w:rsidR="00361DBA" w:rsidRPr="002122D8" w:rsidRDefault="00920B68" w:rsidP="00361DBA">
      <w:pPr>
        <w:spacing w:line="24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4D7653" w:rsidRPr="004D7653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436AD">
        <w:rPr>
          <w:rStyle w:val="nfase"/>
          <w:b/>
          <w:bCs/>
          <w:i w:val="0"/>
          <w:iCs w:val="0"/>
          <w:sz w:val="20"/>
          <w:szCs w:val="20"/>
          <w:lang w:val="en-US"/>
        </w:rPr>
        <w:t>6</w:t>
      </w:r>
      <w:r w:rsidR="00E454F8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8C3B8E">
        <w:rPr>
          <w:b/>
          <w:bCs/>
          <w:sz w:val="20"/>
          <w:szCs w:val="20"/>
          <w:lang w:val="en-AU"/>
        </w:rPr>
        <w:t>B</w:t>
      </w:r>
      <w:r w:rsidR="00361DBA" w:rsidRPr="00B013D5">
        <w:rPr>
          <w:b/>
          <w:bCs/>
          <w:sz w:val="20"/>
          <w:szCs w:val="20"/>
          <w:lang w:val="en-US"/>
        </w:rPr>
        <w:t xml:space="preserve">. </w:t>
      </w:r>
      <w:r w:rsidR="00361DBA" w:rsidRPr="00361DBA">
        <w:rPr>
          <w:b/>
          <w:bCs/>
          <w:sz w:val="20"/>
          <w:szCs w:val="20"/>
          <w:lang w:val="en-US"/>
        </w:rPr>
        <w:t xml:space="preserve">Final list of panel members' rating </w:t>
      </w:r>
      <w:r w:rsidR="00361DBA">
        <w:rPr>
          <w:b/>
          <w:bCs/>
          <w:sz w:val="20"/>
          <w:szCs w:val="20"/>
          <w:lang w:val="en-US"/>
        </w:rPr>
        <w:t xml:space="preserve">group rating </w:t>
      </w:r>
      <w:r w:rsidR="00361DBA" w:rsidRPr="00361DBA">
        <w:rPr>
          <w:b/>
          <w:bCs/>
          <w:sz w:val="20"/>
          <w:szCs w:val="20"/>
          <w:lang w:val="en-US"/>
        </w:rPr>
        <w:t>agreement level in percent on telehealth research priorities ranked from highest to lowest</w:t>
      </w:r>
      <w:r w:rsidR="00361DBA" w:rsidRPr="00B013D5">
        <w:rPr>
          <w:b/>
          <w:bCs/>
          <w:sz w:val="20"/>
          <w:szCs w:val="20"/>
          <w:lang w:val="en-US"/>
        </w:rPr>
        <w:t>.</w:t>
      </w:r>
    </w:p>
    <w:p w14:paraId="127338E3" w14:textId="29EE649B" w:rsidR="00413275" w:rsidRDefault="00413275" w:rsidP="00EE494D">
      <w:pPr>
        <w:rPr>
          <w:rStyle w:val="nfase"/>
          <w:b/>
          <w:bCs/>
          <w:i w:val="0"/>
          <w:iCs w:val="0"/>
          <w:lang w:val="en-US"/>
        </w:rPr>
      </w:pPr>
    </w:p>
    <w:p w14:paraId="345204A1" w14:textId="77777777" w:rsidR="005D2CDD" w:rsidRDefault="005D2CDD" w:rsidP="00EE494D">
      <w:pPr>
        <w:rPr>
          <w:rStyle w:val="nfase"/>
          <w:b/>
          <w:bCs/>
          <w:i w:val="0"/>
          <w:iCs w:val="0"/>
          <w:lang w:val="en-US"/>
        </w:rPr>
      </w:pPr>
    </w:p>
    <w:p w14:paraId="1018A8B6" w14:textId="193F8159" w:rsidR="00413275" w:rsidRDefault="00413275" w:rsidP="00EE494D">
      <w:pPr>
        <w:rPr>
          <w:rStyle w:val="nfase"/>
          <w:b/>
          <w:bCs/>
          <w:i w:val="0"/>
          <w:iCs w:val="0"/>
          <w:lang w:val="en-US"/>
        </w:rPr>
        <w:sectPr w:rsidR="00413275" w:rsidSect="008846F4">
          <w:pgSz w:w="16840" w:h="11907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p w14:paraId="7395D592" w14:textId="5592EEDA" w:rsidR="005D2CDD" w:rsidRDefault="007D4E59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lastRenderedPageBreak/>
        <w:drawing>
          <wp:inline distT="0" distB="0" distL="0" distR="0" wp14:anchorId="00E20B26" wp14:editId="7AD25E22">
            <wp:extent cx="7920000" cy="4680000"/>
            <wp:effectExtent l="0" t="0" r="5080" b="6350"/>
            <wp:docPr id="19034430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F7EFF3D-2F97-4D60-8A65-9957AE4F1B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61460A1" w14:textId="555D9CE3" w:rsidR="008846F4" w:rsidRDefault="00920B68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4D7653" w:rsidRPr="004D7653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436AD">
        <w:rPr>
          <w:rStyle w:val="nfase"/>
          <w:b/>
          <w:bCs/>
          <w:i w:val="0"/>
          <w:iCs w:val="0"/>
          <w:sz w:val="20"/>
          <w:szCs w:val="20"/>
          <w:lang w:val="en-US"/>
        </w:rPr>
        <w:t>6</w:t>
      </w:r>
      <w:r w:rsidR="00E454F8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C643EB">
        <w:rPr>
          <w:b/>
          <w:bCs/>
          <w:sz w:val="20"/>
          <w:szCs w:val="20"/>
          <w:lang w:val="en-AU"/>
        </w:rPr>
        <w:t>C</w:t>
      </w:r>
      <w:r w:rsidR="005D2CDD" w:rsidRPr="00B013D5">
        <w:rPr>
          <w:b/>
          <w:bCs/>
          <w:sz w:val="20"/>
          <w:szCs w:val="20"/>
          <w:lang w:val="en-US"/>
        </w:rPr>
        <w:t xml:space="preserve">. </w:t>
      </w:r>
      <w:r w:rsidR="005D2CDD" w:rsidRPr="00361DBA">
        <w:rPr>
          <w:b/>
          <w:bCs/>
          <w:sz w:val="20"/>
          <w:szCs w:val="20"/>
          <w:lang w:val="en-US"/>
        </w:rPr>
        <w:t xml:space="preserve">Final list of </w:t>
      </w:r>
      <w:r w:rsidR="008B3B9D">
        <w:rPr>
          <w:b/>
          <w:bCs/>
          <w:sz w:val="20"/>
          <w:szCs w:val="20"/>
          <w:lang w:val="en-US"/>
        </w:rPr>
        <w:t>p</w:t>
      </w:r>
      <w:r w:rsidR="008B3B9D" w:rsidRPr="00411241">
        <w:rPr>
          <w:b/>
          <w:bCs/>
          <w:sz w:val="20"/>
          <w:szCs w:val="20"/>
          <w:lang w:val="en-US"/>
        </w:rPr>
        <w:t xml:space="preserve">anel members' </w:t>
      </w:r>
      <w:r w:rsidR="008B3B9D">
        <w:rPr>
          <w:b/>
          <w:bCs/>
          <w:sz w:val="20"/>
          <w:szCs w:val="20"/>
          <w:lang w:val="en-US"/>
        </w:rPr>
        <w:t>rate by income-level</w:t>
      </w:r>
      <w:r w:rsidR="008B3B9D" w:rsidRPr="00411241">
        <w:rPr>
          <w:b/>
          <w:bCs/>
          <w:sz w:val="20"/>
          <w:szCs w:val="20"/>
          <w:lang w:val="en-US"/>
        </w:rPr>
        <w:t xml:space="preserve"> support</w:t>
      </w:r>
      <w:r w:rsidR="008B3B9D">
        <w:rPr>
          <w:b/>
          <w:bCs/>
          <w:sz w:val="20"/>
          <w:szCs w:val="20"/>
          <w:lang w:val="en-US"/>
        </w:rPr>
        <w:t>ing</w:t>
      </w:r>
      <w:r w:rsidR="008B3B9D" w:rsidRPr="00411241">
        <w:rPr>
          <w:b/>
          <w:bCs/>
          <w:sz w:val="20"/>
          <w:szCs w:val="20"/>
          <w:lang w:val="en-US"/>
        </w:rPr>
        <w:t xml:space="preserve"> the use of the term as standard terminology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ranked from</w:t>
      </w:r>
      <w:r w:rsidR="008B3B9D" w:rsidRPr="002704E8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highest to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lowest</w:t>
      </w:r>
      <w:r w:rsidR="007D4E59">
        <w:rPr>
          <w:b/>
          <w:bCs/>
          <w:sz w:val="20"/>
          <w:szCs w:val="20"/>
          <w:lang w:val="en-US"/>
        </w:rPr>
        <w:t>.</w:t>
      </w:r>
    </w:p>
    <w:p w14:paraId="4D84A0A2" w14:textId="77777777" w:rsidR="005D2CDD" w:rsidRDefault="005D2CDD" w:rsidP="00EE494D">
      <w:pPr>
        <w:rPr>
          <w:rStyle w:val="nfase"/>
          <w:b/>
          <w:bCs/>
          <w:i w:val="0"/>
          <w:iCs w:val="0"/>
          <w:lang w:val="en-US"/>
        </w:rPr>
      </w:pPr>
    </w:p>
    <w:sectPr w:rsidR="005D2CDD" w:rsidSect="00EA6093">
      <w:pgSz w:w="16840" w:h="11907" w:orient="landscape" w:code="9"/>
      <w:pgMar w:top="113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EEC4F" w14:textId="77777777" w:rsidR="003A4BD2" w:rsidRDefault="003A4BD2" w:rsidP="00B3653F">
      <w:pPr>
        <w:spacing w:line="240" w:lineRule="auto"/>
      </w:pPr>
      <w:r>
        <w:separator/>
      </w:r>
    </w:p>
  </w:endnote>
  <w:endnote w:type="continuationSeparator" w:id="0">
    <w:p w14:paraId="644AEB65" w14:textId="77777777" w:rsidR="003A4BD2" w:rsidRDefault="003A4BD2" w:rsidP="00B36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DAF4" w14:textId="6C9DA2FB" w:rsidR="00174612" w:rsidRPr="00E87A0D" w:rsidRDefault="00174612" w:rsidP="006113CF">
    <w:pPr>
      <w:pStyle w:val="Rodap"/>
      <w:jc w:val="center"/>
      <w:rPr>
        <w:i/>
        <w:iCs/>
        <w:sz w:val="20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DD758" w14:textId="77777777" w:rsidR="003A4BD2" w:rsidRDefault="003A4BD2" w:rsidP="00B3653F">
      <w:pPr>
        <w:spacing w:line="240" w:lineRule="auto"/>
      </w:pPr>
      <w:r>
        <w:separator/>
      </w:r>
    </w:p>
  </w:footnote>
  <w:footnote w:type="continuationSeparator" w:id="0">
    <w:p w14:paraId="3842BC17" w14:textId="77777777" w:rsidR="003A4BD2" w:rsidRDefault="003A4BD2" w:rsidP="00B365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A1C8" w14:textId="7176E8DE" w:rsidR="00174612" w:rsidRPr="00B32DDF" w:rsidRDefault="00174612" w:rsidP="00B32DDF">
    <w:pPr>
      <w:ind w:left="708" w:right="-2529" w:firstLine="708"/>
      <w:rPr>
        <w:rFonts w:ascii="Times-Roman" w:hAnsi="Times-Roman" w:cs="Times-Roman"/>
        <w:b/>
        <w:bCs/>
        <w:i/>
        <w:iCs/>
        <w:sz w:val="20"/>
        <w:szCs w:val="20"/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0817"/>
    <w:multiLevelType w:val="hybridMultilevel"/>
    <w:tmpl w:val="76921BB6"/>
    <w:lvl w:ilvl="0" w:tplc="D62AA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7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FB"/>
    <w:rsid w:val="000027FC"/>
    <w:rsid w:val="000079AE"/>
    <w:rsid w:val="000111AC"/>
    <w:rsid w:val="00026552"/>
    <w:rsid w:val="00026C13"/>
    <w:rsid w:val="00027D22"/>
    <w:rsid w:val="00031CE7"/>
    <w:rsid w:val="000516C5"/>
    <w:rsid w:val="00053331"/>
    <w:rsid w:val="00056CB1"/>
    <w:rsid w:val="00061A8C"/>
    <w:rsid w:val="00062CB2"/>
    <w:rsid w:val="00066DA8"/>
    <w:rsid w:val="00084FE7"/>
    <w:rsid w:val="00091C30"/>
    <w:rsid w:val="0009272E"/>
    <w:rsid w:val="000A0A5E"/>
    <w:rsid w:val="000A35DB"/>
    <w:rsid w:val="000B17BE"/>
    <w:rsid w:val="000C3B4C"/>
    <w:rsid w:val="000D372F"/>
    <w:rsid w:val="000F01F1"/>
    <w:rsid w:val="000F2D71"/>
    <w:rsid w:val="00101B90"/>
    <w:rsid w:val="00104644"/>
    <w:rsid w:val="00105B2D"/>
    <w:rsid w:val="00113045"/>
    <w:rsid w:val="00130CA8"/>
    <w:rsid w:val="00153F21"/>
    <w:rsid w:val="00174612"/>
    <w:rsid w:val="0018495A"/>
    <w:rsid w:val="001935E6"/>
    <w:rsid w:val="0019649D"/>
    <w:rsid w:val="001A6A54"/>
    <w:rsid w:val="001B1817"/>
    <w:rsid w:val="001B7DF0"/>
    <w:rsid w:val="001D00AB"/>
    <w:rsid w:val="001D4794"/>
    <w:rsid w:val="001E15D3"/>
    <w:rsid w:val="001E5185"/>
    <w:rsid w:val="001F1C9F"/>
    <w:rsid w:val="00206FF6"/>
    <w:rsid w:val="00207CC8"/>
    <w:rsid w:val="002122D8"/>
    <w:rsid w:val="00226D22"/>
    <w:rsid w:val="00234385"/>
    <w:rsid w:val="00236652"/>
    <w:rsid w:val="00246D72"/>
    <w:rsid w:val="00250881"/>
    <w:rsid w:val="002518C9"/>
    <w:rsid w:val="00252D52"/>
    <w:rsid w:val="00260DD6"/>
    <w:rsid w:val="002656DE"/>
    <w:rsid w:val="002704E8"/>
    <w:rsid w:val="0027367A"/>
    <w:rsid w:val="00281C74"/>
    <w:rsid w:val="00295B02"/>
    <w:rsid w:val="002973E2"/>
    <w:rsid w:val="002A207E"/>
    <w:rsid w:val="002A723A"/>
    <w:rsid w:val="002E40FF"/>
    <w:rsid w:val="002E573C"/>
    <w:rsid w:val="002F4033"/>
    <w:rsid w:val="0032306D"/>
    <w:rsid w:val="0032477A"/>
    <w:rsid w:val="0033308C"/>
    <w:rsid w:val="003338A7"/>
    <w:rsid w:val="00334C43"/>
    <w:rsid w:val="0034082E"/>
    <w:rsid w:val="0034154F"/>
    <w:rsid w:val="003436AD"/>
    <w:rsid w:val="00357709"/>
    <w:rsid w:val="00361DBA"/>
    <w:rsid w:val="003A45E9"/>
    <w:rsid w:val="003A4BD2"/>
    <w:rsid w:val="003B1FE2"/>
    <w:rsid w:val="003C1D90"/>
    <w:rsid w:val="003E4F15"/>
    <w:rsid w:val="0040468C"/>
    <w:rsid w:val="00411241"/>
    <w:rsid w:val="00413275"/>
    <w:rsid w:val="00422276"/>
    <w:rsid w:val="00422D95"/>
    <w:rsid w:val="0043455A"/>
    <w:rsid w:val="00445B62"/>
    <w:rsid w:val="0045438C"/>
    <w:rsid w:val="00454FD0"/>
    <w:rsid w:val="00457564"/>
    <w:rsid w:val="0046075B"/>
    <w:rsid w:val="00460813"/>
    <w:rsid w:val="00471DD0"/>
    <w:rsid w:val="00473AC5"/>
    <w:rsid w:val="00475B22"/>
    <w:rsid w:val="00476070"/>
    <w:rsid w:val="004A3A7F"/>
    <w:rsid w:val="004A6A57"/>
    <w:rsid w:val="004B4092"/>
    <w:rsid w:val="004D7653"/>
    <w:rsid w:val="004E0C4A"/>
    <w:rsid w:val="004E7C00"/>
    <w:rsid w:val="0050349D"/>
    <w:rsid w:val="00512391"/>
    <w:rsid w:val="00530541"/>
    <w:rsid w:val="00532F47"/>
    <w:rsid w:val="005375C1"/>
    <w:rsid w:val="00550E46"/>
    <w:rsid w:val="00560E84"/>
    <w:rsid w:val="00573524"/>
    <w:rsid w:val="005913DD"/>
    <w:rsid w:val="005B5A5F"/>
    <w:rsid w:val="005B7401"/>
    <w:rsid w:val="005D2CDD"/>
    <w:rsid w:val="005D7DBA"/>
    <w:rsid w:val="005E0281"/>
    <w:rsid w:val="005E09A6"/>
    <w:rsid w:val="005E5176"/>
    <w:rsid w:val="005F7496"/>
    <w:rsid w:val="006113CF"/>
    <w:rsid w:val="006207F6"/>
    <w:rsid w:val="00623757"/>
    <w:rsid w:val="006441F6"/>
    <w:rsid w:val="00644A7B"/>
    <w:rsid w:val="00645610"/>
    <w:rsid w:val="0065165A"/>
    <w:rsid w:val="0065651F"/>
    <w:rsid w:val="00664C7C"/>
    <w:rsid w:val="006678CF"/>
    <w:rsid w:val="00674213"/>
    <w:rsid w:val="006A604D"/>
    <w:rsid w:val="006B3840"/>
    <w:rsid w:val="006C3B9A"/>
    <w:rsid w:val="006E6285"/>
    <w:rsid w:val="006F7655"/>
    <w:rsid w:val="007039CE"/>
    <w:rsid w:val="0070402E"/>
    <w:rsid w:val="007046B2"/>
    <w:rsid w:val="00711C68"/>
    <w:rsid w:val="007142A4"/>
    <w:rsid w:val="00722032"/>
    <w:rsid w:val="00725F79"/>
    <w:rsid w:val="007367D4"/>
    <w:rsid w:val="007378EA"/>
    <w:rsid w:val="00742B37"/>
    <w:rsid w:val="00746AA8"/>
    <w:rsid w:val="007539D1"/>
    <w:rsid w:val="007561EF"/>
    <w:rsid w:val="00760AB2"/>
    <w:rsid w:val="00771B00"/>
    <w:rsid w:val="00773DE8"/>
    <w:rsid w:val="00773DF7"/>
    <w:rsid w:val="00791824"/>
    <w:rsid w:val="007B2BE5"/>
    <w:rsid w:val="007B6A3F"/>
    <w:rsid w:val="007C35F4"/>
    <w:rsid w:val="007D4E59"/>
    <w:rsid w:val="007E3B57"/>
    <w:rsid w:val="007E6452"/>
    <w:rsid w:val="007F4FD7"/>
    <w:rsid w:val="007F578E"/>
    <w:rsid w:val="007F76BA"/>
    <w:rsid w:val="00800DDD"/>
    <w:rsid w:val="008162F9"/>
    <w:rsid w:val="00820DA1"/>
    <w:rsid w:val="00822BB8"/>
    <w:rsid w:val="00824A91"/>
    <w:rsid w:val="00834959"/>
    <w:rsid w:val="00845BC8"/>
    <w:rsid w:val="00856AD3"/>
    <w:rsid w:val="0086406A"/>
    <w:rsid w:val="008729A7"/>
    <w:rsid w:val="008846F4"/>
    <w:rsid w:val="008B3B9D"/>
    <w:rsid w:val="008C041A"/>
    <w:rsid w:val="008C3B8E"/>
    <w:rsid w:val="008C4B40"/>
    <w:rsid w:val="008D140A"/>
    <w:rsid w:val="008F34D3"/>
    <w:rsid w:val="008F7EAE"/>
    <w:rsid w:val="00907047"/>
    <w:rsid w:val="00914EE1"/>
    <w:rsid w:val="00915737"/>
    <w:rsid w:val="00920B68"/>
    <w:rsid w:val="0092395A"/>
    <w:rsid w:val="00923EB7"/>
    <w:rsid w:val="00927083"/>
    <w:rsid w:val="0093033C"/>
    <w:rsid w:val="009329E0"/>
    <w:rsid w:val="009331AB"/>
    <w:rsid w:val="009432CE"/>
    <w:rsid w:val="00945674"/>
    <w:rsid w:val="009472F9"/>
    <w:rsid w:val="0095283E"/>
    <w:rsid w:val="00967087"/>
    <w:rsid w:val="00972222"/>
    <w:rsid w:val="00976F29"/>
    <w:rsid w:val="0098289D"/>
    <w:rsid w:val="009842C7"/>
    <w:rsid w:val="00991269"/>
    <w:rsid w:val="009962BE"/>
    <w:rsid w:val="009E37C6"/>
    <w:rsid w:val="00A15CAF"/>
    <w:rsid w:val="00A2185B"/>
    <w:rsid w:val="00A241EB"/>
    <w:rsid w:val="00A44D99"/>
    <w:rsid w:val="00A46963"/>
    <w:rsid w:val="00A64D7E"/>
    <w:rsid w:val="00A67E14"/>
    <w:rsid w:val="00A71552"/>
    <w:rsid w:val="00A717AB"/>
    <w:rsid w:val="00A76AE4"/>
    <w:rsid w:val="00A84446"/>
    <w:rsid w:val="00A853D2"/>
    <w:rsid w:val="00A9010B"/>
    <w:rsid w:val="00A9291B"/>
    <w:rsid w:val="00A96F63"/>
    <w:rsid w:val="00AA5792"/>
    <w:rsid w:val="00AC049B"/>
    <w:rsid w:val="00AC30E4"/>
    <w:rsid w:val="00AD2842"/>
    <w:rsid w:val="00AD2A45"/>
    <w:rsid w:val="00AD2E55"/>
    <w:rsid w:val="00AE7339"/>
    <w:rsid w:val="00B013D5"/>
    <w:rsid w:val="00B01BC6"/>
    <w:rsid w:val="00B16344"/>
    <w:rsid w:val="00B16AC9"/>
    <w:rsid w:val="00B25A95"/>
    <w:rsid w:val="00B32DDF"/>
    <w:rsid w:val="00B3653F"/>
    <w:rsid w:val="00B42B3C"/>
    <w:rsid w:val="00B449FB"/>
    <w:rsid w:val="00B453EE"/>
    <w:rsid w:val="00B667A2"/>
    <w:rsid w:val="00B72ACE"/>
    <w:rsid w:val="00B76C35"/>
    <w:rsid w:val="00B77A3C"/>
    <w:rsid w:val="00B97AED"/>
    <w:rsid w:val="00BA2243"/>
    <w:rsid w:val="00BA51C8"/>
    <w:rsid w:val="00BA56B4"/>
    <w:rsid w:val="00BB2E7E"/>
    <w:rsid w:val="00BE1BEE"/>
    <w:rsid w:val="00BE49AE"/>
    <w:rsid w:val="00BE6E1C"/>
    <w:rsid w:val="00BF193C"/>
    <w:rsid w:val="00C071DC"/>
    <w:rsid w:val="00C1113D"/>
    <w:rsid w:val="00C1508E"/>
    <w:rsid w:val="00C24474"/>
    <w:rsid w:val="00C30847"/>
    <w:rsid w:val="00C30E5E"/>
    <w:rsid w:val="00C54ED7"/>
    <w:rsid w:val="00C56162"/>
    <w:rsid w:val="00C61808"/>
    <w:rsid w:val="00C643EB"/>
    <w:rsid w:val="00C6536F"/>
    <w:rsid w:val="00C66E48"/>
    <w:rsid w:val="00C75ABE"/>
    <w:rsid w:val="00C81404"/>
    <w:rsid w:val="00C81EF2"/>
    <w:rsid w:val="00C827E9"/>
    <w:rsid w:val="00C902CD"/>
    <w:rsid w:val="00C95CFA"/>
    <w:rsid w:val="00CA3A02"/>
    <w:rsid w:val="00CA3C0B"/>
    <w:rsid w:val="00CB7790"/>
    <w:rsid w:val="00CD3B36"/>
    <w:rsid w:val="00CE40D0"/>
    <w:rsid w:val="00CF453C"/>
    <w:rsid w:val="00D02E5E"/>
    <w:rsid w:val="00D05982"/>
    <w:rsid w:val="00D34B9C"/>
    <w:rsid w:val="00D4582C"/>
    <w:rsid w:val="00D805B5"/>
    <w:rsid w:val="00D95124"/>
    <w:rsid w:val="00DA384F"/>
    <w:rsid w:val="00DC1A64"/>
    <w:rsid w:val="00DC67B5"/>
    <w:rsid w:val="00DE6293"/>
    <w:rsid w:val="00DF6412"/>
    <w:rsid w:val="00E016D8"/>
    <w:rsid w:val="00E027F1"/>
    <w:rsid w:val="00E127CA"/>
    <w:rsid w:val="00E20D61"/>
    <w:rsid w:val="00E22A3E"/>
    <w:rsid w:val="00E30E60"/>
    <w:rsid w:val="00E3249E"/>
    <w:rsid w:val="00E32C12"/>
    <w:rsid w:val="00E454F8"/>
    <w:rsid w:val="00E51C67"/>
    <w:rsid w:val="00E55306"/>
    <w:rsid w:val="00E57FFD"/>
    <w:rsid w:val="00E631CD"/>
    <w:rsid w:val="00E64235"/>
    <w:rsid w:val="00E705BC"/>
    <w:rsid w:val="00E775F6"/>
    <w:rsid w:val="00E87A0D"/>
    <w:rsid w:val="00E915ED"/>
    <w:rsid w:val="00E96999"/>
    <w:rsid w:val="00EA6093"/>
    <w:rsid w:val="00EB6EC7"/>
    <w:rsid w:val="00EC4B0B"/>
    <w:rsid w:val="00EC7ED9"/>
    <w:rsid w:val="00EE0005"/>
    <w:rsid w:val="00EE494D"/>
    <w:rsid w:val="00EE7904"/>
    <w:rsid w:val="00EF42F3"/>
    <w:rsid w:val="00F077C3"/>
    <w:rsid w:val="00F21FDC"/>
    <w:rsid w:val="00F2417A"/>
    <w:rsid w:val="00F24ABA"/>
    <w:rsid w:val="00F267CF"/>
    <w:rsid w:val="00F2752D"/>
    <w:rsid w:val="00F32C89"/>
    <w:rsid w:val="00F355E9"/>
    <w:rsid w:val="00F40363"/>
    <w:rsid w:val="00F404A8"/>
    <w:rsid w:val="00F67911"/>
    <w:rsid w:val="00F74D9B"/>
    <w:rsid w:val="00F754BD"/>
    <w:rsid w:val="00F77121"/>
    <w:rsid w:val="00F77A95"/>
    <w:rsid w:val="00F81CCB"/>
    <w:rsid w:val="00F83ED3"/>
    <w:rsid w:val="00F8521B"/>
    <w:rsid w:val="00F85ECA"/>
    <w:rsid w:val="00F90C27"/>
    <w:rsid w:val="00F910FC"/>
    <w:rsid w:val="00F927AA"/>
    <w:rsid w:val="00FA7DA5"/>
    <w:rsid w:val="00FB314C"/>
    <w:rsid w:val="00FB77DC"/>
    <w:rsid w:val="00FD42C1"/>
    <w:rsid w:val="00FF1CAE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B7459"/>
  <w15:chartTrackingRefBased/>
  <w15:docId w15:val="{20438606-CCB2-458A-AEA5-2BEB9158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9FB"/>
    <w:pPr>
      <w:spacing w:after="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B449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449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449FB"/>
    <w:rPr>
      <w:sz w:val="20"/>
      <w:szCs w:val="20"/>
    </w:rPr>
  </w:style>
  <w:style w:type="table" w:styleId="Tabelacomgrade">
    <w:name w:val="Table Grid"/>
    <w:basedOn w:val="Tabelanormal"/>
    <w:uiPriority w:val="39"/>
    <w:rsid w:val="00B449F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653F"/>
  </w:style>
  <w:style w:type="paragraph" w:styleId="Rodap">
    <w:name w:val="footer"/>
    <w:basedOn w:val="Normal"/>
    <w:link w:val="Rodap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653F"/>
  </w:style>
  <w:style w:type="character" w:styleId="nfase">
    <w:name w:val="Emphasis"/>
    <w:basedOn w:val="Fontepargpadro"/>
    <w:uiPriority w:val="20"/>
    <w:qFormat/>
    <w:rsid w:val="005F7496"/>
    <w:rPr>
      <w:i/>
      <w:i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0C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0C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453EE"/>
    <w:pPr>
      <w:spacing w:after="0" w:line="240" w:lineRule="auto"/>
    </w:pPr>
  </w:style>
  <w:style w:type="character" w:customStyle="1" w:styleId="fontstyle01">
    <w:name w:val="fontstyle01"/>
    <w:basedOn w:val="Fontepargpadro"/>
    <w:rsid w:val="00B01BC6"/>
    <w:rPr>
      <w:rFonts w:ascii="SourceSansPro-Regular" w:hAnsi="SourceSansPro-Regular" w:hint="default"/>
      <w:b w:val="0"/>
      <w:bCs w:val="0"/>
      <w:i w:val="0"/>
      <w:iCs w:val="0"/>
      <w:color w:val="262627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404A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character" w:customStyle="1" w:styleId="text-sc-sc-1h7ebrz-0">
    <w:name w:val="text-sc-__sc-1h7ebrz-0"/>
    <w:basedOn w:val="Fontepargpadro"/>
    <w:rsid w:val="00B16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Equidade\Project%20I%20-%20Delphi\Escrita\Rodadas\Panel%20member%20information_23-08-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Equidade\Project%20I%20-%20Delphi\Escrita\Rodadas\Panel%20member%20information_23-08-2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Equidade\Project%20I%20-%20Delphi\Escrita\Rodadas\Panel%20member%20information_23-08-2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Priorities_Agree_Final!$C$4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Priorities_Agree_Final!$B$5:$B$18</c:f>
              <c:strCache>
                <c:ptCount val="14"/>
                <c:pt idx="0">
                  <c:v>Treatment Mediators</c:v>
                </c:pt>
                <c:pt idx="1">
                  <c:v>Communication Tech Skills in Telehealth</c:v>
                </c:pt>
                <c:pt idx="2">
                  <c:v>Patient Safety in Telehealth</c:v>
                </c:pt>
                <c:pt idx="3">
                  <c:v>Digital Literacy</c:v>
                </c:pt>
                <c:pt idx="4">
                  <c:v>Standardized Telehealth Practices and Terminology</c:v>
                </c:pt>
                <c:pt idx="5">
                  <c:v>Telehealth Training</c:v>
                </c:pt>
                <c:pt idx="6">
                  <c:v>﻿User Perspectives in Telehealth</c:v>
                </c:pt>
                <c:pt idx="7">
                  <c:v>Validity of Telehealth Diagnosis</c:v>
                </c:pt>
                <c:pt idx="8">
                  <c:v>Telehealth Cost-Effectiveness</c:v>
                </c:pt>
                <c:pt idx="9">
                  <c:v>Telehealth ﻿Equity</c:v>
                </c:pt>
                <c:pt idx="10">
                  <c:v>Telehealth Effectiveness</c:v>
                </c:pt>
                <c:pt idx="11">
                  <c:v>Patient Response Factors</c:v>
                </c:pt>
                <c:pt idx="12">
                  <c:v>Telehealth Implementation</c:v>
                </c:pt>
                <c:pt idx="13">
                  <c:v>Remote Rehab﻿ilitation Access</c:v>
                </c:pt>
              </c:strCache>
            </c:strRef>
          </c:cat>
          <c:val>
            <c:numRef>
              <c:f>Priorities_Agree_Final!$C$5:$C$18</c:f>
              <c:numCache>
                <c:formatCode>0.0%</c:formatCode>
                <c:ptCount val="14"/>
                <c:pt idx="0">
                  <c:v>0.313</c:v>
                </c:pt>
                <c:pt idx="1">
                  <c:v>0.34599999999999997</c:v>
                </c:pt>
                <c:pt idx="2">
                  <c:v>0.38100000000000001</c:v>
                </c:pt>
                <c:pt idx="3">
                  <c:v>0.47499999999999998</c:v>
                </c:pt>
                <c:pt idx="4">
                  <c:v>0.45900000000000002</c:v>
                </c:pt>
                <c:pt idx="5">
                  <c:v>0.46300000000000002</c:v>
                </c:pt>
                <c:pt idx="6">
                  <c:v>0.56399999999999995</c:v>
                </c:pt>
                <c:pt idx="7">
                  <c:v>0.55200000000000005</c:v>
                </c:pt>
                <c:pt idx="8">
                  <c:v>0.56899999999999995</c:v>
                </c:pt>
                <c:pt idx="9">
                  <c:v>0.61899999999999999</c:v>
                </c:pt>
                <c:pt idx="10">
                  <c:v>0.63800000000000001</c:v>
                </c:pt>
                <c:pt idx="11">
                  <c:v>0.504</c:v>
                </c:pt>
                <c:pt idx="12">
                  <c:v>0.61899999999999999</c:v>
                </c:pt>
                <c:pt idx="13">
                  <c:v>0.52200000000000002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8F-43EE-A281-4571DE9A4248}"/>
            </c:ext>
          </c:extLst>
        </c:ser>
        <c:ser>
          <c:idx val="1"/>
          <c:order val="1"/>
          <c:tx>
            <c:strRef>
              <c:f>Priorities_Agree_Final!$D$4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Priorities_Agree_Final!$B$5:$B$18</c:f>
              <c:strCache>
                <c:ptCount val="14"/>
                <c:pt idx="0">
                  <c:v>Treatment Mediators</c:v>
                </c:pt>
                <c:pt idx="1">
                  <c:v>Communication Tech Skills in Telehealth</c:v>
                </c:pt>
                <c:pt idx="2">
                  <c:v>Patient Safety in Telehealth</c:v>
                </c:pt>
                <c:pt idx="3">
                  <c:v>Digital Literacy</c:v>
                </c:pt>
                <c:pt idx="4">
                  <c:v>Standardized Telehealth Practices and Terminology</c:v>
                </c:pt>
                <c:pt idx="5">
                  <c:v>Telehealth Training</c:v>
                </c:pt>
                <c:pt idx="6">
                  <c:v>﻿User Perspectives in Telehealth</c:v>
                </c:pt>
                <c:pt idx="7">
                  <c:v>Validity of Telehealth Diagnosis</c:v>
                </c:pt>
                <c:pt idx="8">
                  <c:v>Telehealth Cost-Effectiveness</c:v>
                </c:pt>
                <c:pt idx="9">
                  <c:v>Telehealth ﻿Equity</c:v>
                </c:pt>
                <c:pt idx="10">
                  <c:v>Telehealth Effectiveness</c:v>
                </c:pt>
                <c:pt idx="11">
                  <c:v>Patient Response Factors</c:v>
                </c:pt>
                <c:pt idx="12">
                  <c:v>Telehealth Implementation</c:v>
                </c:pt>
                <c:pt idx="13">
                  <c:v>Remote Rehab﻿ilitation Access</c:v>
                </c:pt>
              </c:strCache>
            </c:strRef>
          </c:cat>
          <c:val>
            <c:numRef>
              <c:f>Priorities_Agree_Final!$D$5:$D$18</c:f>
              <c:numCache>
                <c:formatCode>0.0%</c:formatCode>
                <c:ptCount val="14"/>
                <c:pt idx="0">
                  <c:v>0.50700000000000001</c:v>
                </c:pt>
                <c:pt idx="1">
                  <c:v>0.48899999999999999</c:v>
                </c:pt>
                <c:pt idx="2">
                  <c:v>0.42499999999999999</c:v>
                </c:pt>
                <c:pt idx="3">
                  <c:v>0.34399999999999997</c:v>
                </c:pt>
                <c:pt idx="4">
                  <c:v>0.36099999999999999</c:v>
                </c:pt>
                <c:pt idx="5">
                  <c:v>0.375</c:v>
                </c:pt>
                <c:pt idx="6">
                  <c:v>0.308</c:v>
                </c:pt>
                <c:pt idx="7">
                  <c:v>0.32800000000000001</c:v>
                </c:pt>
                <c:pt idx="8">
                  <c:v>0.313</c:v>
                </c:pt>
                <c:pt idx="9">
                  <c:v>0.26300000000000001</c:v>
                </c:pt>
                <c:pt idx="10">
                  <c:v>0.25600000000000001</c:v>
                </c:pt>
                <c:pt idx="11">
                  <c:v>0.40600000000000003</c:v>
                </c:pt>
                <c:pt idx="12">
                  <c:v>0.3</c:v>
                </c:pt>
                <c:pt idx="13">
                  <c:v>0.39600000000000002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8F-43EE-A281-4571DE9A4248}"/>
            </c:ext>
          </c:extLst>
        </c:ser>
        <c:ser>
          <c:idx val="2"/>
          <c:order val="2"/>
          <c:tx>
            <c:strRef>
              <c:f>Priorities_Agree_Final!$E$4</c:f>
              <c:strCache>
                <c:ptCount val="1"/>
                <c:pt idx="0">
                  <c:v>Neither agree or disagree	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Priorities_Agree_Final!$B$5:$B$18</c:f>
              <c:strCache>
                <c:ptCount val="14"/>
                <c:pt idx="0">
                  <c:v>Treatment Mediators</c:v>
                </c:pt>
                <c:pt idx="1">
                  <c:v>Communication Tech Skills in Telehealth</c:v>
                </c:pt>
                <c:pt idx="2">
                  <c:v>Patient Safety in Telehealth</c:v>
                </c:pt>
                <c:pt idx="3">
                  <c:v>Digital Literacy</c:v>
                </c:pt>
                <c:pt idx="4">
                  <c:v>Standardized Telehealth Practices and Terminology</c:v>
                </c:pt>
                <c:pt idx="5">
                  <c:v>Telehealth Training</c:v>
                </c:pt>
                <c:pt idx="6">
                  <c:v>﻿User Perspectives in Telehealth</c:v>
                </c:pt>
                <c:pt idx="7">
                  <c:v>Validity of Telehealth Diagnosis</c:v>
                </c:pt>
                <c:pt idx="8">
                  <c:v>Telehealth Cost-Effectiveness</c:v>
                </c:pt>
                <c:pt idx="9">
                  <c:v>Telehealth ﻿Equity</c:v>
                </c:pt>
                <c:pt idx="10">
                  <c:v>Telehealth Effectiveness</c:v>
                </c:pt>
                <c:pt idx="11">
                  <c:v>Patient Response Factors</c:v>
                </c:pt>
                <c:pt idx="12">
                  <c:v>Telehealth Implementation</c:v>
                </c:pt>
                <c:pt idx="13">
                  <c:v>Remote Rehab﻿ilitation Access</c:v>
                </c:pt>
              </c:strCache>
            </c:strRef>
          </c:cat>
          <c:val>
            <c:numRef>
              <c:f>Priorities_Agree_Final!$E$5:$E$18</c:f>
              <c:numCache>
                <c:formatCode>0.0%</c:formatCode>
                <c:ptCount val="14"/>
                <c:pt idx="0">
                  <c:v>0.14199999999999999</c:v>
                </c:pt>
                <c:pt idx="1">
                  <c:v>0.15</c:v>
                </c:pt>
                <c:pt idx="2">
                  <c:v>0.16400000000000001</c:v>
                </c:pt>
                <c:pt idx="3">
                  <c:v>0.13800000000000001</c:v>
                </c:pt>
                <c:pt idx="4">
                  <c:v>0.15</c:v>
                </c:pt>
                <c:pt idx="5">
                  <c:v>0.13800000000000001</c:v>
                </c:pt>
                <c:pt idx="6">
                  <c:v>0.105</c:v>
                </c:pt>
                <c:pt idx="7">
                  <c:v>0.104</c:v>
                </c:pt>
                <c:pt idx="8">
                  <c:v>9.4E-2</c:v>
                </c:pt>
                <c:pt idx="9">
                  <c:v>9.4E-2</c:v>
                </c:pt>
                <c:pt idx="10">
                  <c:v>5.6000000000000001E-2</c:v>
                </c:pt>
                <c:pt idx="11">
                  <c:v>7.4999999999999997E-2</c:v>
                </c:pt>
                <c:pt idx="12">
                  <c:v>7.4999999999999997E-2</c:v>
                </c:pt>
                <c:pt idx="1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F8F-43EE-A281-4571DE9A4248}"/>
            </c:ext>
          </c:extLst>
        </c:ser>
        <c:ser>
          <c:idx val="3"/>
          <c:order val="3"/>
          <c:tx>
            <c:strRef>
              <c:f>Priorities_Agree_Final!$F$4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Priorities_Agree_Final!$B$5:$B$18</c:f>
              <c:strCache>
                <c:ptCount val="14"/>
                <c:pt idx="0">
                  <c:v>Treatment Mediators</c:v>
                </c:pt>
                <c:pt idx="1">
                  <c:v>Communication Tech Skills in Telehealth</c:v>
                </c:pt>
                <c:pt idx="2">
                  <c:v>Patient Safety in Telehealth</c:v>
                </c:pt>
                <c:pt idx="3">
                  <c:v>Digital Literacy</c:v>
                </c:pt>
                <c:pt idx="4">
                  <c:v>Standardized Telehealth Practices and Terminology</c:v>
                </c:pt>
                <c:pt idx="5">
                  <c:v>Telehealth Training</c:v>
                </c:pt>
                <c:pt idx="6">
                  <c:v>﻿User Perspectives in Telehealth</c:v>
                </c:pt>
                <c:pt idx="7">
                  <c:v>Validity of Telehealth Diagnosis</c:v>
                </c:pt>
                <c:pt idx="8">
                  <c:v>Telehealth Cost-Effectiveness</c:v>
                </c:pt>
                <c:pt idx="9">
                  <c:v>Telehealth ﻿Equity</c:v>
                </c:pt>
                <c:pt idx="10">
                  <c:v>Telehealth Effectiveness</c:v>
                </c:pt>
                <c:pt idx="11">
                  <c:v>Patient Response Factors</c:v>
                </c:pt>
                <c:pt idx="12">
                  <c:v>Telehealth Implementation</c:v>
                </c:pt>
                <c:pt idx="13">
                  <c:v>Remote Rehab﻿ilitation Access</c:v>
                </c:pt>
              </c:strCache>
            </c:strRef>
          </c:cat>
          <c:val>
            <c:numRef>
              <c:f>Priorities_Agree_Final!$F$5:$F$18</c:f>
              <c:numCache>
                <c:formatCode>0.0%</c:formatCode>
                <c:ptCount val="14"/>
                <c:pt idx="0">
                  <c:v>0.03</c:v>
                </c:pt>
                <c:pt idx="1">
                  <c:v>8.0000000000000002E-3</c:v>
                </c:pt>
                <c:pt idx="2">
                  <c:v>1.4999999999999999E-2</c:v>
                </c:pt>
                <c:pt idx="3">
                  <c:v>4.3999999999999997E-2</c:v>
                </c:pt>
                <c:pt idx="4">
                  <c:v>0.03</c:v>
                </c:pt>
                <c:pt idx="5">
                  <c:v>2.5000000000000001E-2</c:v>
                </c:pt>
                <c:pt idx="6">
                  <c:v>2.3E-2</c:v>
                </c:pt>
                <c:pt idx="7">
                  <c:v>1.4999999999999999E-2</c:v>
                </c:pt>
                <c:pt idx="8">
                  <c:v>1.2999999999999999E-2</c:v>
                </c:pt>
                <c:pt idx="9">
                  <c:v>1.2999999999999999E-2</c:v>
                </c:pt>
                <c:pt idx="10">
                  <c:v>1.2999999999999999E-2</c:v>
                </c:pt>
                <c:pt idx="11">
                  <c:v>1.4999999999999999E-2</c:v>
                </c:pt>
                <c:pt idx="12">
                  <c:v>6.0000000000000001E-3</c:v>
                </c:pt>
                <c:pt idx="13">
                  <c:v>1.4999999999999999E-2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F8F-43EE-A281-4571DE9A4248}"/>
            </c:ext>
          </c:extLst>
        </c:ser>
        <c:ser>
          <c:idx val="4"/>
          <c:order val="4"/>
          <c:tx>
            <c:strRef>
              <c:f>Priorities_Agree_Final!$G$4</c:f>
              <c:strCache>
                <c:ptCount val="1"/>
                <c:pt idx="0">
                  <c:v>Strongly disagree	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Priorities_Agree_Final!$B$5:$B$18</c:f>
              <c:strCache>
                <c:ptCount val="14"/>
                <c:pt idx="0">
                  <c:v>Treatment Mediators</c:v>
                </c:pt>
                <c:pt idx="1">
                  <c:v>Communication Tech Skills in Telehealth</c:v>
                </c:pt>
                <c:pt idx="2">
                  <c:v>Patient Safety in Telehealth</c:v>
                </c:pt>
                <c:pt idx="3">
                  <c:v>Digital Literacy</c:v>
                </c:pt>
                <c:pt idx="4">
                  <c:v>Standardized Telehealth Practices and Terminology</c:v>
                </c:pt>
                <c:pt idx="5">
                  <c:v>Telehealth Training</c:v>
                </c:pt>
                <c:pt idx="6">
                  <c:v>﻿User Perspectives in Telehealth</c:v>
                </c:pt>
                <c:pt idx="7">
                  <c:v>Validity of Telehealth Diagnosis</c:v>
                </c:pt>
                <c:pt idx="8">
                  <c:v>Telehealth Cost-Effectiveness</c:v>
                </c:pt>
                <c:pt idx="9">
                  <c:v>Telehealth ﻿Equity</c:v>
                </c:pt>
                <c:pt idx="10">
                  <c:v>Telehealth Effectiveness</c:v>
                </c:pt>
                <c:pt idx="11">
                  <c:v>Patient Response Factors</c:v>
                </c:pt>
                <c:pt idx="12">
                  <c:v>Telehealth Implementation</c:v>
                </c:pt>
                <c:pt idx="13">
                  <c:v>Remote Rehab﻿ilitation Access</c:v>
                </c:pt>
              </c:strCache>
            </c:strRef>
          </c:cat>
          <c:val>
            <c:numRef>
              <c:f>Priorities_Agree_Final!$G$5:$G$18</c:f>
              <c:numCache>
                <c:formatCode>0.0%</c:formatCode>
                <c:ptCount val="14"/>
                <c:pt idx="0">
                  <c:v>7.0000000000000001E-3</c:v>
                </c:pt>
                <c:pt idx="1">
                  <c:v>8.0000000000000002E-3</c:v>
                </c:pt>
                <c:pt idx="2">
                  <c:v>1.4999999999999999E-2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1.2999999999999999E-2</c:v>
                </c:pt>
                <c:pt idx="9">
                  <c:v>1.2999999999999999E-2</c:v>
                </c:pt>
                <c:pt idx="10">
                  <c:v>3.7999999999999999E-2</c:v>
                </c:pt>
                <c:pt idx="11">
                  <c:v>0</c:v>
                </c:pt>
                <c:pt idx="12">
                  <c:v>0</c:v>
                </c:pt>
                <c:pt idx="13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F8F-43EE-A281-4571DE9A42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589721488"/>
        <c:axId val="164497712"/>
      </c:barChart>
      <c:catAx>
        <c:axId val="5897214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64497712"/>
        <c:crosses val="autoZero"/>
        <c:auto val="1"/>
        <c:lblAlgn val="ctr"/>
        <c:lblOffset val="100"/>
        <c:noMultiLvlLbl val="0"/>
      </c:catAx>
      <c:valAx>
        <c:axId val="1644977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Level of Consensus (%)</a:t>
                </a:r>
              </a:p>
            </c:rich>
          </c:tx>
          <c:layout>
            <c:manualLayout>
              <c:xMode val="edge"/>
              <c:yMode val="edge"/>
              <c:x val="0.56876851851851851"/>
              <c:y val="0.898328703703703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89721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Priorities_Agree_Final!$A$45</c:f>
              <c:strCache>
                <c:ptCount val="1"/>
                <c:pt idx="0">
                  <c:v>Total painellist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Priorities_Agree_Final!$B$44:$O$44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Priorities_Agree_Final!$B$45:$O$45</c:f>
              <c:numCache>
                <c:formatCode>0.0%</c:formatCode>
                <c:ptCount val="14"/>
                <c:pt idx="0">
                  <c:v>0.91800000000000004</c:v>
                </c:pt>
                <c:pt idx="1">
                  <c:v>0.91900000000000004</c:v>
                </c:pt>
                <c:pt idx="2">
                  <c:v>0.91</c:v>
                </c:pt>
                <c:pt idx="3">
                  <c:v>0.89400000000000002</c:v>
                </c:pt>
                <c:pt idx="4">
                  <c:v>0.88200000000000001</c:v>
                </c:pt>
                <c:pt idx="5">
                  <c:v>0.8819999999999999</c:v>
                </c:pt>
                <c:pt idx="6">
                  <c:v>0.88000000000000012</c:v>
                </c:pt>
                <c:pt idx="7">
                  <c:v>0.87199999999999989</c:v>
                </c:pt>
                <c:pt idx="8">
                  <c:v>0.83800000000000008</c:v>
                </c:pt>
                <c:pt idx="9">
                  <c:v>0.82000000000000006</c:v>
                </c:pt>
                <c:pt idx="10">
                  <c:v>0.81899999999999995</c:v>
                </c:pt>
                <c:pt idx="11">
                  <c:v>0.80600000000000005</c:v>
                </c:pt>
                <c:pt idx="12">
                  <c:v>0.83499999999999996</c:v>
                </c:pt>
                <c:pt idx="13">
                  <c:v>0.82000000000000006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4E-4133-A865-6326C55DB62C}"/>
            </c:ext>
          </c:extLst>
        </c:ser>
        <c:ser>
          <c:idx val="1"/>
          <c:order val="1"/>
          <c:tx>
            <c:strRef>
              <c:f>Priorities_Agree_Final!$A$46</c:f>
              <c:strCache>
                <c:ptCount val="1"/>
                <c:pt idx="0">
                  <c:v>Clinicians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Priorities_Agree_Final!$B$44:$O$44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Priorities_Agree_Final!$B$46:$O$46</c:f>
              <c:numCache>
                <c:formatCode>0.0%</c:formatCode>
                <c:ptCount val="14"/>
                <c:pt idx="0">
                  <c:v>0.90900000000000003</c:v>
                </c:pt>
                <c:pt idx="1">
                  <c:v>0.91199999999999992</c:v>
                </c:pt>
                <c:pt idx="2">
                  <c:v>0.91300000000000003</c:v>
                </c:pt>
                <c:pt idx="3">
                  <c:v>0.878</c:v>
                </c:pt>
                <c:pt idx="4">
                  <c:v>0.85899999999999999</c:v>
                </c:pt>
                <c:pt idx="5">
                  <c:v>0.89500000000000002</c:v>
                </c:pt>
                <c:pt idx="6">
                  <c:v>0.84099999999999997</c:v>
                </c:pt>
                <c:pt idx="7">
                  <c:v>0.84699999999999998</c:v>
                </c:pt>
                <c:pt idx="8">
                  <c:v>0.755</c:v>
                </c:pt>
                <c:pt idx="9">
                  <c:v>0.84799999999999998</c:v>
                </c:pt>
                <c:pt idx="10">
                  <c:v>0.80699999999999994</c:v>
                </c:pt>
                <c:pt idx="11">
                  <c:v>0.81799999999999995</c:v>
                </c:pt>
                <c:pt idx="12">
                  <c:v>0.84799999999999998</c:v>
                </c:pt>
                <c:pt idx="13">
                  <c:v>0.86399999999999999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4E-4133-A865-6326C55DB62C}"/>
            </c:ext>
          </c:extLst>
        </c:ser>
        <c:ser>
          <c:idx val="2"/>
          <c:order val="2"/>
          <c:tx>
            <c:strRef>
              <c:f>Priorities_Agree_Final!$A$47</c:f>
              <c:strCache>
                <c:ptCount val="1"/>
                <c:pt idx="0">
                  <c:v>Consumer representatives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Priorities_Agree_Final!$B$44:$O$44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Priorities_Agree_Final!$B$47:$O$47</c:f>
              <c:numCache>
                <c:formatCode>0.0%</c:formatCode>
                <c:ptCount val="14"/>
                <c:pt idx="0">
                  <c:v>1</c:v>
                </c:pt>
                <c:pt idx="1">
                  <c:v>0.88900000000000001</c:v>
                </c:pt>
                <c:pt idx="2">
                  <c:v>1</c:v>
                </c:pt>
                <c:pt idx="3">
                  <c:v>0.88900000000000001</c:v>
                </c:pt>
                <c:pt idx="4">
                  <c:v>0.88900000000000001</c:v>
                </c:pt>
                <c:pt idx="5">
                  <c:v>0.77800000000000002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0.88800000000000001</c:v>
                </c:pt>
                <c:pt idx="10">
                  <c:v>0.66700000000000004</c:v>
                </c:pt>
                <c:pt idx="11">
                  <c:v>1</c:v>
                </c:pt>
                <c:pt idx="12">
                  <c:v>0.88900000000000001</c:v>
                </c:pt>
                <c:pt idx="13">
                  <c:v>0.625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74E-4133-A865-6326C55DB62C}"/>
            </c:ext>
          </c:extLst>
        </c:ser>
        <c:ser>
          <c:idx val="3"/>
          <c:order val="3"/>
          <c:tx>
            <c:strRef>
              <c:f>Priorities_Agree_Final!$A$48</c:f>
              <c:strCache>
                <c:ptCount val="1"/>
                <c:pt idx="0">
                  <c:v>Healthcare managers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Priorities_Agree_Final!$B$44:$O$44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Priorities_Agree_Final!$B$48:$O$48</c:f>
              <c:numCache>
                <c:formatCode>0.0%</c:formatCode>
                <c:ptCount val="1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0.88900000000000001</c:v>
                </c:pt>
                <c:pt idx="5">
                  <c:v>0.77800000000000002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74E-4133-A865-6326C55DB62C}"/>
            </c:ext>
          </c:extLst>
        </c:ser>
        <c:ser>
          <c:idx val="4"/>
          <c:order val="4"/>
          <c:tx>
            <c:strRef>
              <c:f>Priorities_Agree_Final!$A$49</c:f>
              <c:strCache>
                <c:ptCount val="1"/>
                <c:pt idx="0">
                  <c:v>Developers and industry partners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Priorities_Agree_Final!$B$44:$O$44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Priorities_Agree_Final!$B$49:$O$49</c:f>
              <c:numCache>
                <c:formatCode>0.0%</c:formatCode>
                <c:ptCount val="14"/>
                <c:pt idx="0">
                  <c:v>1</c:v>
                </c:pt>
                <c:pt idx="1">
                  <c:v>0.85699999999999998</c:v>
                </c:pt>
                <c:pt idx="2">
                  <c:v>0.66700000000000004</c:v>
                </c:pt>
                <c:pt idx="3">
                  <c:v>0.71499999999999997</c:v>
                </c:pt>
                <c:pt idx="4">
                  <c:v>1</c:v>
                </c:pt>
                <c:pt idx="5">
                  <c:v>0.57199999999999995</c:v>
                </c:pt>
                <c:pt idx="6">
                  <c:v>0.5</c:v>
                </c:pt>
                <c:pt idx="7">
                  <c:v>0.66600000000000004</c:v>
                </c:pt>
                <c:pt idx="8">
                  <c:v>1</c:v>
                </c:pt>
                <c:pt idx="9">
                  <c:v>0.66600000000000004</c:v>
                </c:pt>
                <c:pt idx="10">
                  <c:v>1</c:v>
                </c:pt>
                <c:pt idx="11">
                  <c:v>0.5</c:v>
                </c:pt>
                <c:pt idx="12">
                  <c:v>0.66600000000000004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74E-4133-A865-6326C55DB62C}"/>
            </c:ext>
          </c:extLst>
        </c:ser>
        <c:ser>
          <c:idx val="5"/>
          <c:order val="5"/>
          <c:tx>
            <c:strRef>
              <c:f>Priorities_Agree_Final!$A$50</c:f>
              <c:strCache>
                <c:ptCount val="1"/>
                <c:pt idx="0">
                  <c:v>Researchers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Priorities_Agree_Final!$B$44:$O$44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Priorities_Agree_Final!$B$50:$O$50</c:f>
              <c:numCache>
                <c:formatCode>0.0%</c:formatCode>
                <c:ptCount val="14"/>
                <c:pt idx="0">
                  <c:v>0.90700000000000003</c:v>
                </c:pt>
                <c:pt idx="1">
                  <c:v>0.93500000000000005</c:v>
                </c:pt>
                <c:pt idx="2">
                  <c:v>0.90199999999999991</c:v>
                </c:pt>
                <c:pt idx="3">
                  <c:v>0.92100000000000004</c:v>
                </c:pt>
                <c:pt idx="4">
                  <c:v>0.88200000000000001</c:v>
                </c:pt>
                <c:pt idx="5">
                  <c:v>0.68400000000000005</c:v>
                </c:pt>
                <c:pt idx="6">
                  <c:v>0.89400000000000002</c:v>
                </c:pt>
                <c:pt idx="7">
                  <c:v>0.58799999999999997</c:v>
                </c:pt>
                <c:pt idx="8">
                  <c:v>0.84200000000000008</c:v>
                </c:pt>
                <c:pt idx="9">
                  <c:v>0.78900000000000003</c:v>
                </c:pt>
                <c:pt idx="10">
                  <c:v>0.82899999999999996</c:v>
                </c:pt>
                <c:pt idx="11">
                  <c:v>0.77300000000000002</c:v>
                </c:pt>
                <c:pt idx="12">
                  <c:v>0.81400000000000006</c:v>
                </c:pt>
                <c:pt idx="13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74E-4133-A865-6326C55DB62C}"/>
            </c:ext>
          </c:extLst>
        </c:ser>
        <c:ser>
          <c:idx val="6"/>
          <c:order val="6"/>
          <c:tx>
            <c:strRef>
              <c:f>Priorities_Agree_Final!$A$51</c:f>
              <c:strCache>
                <c:ptCount val="1"/>
                <c:pt idx="0">
                  <c:v>Policymakers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Priorities_Agree_Final!$B$44:$O$44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Priorities_Agree_Final!$B$51:$O$51</c:f>
              <c:numCache>
                <c:formatCode>0.0%</c:formatCode>
                <c:ptCount val="14"/>
                <c:pt idx="0">
                  <c:v>1</c:v>
                </c:pt>
                <c:pt idx="1">
                  <c:v>0.5</c:v>
                </c:pt>
                <c:pt idx="2">
                  <c:v>1</c:v>
                </c:pt>
                <c:pt idx="3">
                  <c:v>0.5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0.5</c:v>
                </c:pt>
                <c:pt idx="8">
                  <c:v>1</c:v>
                </c:pt>
                <c:pt idx="9">
                  <c:v>1</c:v>
                </c:pt>
                <c:pt idx="10">
                  <c:v>0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74E-4133-A865-6326C55DB6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0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900"/>
                  <a:t>Level of Consensus (%)</a:t>
                </a:r>
              </a:p>
            </c:rich>
          </c:tx>
          <c:layout>
            <c:manualLayout>
              <c:xMode val="edge"/>
              <c:yMode val="edge"/>
              <c:x val="2.9556645660502593E-2"/>
              <c:y val="9.975890345688068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Priorities_Agree_Final!$A$79</c:f>
              <c:strCache>
                <c:ptCount val="1"/>
                <c:pt idx="0">
                  <c:v>Worldwide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Priorities_Agree_Final!$B$78:$O$78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Priorities_Agree_Final!$B$79:$O$79</c:f>
              <c:numCache>
                <c:formatCode>0.0%</c:formatCode>
                <c:ptCount val="14"/>
                <c:pt idx="0">
                  <c:v>0.91800000000000004</c:v>
                </c:pt>
                <c:pt idx="1">
                  <c:v>0.91900000000000004</c:v>
                </c:pt>
                <c:pt idx="2">
                  <c:v>0.91</c:v>
                </c:pt>
                <c:pt idx="3">
                  <c:v>0.89400000000000002</c:v>
                </c:pt>
                <c:pt idx="4">
                  <c:v>0.88200000000000001</c:v>
                </c:pt>
                <c:pt idx="5">
                  <c:v>0.88200000000000001</c:v>
                </c:pt>
                <c:pt idx="6">
                  <c:v>0.88</c:v>
                </c:pt>
                <c:pt idx="7">
                  <c:v>0.872</c:v>
                </c:pt>
                <c:pt idx="8">
                  <c:v>0.83799999999999997</c:v>
                </c:pt>
                <c:pt idx="9">
                  <c:v>0.82000000000000006</c:v>
                </c:pt>
                <c:pt idx="10">
                  <c:v>0.81899999999999995</c:v>
                </c:pt>
                <c:pt idx="11">
                  <c:v>0.80600000000000005</c:v>
                </c:pt>
                <c:pt idx="12">
                  <c:v>0.83499999999999996</c:v>
                </c:pt>
                <c:pt idx="13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4B-47CC-B2CD-01069B8CB4FA}"/>
            </c:ext>
          </c:extLst>
        </c:ser>
        <c:ser>
          <c:idx val="1"/>
          <c:order val="1"/>
          <c:tx>
            <c:strRef>
              <c:f>Priorities_Agree_Final!$A$80</c:f>
              <c:strCache>
                <c:ptCount val="1"/>
                <c:pt idx="0">
                  <c:v>Low-income economies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Priorities_Agree_Final!$B$78:$O$78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Priorities_Agree_Final!$B$80:$O$80</c:f>
              <c:numCache>
                <c:formatCode>0.0%</c:formatCode>
                <c:ptCount val="1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84B-47CC-B2CD-01069B8CB4FA}"/>
            </c:ext>
          </c:extLst>
        </c:ser>
        <c:ser>
          <c:idx val="2"/>
          <c:order val="2"/>
          <c:tx>
            <c:strRef>
              <c:f>Priorities_Agree_Final!$A$81</c:f>
              <c:strCache>
                <c:ptCount val="1"/>
                <c:pt idx="0">
                  <c:v>Lower-middle-income economies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Priorities_Agree_Final!$B$78:$O$78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Priorities_Agree_Final!$B$81:$O$81</c:f>
              <c:numCache>
                <c:formatCode>0.0%</c:formatCode>
                <c:ptCount val="14"/>
                <c:pt idx="0">
                  <c:v>0.77</c:v>
                </c:pt>
                <c:pt idx="1">
                  <c:v>0.86199999999999999</c:v>
                </c:pt>
                <c:pt idx="2">
                  <c:v>0.88300000000000001</c:v>
                </c:pt>
                <c:pt idx="3">
                  <c:v>0.93099999999999994</c:v>
                </c:pt>
                <c:pt idx="4">
                  <c:v>0.82800000000000007</c:v>
                </c:pt>
                <c:pt idx="5">
                  <c:v>0.89700000000000002</c:v>
                </c:pt>
                <c:pt idx="6">
                  <c:v>0.92299999999999993</c:v>
                </c:pt>
                <c:pt idx="7">
                  <c:v>0.7649999999999999</c:v>
                </c:pt>
                <c:pt idx="8">
                  <c:v>0.72399999999999998</c:v>
                </c:pt>
                <c:pt idx="9">
                  <c:v>0.88200000000000001</c:v>
                </c:pt>
                <c:pt idx="10">
                  <c:v>0.72399999999999998</c:v>
                </c:pt>
                <c:pt idx="11">
                  <c:v>0.61599999999999999</c:v>
                </c:pt>
                <c:pt idx="12">
                  <c:v>0.70599999999999996</c:v>
                </c:pt>
                <c:pt idx="13">
                  <c:v>0.69300000000000006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4B-47CC-B2CD-01069B8CB4FA}"/>
            </c:ext>
          </c:extLst>
        </c:ser>
        <c:ser>
          <c:idx val="3"/>
          <c:order val="3"/>
          <c:tx>
            <c:strRef>
              <c:f>Priorities_Agree_Final!$A$82</c:f>
              <c:strCache>
                <c:ptCount val="1"/>
                <c:pt idx="0">
                  <c:v>Upper-middle-income economies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Priorities_Agree_Final!$B$78:$O$78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Priorities_Agree_Final!$B$82:$O$82</c:f>
              <c:numCache>
                <c:formatCode>0.0%</c:formatCode>
                <c:ptCount val="14"/>
                <c:pt idx="0">
                  <c:v>0.9</c:v>
                </c:pt>
                <c:pt idx="1">
                  <c:v>0.94300000000000006</c:v>
                </c:pt>
                <c:pt idx="2">
                  <c:v>0.871</c:v>
                </c:pt>
                <c:pt idx="3">
                  <c:v>0.88600000000000001</c:v>
                </c:pt>
                <c:pt idx="4">
                  <c:v>0.94300000000000006</c:v>
                </c:pt>
                <c:pt idx="5">
                  <c:v>0.88600000000000001</c:v>
                </c:pt>
                <c:pt idx="6">
                  <c:v>0.96599999999999997</c:v>
                </c:pt>
                <c:pt idx="7">
                  <c:v>0.93599999999999994</c:v>
                </c:pt>
                <c:pt idx="8">
                  <c:v>0.82800000000000007</c:v>
                </c:pt>
                <c:pt idx="9">
                  <c:v>0.90300000000000002</c:v>
                </c:pt>
                <c:pt idx="10">
                  <c:v>0.91500000000000004</c:v>
                </c:pt>
                <c:pt idx="11">
                  <c:v>0.8660000000000001</c:v>
                </c:pt>
                <c:pt idx="12">
                  <c:v>0.93500000000000005</c:v>
                </c:pt>
                <c:pt idx="13">
                  <c:v>0.86699999999999999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84B-47CC-B2CD-01069B8CB4FA}"/>
            </c:ext>
          </c:extLst>
        </c:ser>
        <c:ser>
          <c:idx val="4"/>
          <c:order val="4"/>
          <c:tx>
            <c:strRef>
              <c:f>Priorities_Agree_Final!$A$83</c:f>
              <c:strCache>
                <c:ptCount val="1"/>
                <c:pt idx="0">
                  <c:v>High-income economies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Priorities_Agree_Final!$B$78:$O$78</c:f>
              <c:strCache>
                <c:ptCount val="14"/>
                <c:pt idx="0">
                  <c:v>Remote Rehab﻿ilitation Access</c:v>
                </c:pt>
                <c:pt idx="1">
                  <c:v>Research about how to implement telehealth services at the user, clinician and health system level</c:v>
                </c:pt>
                <c:pt idx="2">
                  <c:v>Patient Response Factors</c:v>
                </c:pt>
                <c:pt idx="3">
                  <c:v>Telehealth Effectiveness</c:v>
                </c:pt>
                <c:pt idx="4">
                  <c:v>Telehealth ﻿Equity</c:v>
                </c:pt>
                <c:pt idx="5">
                  <c:v>Telehealth Cost-Effectiveness</c:v>
                </c:pt>
                <c:pt idx="6">
                  <c:v>Validity of Telehealth Diagnosis</c:v>
                </c:pt>
                <c:pt idx="7">
                  <c:v>﻿User Perspectives in Telehealth</c:v>
                </c:pt>
                <c:pt idx="8">
                  <c:v>Telehealth Training</c:v>
                </c:pt>
                <c:pt idx="9">
                  <c:v>Standardized Telehealth Practices and Terminology</c:v>
                </c:pt>
                <c:pt idx="10">
                  <c:v>Digital Literacy</c:v>
                </c:pt>
                <c:pt idx="11">
                  <c:v>Patient Safety in Telehealth</c:v>
                </c:pt>
                <c:pt idx="12">
                  <c:v>Communication Tech Skills in Telehealth</c:v>
                </c:pt>
                <c:pt idx="13">
                  <c:v>Treatment Mediators</c:v>
                </c:pt>
              </c:strCache>
            </c:strRef>
          </c:cat>
          <c:val>
            <c:numRef>
              <c:f>Priorities_Agree_Final!$B$83:$O$83</c:f>
              <c:numCache>
                <c:formatCode>0.0%</c:formatCode>
                <c:ptCount val="14"/>
                <c:pt idx="0">
                  <c:v>0.94599999999999995</c:v>
                </c:pt>
                <c:pt idx="1">
                  <c:v>0.92700000000000005</c:v>
                </c:pt>
                <c:pt idx="2">
                  <c:v>0.92900000000000005</c:v>
                </c:pt>
                <c:pt idx="3">
                  <c:v>0.88500000000000001</c:v>
                </c:pt>
                <c:pt idx="4">
                  <c:v>0.875</c:v>
                </c:pt>
                <c:pt idx="5">
                  <c:v>0.875</c:v>
                </c:pt>
                <c:pt idx="6">
                  <c:v>0.84600000000000009</c:v>
                </c:pt>
                <c:pt idx="7">
                  <c:v>0.87000000000000011</c:v>
                </c:pt>
                <c:pt idx="8">
                  <c:v>0.875</c:v>
                </c:pt>
                <c:pt idx="9">
                  <c:v>0.77699999999999991</c:v>
                </c:pt>
                <c:pt idx="10">
                  <c:v>0.81299999999999994</c:v>
                </c:pt>
                <c:pt idx="11">
                  <c:v>0.78099999999999992</c:v>
                </c:pt>
                <c:pt idx="12">
                  <c:v>0.82399999999999995</c:v>
                </c:pt>
                <c:pt idx="13">
                  <c:v>0.82400000000000007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84B-47CC-B2CD-01069B8CB4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0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Level of Consensus (%)</a:t>
                </a:r>
              </a:p>
            </c:rich>
          </c:tx>
          <c:layout>
            <c:manualLayout>
              <c:xMode val="edge"/>
              <c:yMode val="edge"/>
              <c:x val="3.0467171717171716E-2"/>
              <c:y val="0.1185878205128205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%" sourceLinked="0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CFDD-417A-4C61-A3D9-C5FCDB50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11</cp:revision>
  <cp:lastPrinted>2022-04-14T13:34:00Z</cp:lastPrinted>
  <dcterms:created xsi:type="dcterms:W3CDTF">2022-12-22T14:37:00Z</dcterms:created>
  <dcterms:modified xsi:type="dcterms:W3CDTF">2023-09-15T15:44:00Z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c4858f279845a085f41fbc053f7030736739e755cefab684e29f8d21ad989a9b</vt:lpwstr>
  </property>
</Properties>
</file>