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Times New Roman" w:hAnsi="Times New Roman"/>
          <w:b/>
          <w:bCs/>
          <w:color w:val="auto"/>
          <w:sz w:val="48"/>
          <w:szCs w:val="56"/>
          <w:highlight w:val="none"/>
        </w:rPr>
      </w:pPr>
      <w:bookmarkStart w:id="0" w:name="_Toc9480"/>
      <w:bookmarkStart w:id="1" w:name="_Toc27019"/>
      <w:r>
        <w:rPr>
          <w:rFonts w:ascii="Times New Roman" w:hAnsi="Times New Roman"/>
          <w:b/>
          <w:bCs/>
          <w:color w:val="auto"/>
          <w:sz w:val="48"/>
          <w:szCs w:val="56"/>
          <w:highlight w:val="none"/>
        </w:rPr>
        <w:t>Supplementary Material</w:t>
      </w:r>
      <w:bookmarkEnd w:id="0"/>
      <w:bookmarkEnd w:id="1"/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0" w:firstLineChars="0"/>
        <w:jc w:val="left"/>
        <w:rPr>
          <w:rFonts w:hint="default" w:ascii="Times New Roman" w:hAnsi="Times New Roman" w:cs="Times New Roman"/>
          <w:sz w:val="30"/>
          <w:szCs w:val="30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30"/>
          <w:szCs w:val="30"/>
          <w:lang w:val="en-US" w:eastAsia="zh-CN" w:bidi="ar"/>
        </w:rPr>
        <w:t xml:space="preserve">Comparison of clinical efficacy of </w:t>
      </w:r>
      <w:bookmarkStart w:id="2" w:name="_Hlk152113811"/>
      <w:r>
        <w:rPr>
          <w:rFonts w:hint="default" w:ascii="Times New Roman" w:hAnsi="Times New Roman" w:eastAsia="宋体" w:cs="Times New Roman"/>
          <w:kern w:val="2"/>
          <w:sz w:val="30"/>
          <w:szCs w:val="30"/>
          <w:lang w:val="en-US" w:eastAsia="zh-CN" w:bidi="ar"/>
        </w:rPr>
        <w:t>robot-assisted and freehand</w:t>
      </w:r>
      <w:bookmarkEnd w:id="2"/>
      <w:r>
        <w:rPr>
          <w:rFonts w:hint="default" w:ascii="Times New Roman" w:hAnsi="Times New Roman" w:eastAsia="宋体" w:cs="Times New Roman"/>
          <w:kern w:val="2"/>
          <w:sz w:val="30"/>
          <w:szCs w:val="30"/>
          <w:lang w:val="en-US" w:eastAsia="zh-CN" w:bidi="ar"/>
        </w:rPr>
        <w:t xml:space="preserve"> core decompression in the treatment of osteonecrosis of the femoral head: a systematic review and meta-analysis</w:t>
      </w:r>
    </w:p>
    <w:p>
      <w:pPr>
        <w:jc w:val="left"/>
        <w:rPr>
          <w:rFonts w:hint="eastAsia" w:ascii="Times New Roman" w:hAnsi="Times New Roman" w:eastAsia="宋体" w:cstheme="minorBidi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theme="minorBidi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Contents</w:t>
      </w:r>
    </w:p>
    <w:p>
      <w:pPr>
        <w:keepNext w:val="0"/>
        <w:keepLines w:val="0"/>
        <w:pageBreakBefore w:val="0"/>
        <w:widowControl w:val="0"/>
        <w:tabs>
          <w:tab w:val="left" w:leader="dot" w:pos="1512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210" w:firstLineChars="100"/>
        <w:jc w:val="left"/>
        <w:textAlignment w:val="auto"/>
        <w:rPr>
          <w:rFonts w:hint="default" w:ascii="Times New Roman" w:hAnsi="Times New Roman" w:eastAsia="宋体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Search strategies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ab/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2</w:t>
      </w:r>
    </w:p>
    <w:p>
      <w:pPr>
        <w:keepNext w:val="0"/>
        <w:keepLines w:val="0"/>
        <w:pageBreakBefore w:val="0"/>
        <w:widowControl w:val="0"/>
        <w:tabs>
          <w:tab w:val="left" w:leader="dot" w:pos="1512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210" w:firstLineChars="100"/>
        <w:jc w:val="left"/>
        <w:textAlignment w:val="auto"/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Table S1. Bias risk assessment results of included retrospect studies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 xml:space="preserve">. 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ab/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4</w:t>
      </w:r>
    </w:p>
    <w:p>
      <w:pPr>
        <w:keepNext w:val="0"/>
        <w:keepLines w:val="0"/>
        <w:pageBreakBefore w:val="0"/>
        <w:widowControl w:val="0"/>
        <w:tabs>
          <w:tab w:val="left" w:leader="dot" w:pos="1512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210" w:firstLineChars="100"/>
        <w:jc w:val="left"/>
        <w:textAlignment w:val="auto"/>
        <w:rPr>
          <w:rFonts w:hint="default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Table S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2</w:t>
      </w:r>
      <w:r>
        <w:rPr>
          <w:rFonts w:hint="eastAsia" w:ascii="Times New Roman" w:hAnsi="Times New Roman" w:eastAsia="宋体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 xml:space="preserve">. Seneitivity analysis for operative 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 xml:space="preserve">duration. 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ab/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5</w:t>
      </w:r>
    </w:p>
    <w:p>
      <w:pPr>
        <w:keepNext w:val="0"/>
        <w:keepLines w:val="0"/>
        <w:pageBreakBefore w:val="0"/>
        <w:widowControl w:val="0"/>
        <w:tabs>
          <w:tab w:val="left" w:leader="dot" w:pos="1512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210" w:firstLineChars="100"/>
        <w:jc w:val="left"/>
        <w:textAlignment w:val="auto"/>
        <w:rPr>
          <w:rFonts w:hint="default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Table S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3</w:t>
      </w:r>
      <w:r>
        <w:rPr>
          <w:rFonts w:hint="eastAsia" w:ascii="Times New Roman" w:hAnsi="Times New Roman" w:eastAsia="宋体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. Seneitivity analysis for intraoperative blood loss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 xml:space="preserve"> volume. 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ab/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6</w:t>
      </w:r>
    </w:p>
    <w:p>
      <w:pPr>
        <w:keepNext w:val="0"/>
        <w:keepLines w:val="0"/>
        <w:pageBreakBefore w:val="0"/>
        <w:widowControl w:val="0"/>
        <w:tabs>
          <w:tab w:val="left" w:leader="dot" w:pos="1512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210" w:firstLineChars="100"/>
        <w:jc w:val="left"/>
        <w:textAlignment w:val="auto"/>
        <w:rPr>
          <w:rFonts w:hint="default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Table S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4</w:t>
      </w:r>
      <w:r>
        <w:rPr>
          <w:rFonts w:hint="eastAsia" w:ascii="Times New Roman" w:hAnsi="Times New Roman" w:eastAsia="宋体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 xml:space="preserve">. Seneitivity analysis for 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frequency</w:t>
      </w:r>
      <w:r>
        <w:rPr>
          <w:rFonts w:hint="eastAsia" w:ascii="Times New Roman" w:hAnsi="Times New Roman" w:eastAsia="宋体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 xml:space="preserve"> of intraoperative fluoroscopies.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ab/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7</w:t>
      </w:r>
    </w:p>
    <w:p>
      <w:pPr>
        <w:keepNext w:val="0"/>
        <w:keepLines w:val="0"/>
        <w:pageBreakBefore w:val="0"/>
        <w:widowControl w:val="0"/>
        <w:tabs>
          <w:tab w:val="left" w:leader="dot" w:pos="1512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210" w:firstLineChars="100"/>
        <w:jc w:val="left"/>
        <w:textAlignment w:val="auto"/>
        <w:rPr>
          <w:rFonts w:hint="default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Table S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5</w:t>
      </w:r>
      <w:r>
        <w:rPr>
          <w:rFonts w:hint="eastAsia" w:ascii="Times New Roman" w:hAnsi="Times New Roman" w:eastAsia="宋体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 xml:space="preserve">. Seneitivity analysis for </w:t>
      </w:r>
      <w:r>
        <w:rPr>
          <w:rFonts w:hint="default" w:ascii="Times New Roman" w:hAnsi="Times New Roman" w:eastAsia="宋体" w:cs="Times New Roman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ΔHH</w:t>
      </w:r>
      <w:r>
        <w:rPr>
          <w:rFonts w:hint="eastAsia" w:ascii="Times New Roman" w:hAnsi="Times New Roman" w:eastAsia="宋体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S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 xml:space="preserve">. 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ab/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8</w:t>
      </w:r>
    </w:p>
    <w:p>
      <w:pPr>
        <w:keepNext w:val="0"/>
        <w:keepLines w:val="0"/>
        <w:pageBreakBefore w:val="0"/>
        <w:widowControl w:val="0"/>
        <w:tabs>
          <w:tab w:val="left" w:leader="dot" w:pos="1512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210" w:firstLineChars="100"/>
        <w:jc w:val="left"/>
        <w:textAlignment w:val="auto"/>
        <w:rPr>
          <w:rFonts w:hint="default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Table S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6</w:t>
      </w:r>
      <w:r>
        <w:rPr>
          <w:rFonts w:hint="eastAsia" w:ascii="Times New Roman" w:hAnsi="Times New Roman" w:eastAsia="宋体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. GRADE evaluation of evidence quality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 xml:space="preserve">. </w:t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ab/>
      </w:r>
      <w:r>
        <w:rPr>
          <w:rFonts w:hint="eastAsia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t>9</w:t>
      </w:r>
    </w:p>
    <w:p>
      <w:pPr>
        <w:keepNext w:val="0"/>
        <w:keepLines w:val="0"/>
        <w:pageBreakBefore w:val="0"/>
        <w:widowControl w:val="0"/>
        <w:tabs>
          <w:tab w:val="left" w:leader="dot" w:pos="15015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theme="minorBidi"/>
          <w:bCs w:val="0"/>
          <w:color w:val="auto"/>
          <w:kern w:val="2"/>
          <w:sz w:val="21"/>
          <w:szCs w:val="32"/>
          <w:highlight w:val="none"/>
          <w:lang w:val="en-US" w:eastAsia="zh-CN" w:bidi="ar-SA"/>
        </w:rPr>
        <w:sectPr>
          <w:footerReference r:id="rId3" w:type="default"/>
          <w:pgSz w:w="16838" w:h="11906" w:orient="landscape"/>
          <w:pgMar w:top="720" w:right="720" w:bottom="720" w:left="720" w:header="851" w:footer="992" w:gutter="0"/>
          <w:lnNumType w:countBy="1" w:restart="continuous"/>
          <w:cols w:space="425" w:num="1"/>
          <w:docGrid w:type="lines" w:linePitch="312" w:charSpace="0"/>
        </w:sectPr>
      </w:pPr>
    </w:p>
    <w:p>
      <w:pPr>
        <w:jc w:val="left"/>
        <w:rPr>
          <w:rFonts w:ascii="Times New Roman" w:hAnsi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Sea</w:t>
      </w:r>
      <w:r>
        <w:rPr>
          <w:rFonts w:ascii="Times New Roman" w:hAnsi="Times New Roman"/>
          <w:b/>
          <w:bCs/>
          <w:color w:val="auto"/>
          <w:sz w:val="24"/>
          <w:szCs w:val="24"/>
          <w:highlight w:val="none"/>
        </w:rPr>
        <w:t>rch strategies</w:t>
      </w:r>
    </w:p>
    <w:p>
      <w:pPr>
        <w:rPr>
          <w:rFonts w:ascii="Times New Roman" w:hAnsi="Times New Roman"/>
          <w:i/>
          <w:iCs/>
          <w:color w:val="auto"/>
          <w:sz w:val="24"/>
          <w:szCs w:val="24"/>
          <w:highlight w:val="none"/>
        </w:rPr>
      </w:pPr>
      <w:r>
        <w:rPr>
          <w:rFonts w:ascii="Times New Roman" w:hAnsi="Times New Roman"/>
          <w:i/>
          <w:iCs/>
          <w:color w:val="auto"/>
          <w:sz w:val="24"/>
          <w:szCs w:val="24"/>
          <w:highlight w:val="none"/>
        </w:rPr>
        <w:t>PubMed:</w:t>
      </w:r>
    </w:p>
    <w:p>
      <w:pPr>
        <w:rPr>
          <w:rFonts w:ascii="Times New Roman" w:hAnsi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</w:t>
      </w:r>
      <w:r>
        <w:rPr>
          <w:rFonts w:ascii="Times New Roman" w:hAnsi="Times New Roman"/>
          <w:color w:val="auto"/>
          <w:szCs w:val="24"/>
          <w:highlight w:val="none"/>
        </w:rPr>
        <w:t>1 ((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robotic</w:t>
      </w:r>
      <w:r>
        <w:rPr>
          <w:rFonts w:ascii="Times New Roman" w:hAnsi="Times New Roman"/>
          <w:color w:val="auto"/>
          <w:highlight w:val="none"/>
        </w:rPr>
        <w:t xml:space="preserve"> [Title/Abstract]</w:t>
      </w:r>
      <w:r>
        <w:rPr>
          <w:rFonts w:ascii="Times New Roman" w:hAnsi="Times New Roman"/>
          <w:color w:val="auto"/>
          <w:szCs w:val="24"/>
          <w:highlight w:val="none"/>
        </w:rPr>
        <w:t>) OR (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robot positioning</w:t>
      </w:r>
      <w:r>
        <w:rPr>
          <w:rFonts w:ascii="Times New Roman" w:hAnsi="Times New Roman"/>
          <w:color w:val="auto"/>
          <w:highlight w:val="none"/>
        </w:rPr>
        <w:t xml:space="preserve"> [Title/Abstract]) OR (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navigated</w:t>
      </w:r>
      <w:r>
        <w:rPr>
          <w:rFonts w:ascii="Times New Roman" w:hAnsi="Times New Roman"/>
          <w:color w:val="auto"/>
          <w:highlight w:val="none"/>
        </w:rPr>
        <w:t xml:space="preserve"> [Title/Abstract])</w:t>
      </w:r>
    </w:p>
    <w:p>
      <w:pPr>
        <w:rPr>
          <w:rFonts w:ascii="Times New Roman" w:hAnsi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</w:t>
      </w:r>
      <w:r>
        <w:rPr>
          <w:rFonts w:ascii="Times New Roman" w:hAnsi="Times New Roman"/>
          <w:color w:val="auto"/>
          <w:highlight w:val="none"/>
        </w:rPr>
        <w:t>2 (</w:t>
      </w:r>
      <w:r>
        <w:rPr>
          <w:rFonts w:ascii="Times New Roman" w:hAnsi="Times New Roman" w:cs="Times New Roman"/>
          <w:color w:val="auto"/>
          <w:highlight w:val="none"/>
        </w:rPr>
        <w:t>"</w:t>
      </w:r>
      <w:r>
        <w:rPr>
          <w:rFonts w:hint="eastAsia" w:ascii="Times New Roman" w:hAnsi="Times New Roman"/>
          <w:color w:val="auto"/>
          <w:szCs w:val="24"/>
          <w:highlight w:val="none"/>
        </w:rPr>
        <w:t>osteonecrosis of the femoral head</w:t>
      </w:r>
      <w:r>
        <w:rPr>
          <w:rFonts w:ascii="Times New Roman" w:hAnsi="Times New Roman"/>
          <w:color w:val="auto"/>
          <w:szCs w:val="24"/>
          <w:highlight w:val="none"/>
        </w:rPr>
        <w:t>" [Mesh]</w:t>
      </w:r>
      <w:r>
        <w:rPr>
          <w:rFonts w:ascii="Times New Roman" w:hAnsi="Times New Roman"/>
          <w:color w:val="auto"/>
          <w:highlight w:val="none"/>
        </w:rPr>
        <w:t>) OR ((femur head necrosis [Title/Abstract])) OR (ONFH [Title/Abstract])) OR (FHN [Title/Abstract])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</w:t>
      </w:r>
      <w:r>
        <w:rPr>
          <w:rFonts w:ascii="Times New Roman" w:hAnsi="Times New Roman"/>
          <w:color w:val="auto"/>
          <w:highlight w:val="none"/>
        </w:rPr>
        <w:t xml:space="preserve">3 </w:t>
      </w:r>
      <w:r>
        <w:rPr>
          <w:rFonts w:ascii="Times New Roman" w:hAnsi="Times New Roman" w:cs="Times New Roman"/>
          <w:color w:val="auto"/>
          <w:highlight w:val="none"/>
        </w:rPr>
        <w:t>#1 AND #2</w:t>
      </w:r>
    </w:p>
    <w:p>
      <w:pPr>
        <w:rPr>
          <w:rFonts w:ascii="Times New Roman" w:hAnsi="Times New Roman"/>
          <w:color w:val="auto"/>
          <w:highlight w:val="none"/>
        </w:rPr>
      </w:pPr>
    </w:p>
    <w:p>
      <w:pPr>
        <w:rPr>
          <w:rFonts w:ascii="Times New Roman" w:hAnsi="Times New Roman"/>
          <w:i/>
          <w:iCs/>
          <w:color w:val="auto"/>
          <w:sz w:val="24"/>
          <w:szCs w:val="24"/>
          <w:highlight w:val="none"/>
        </w:rPr>
      </w:pPr>
      <w:r>
        <w:rPr>
          <w:rFonts w:ascii="Times New Roman" w:hAnsi="Times New Roman"/>
          <w:i/>
          <w:iCs/>
          <w:color w:val="auto"/>
          <w:sz w:val="24"/>
          <w:szCs w:val="24"/>
          <w:highlight w:val="none"/>
        </w:rPr>
        <w:t>Web of Science: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#1 TS=(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robotic</w:t>
      </w:r>
      <w:r>
        <w:rPr>
          <w:rFonts w:ascii="Times New Roman" w:hAnsi="Times New Roman"/>
          <w:color w:val="auto"/>
          <w:highlight w:val="none"/>
        </w:rPr>
        <w:t xml:space="preserve"> </w:t>
      </w:r>
      <w:r>
        <w:rPr>
          <w:rFonts w:ascii="Times New Roman" w:hAnsi="Times New Roman"/>
          <w:color w:val="auto"/>
          <w:szCs w:val="24"/>
          <w:highlight w:val="none"/>
        </w:rPr>
        <w:t xml:space="preserve">OR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robot positioning</w:t>
      </w:r>
      <w:r>
        <w:rPr>
          <w:rFonts w:ascii="Times New Roman" w:hAnsi="Times New Roman"/>
          <w:color w:val="auto"/>
          <w:highlight w:val="none"/>
        </w:rPr>
        <w:t xml:space="preserve"> OR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navigated</w:t>
      </w:r>
      <w:r>
        <w:rPr>
          <w:rFonts w:ascii="Times New Roman" w:hAnsi="Times New Roman" w:cs="Times New Roman"/>
          <w:color w:val="auto"/>
          <w:highlight w:val="none"/>
        </w:rPr>
        <w:t>)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#2 TS=(</w:t>
      </w:r>
      <w:r>
        <w:rPr>
          <w:rFonts w:hint="eastAsia" w:ascii="Times New Roman" w:hAnsi="Times New Roman"/>
          <w:color w:val="auto"/>
          <w:szCs w:val="24"/>
          <w:highlight w:val="none"/>
        </w:rPr>
        <w:t>osteonecrosis of the femoral head</w:t>
      </w:r>
      <w:r>
        <w:rPr>
          <w:rFonts w:ascii="Times New Roman" w:hAnsi="Times New Roman"/>
          <w:color w:val="auto"/>
          <w:highlight w:val="none"/>
        </w:rPr>
        <w:t xml:space="preserve"> OR femur head necrosis OR ONFH OR FHN)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#3 #1 AND #2</w:t>
      </w:r>
    </w:p>
    <w:p>
      <w:pPr>
        <w:rPr>
          <w:rFonts w:ascii="Times New Roman" w:hAnsi="Times New Roman" w:cs="Times New Roman"/>
          <w:color w:val="auto"/>
          <w:highlight w:val="none"/>
        </w:rPr>
      </w:pPr>
    </w:p>
    <w:p>
      <w:pPr>
        <w:rPr>
          <w:rFonts w:ascii="Times New Roman" w:hAnsi="Times New Roman"/>
          <w:i/>
          <w:iCs/>
          <w:color w:val="auto"/>
          <w:sz w:val="24"/>
          <w:szCs w:val="24"/>
          <w:highlight w:val="none"/>
        </w:rPr>
      </w:pPr>
      <w:r>
        <w:rPr>
          <w:rFonts w:ascii="Times New Roman" w:hAnsi="Times New Roman"/>
          <w:i/>
          <w:iCs/>
          <w:color w:val="auto"/>
          <w:sz w:val="24"/>
          <w:szCs w:val="24"/>
          <w:highlight w:val="none"/>
        </w:rPr>
        <w:t>Embase: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#1 '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robotic</w:t>
      </w:r>
      <w:r>
        <w:rPr>
          <w:rFonts w:ascii="Times New Roman" w:hAnsi="Times New Roman" w:cs="Times New Roman"/>
          <w:color w:val="auto"/>
          <w:highlight w:val="none"/>
        </w:rPr>
        <w:t xml:space="preserve">'/exp 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#2 '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robot positioning</w:t>
      </w:r>
      <w:r>
        <w:rPr>
          <w:rFonts w:ascii="Times New Roman" w:hAnsi="Times New Roman" w:cs="Times New Roman"/>
          <w:color w:val="auto"/>
          <w:highlight w:val="none"/>
        </w:rPr>
        <w:t>':ab,ti OR '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navigated</w:t>
      </w:r>
      <w:r>
        <w:rPr>
          <w:rFonts w:ascii="Times New Roman" w:hAnsi="Times New Roman" w:cs="Times New Roman"/>
          <w:color w:val="auto"/>
          <w:highlight w:val="none"/>
        </w:rPr>
        <w:t>':ab,ti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#3 #1 OR #2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#4 '</w:t>
      </w:r>
      <w:r>
        <w:rPr>
          <w:rFonts w:hint="eastAsia" w:ascii="Times New Roman" w:hAnsi="Times New Roman"/>
          <w:color w:val="auto"/>
          <w:szCs w:val="24"/>
          <w:highlight w:val="none"/>
        </w:rPr>
        <w:t>osteonecrosis of the femoral head</w:t>
      </w:r>
      <w:r>
        <w:rPr>
          <w:rFonts w:ascii="Times New Roman" w:hAnsi="Times New Roman" w:cs="Times New Roman"/>
          <w:color w:val="auto"/>
          <w:highlight w:val="none"/>
        </w:rPr>
        <w:t xml:space="preserve">'/exp 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#5 '</w:t>
      </w:r>
      <w:r>
        <w:rPr>
          <w:rFonts w:ascii="Times New Roman" w:hAnsi="Times New Roman"/>
          <w:color w:val="auto"/>
          <w:highlight w:val="none"/>
        </w:rPr>
        <w:t>femur head necrosis</w:t>
      </w:r>
      <w:r>
        <w:rPr>
          <w:rFonts w:ascii="Times New Roman" w:hAnsi="Times New Roman" w:cs="Times New Roman"/>
          <w:color w:val="auto"/>
          <w:highlight w:val="none"/>
        </w:rPr>
        <w:t>':ab,ti OR '</w:t>
      </w:r>
      <w:r>
        <w:rPr>
          <w:rFonts w:ascii="Times New Roman" w:hAnsi="Times New Roman"/>
          <w:color w:val="auto"/>
          <w:highlight w:val="none"/>
        </w:rPr>
        <w:t>ONFH</w:t>
      </w:r>
      <w:r>
        <w:rPr>
          <w:rFonts w:ascii="Times New Roman" w:hAnsi="Times New Roman" w:cs="Times New Roman"/>
          <w:color w:val="auto"/>
          <w:highlight w:val="none"/>
        </w:rPr>
        <w:t>':ab,ti OR '</w:t>
      </w:r>
      <w:r>
        <w:rPr>
          <w:rFonts w:ascii="Times New Roman" w:hAnsi="Times New Roman"/>
          <w:color w:val="auto"/>
          <w:highlight w:val="none"/>
        </w:rPr>
        <w:t>FHN</w:t>
      </w:r>
      <w:r>
        <w:rPr>
          <w:rFonts w:ascii="Times New Roman" w:hAnsi="Times New Roman" w:cs="Times New Roman"/>
          <w:color w:val="auto"/>
          <w:highlight w:val="none"/>
        </w:rPr>
        <w:t>':ab,ti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#6 #4 OR #5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#7 #3 AND #6</w:t>
      </w:r>
    </w:p>
    <w:p>
      <w:pPr>
        <w:rPr>
          <w:rFonts w:ascii="Times New Roman" w:hAnsi="Times New Roman" w:cs="Times New Roman"/>
          <w:color w:val="auto"/>
          <w:highlight w:val="none"/>
        </w:rPr>
      </w:pPr>
    </w:p>
    <w:p>
      <w:pPr>
        <w:rPr>
          <w:rFonts w:ascii="Times New Roman" w:hAnsi="Times New Roman"/>
          <w:i/>
          <w:iCs/>
          <w:color w:val="auto"/>
          <w:sz w:val="24"/>
          <w:szCs w:val="24"/>
          <w:highlight w:val="none"/>
        </w:rPr>
      </w:pPr>
      <w:r>
        <w:rPr>
          <w:rFonts w:ascii="Times New Roman" w:hAnsi="Times New Roman"/>
          <w:i/>
          <w:iCs/>
          <w:color w:val="auto"/>
          <w:sz w:val="24"/>
          <w:szCs w:val="24"/>
          <w:highlight w:val="none"/>
        </w:rPr>
        <w:t>Cochrane Central Register of Controlled Trials：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#1 (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robotic</w:t>
      </w:r>
      <w:r>
        <w:rPr>
          <w:rFonts w:ascii="Times New Roman" w:hAnsi="Times New Roman" w:cs="Times New Roman"/>
          <w:color w:val="auto"/>
          <w:highlight w:val="none"/>
        </w:rPr>
        <w:t>):ti,ab,kw OR (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robot positioning</w:t>
      </w:r>
      <w:r>
        <w:rPr>
          <w:rFonts w:ascii="Times New Roman" w:hAnsi="Times New Roman" w:cs="Times New Roman"/>
          <w:color w:val="auto"/>
          <w:highlight w:val="none"/>
        </w:rPr>
        <w:t>):ti,ab,kw OR (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navigated</w:t>
      </w:r>
      <w:r>
        <w:rPr>
          <w:rFonts w:ascii="Times New Roman" w:hAnsi="Times New Roman" w:cs="Times New Roman"/>
          <w:color w:val="auto"/>
          <w:highlight w:val="none"/>
        </w:rPr>
        <w:t>):ti,ab,kw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#2 MeSH descriptor: [</w:t>
      </w:r>
      <w:r>
        <w:rPr>
          <w:rFonts w:hint="eastAsia" w:ascii="Times New Roman" w:hAnsi="Times New Roman"/>
          <w:color w:val="auto"/>
          <w:szCs w:val="24"/>
          <w:highlight w:val="none"/>
        </w:rPr>
        <w:t>osteonecrosis of the femoral head</w:t>
      </w:r>
      <w:r>
        <w:rPr>
          <w:rFonts w:ascii="Times New Roman" w:hAnsi="Times New Roman" w:cs="Times New Roman"/>
          <w:color w:val="auto"/>
          <w:highlight w:val="none"/>
        </w:rPr>
        <w:t>] explode all trees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#3 (</w:t>
      </w:r>
      <w:r>
        <w:rPr>
          <w:rFonts w:ascii="Times New Roman" w:hAnsi="Times New Roman"/>
          <w:color w:val="auto"/>
          <w:highlight w:val="none"/>
        </w:rPr>
        <w:t>femur head necrosis</w:t>
      </w:r>
      <w:r>
        <w:rPr>
          <w:rFonts w:ascii="Times New Roman" w:hAnsi="Times New Roman" w:cs="Times New Roman"/>
          <w:color w:val="auto"/>
          <w:highlight w:val="none"/>
        </w:rPr>
        <w:t>):ti,ab,kw OR (</w:t>
      </w:r>
      <w:r>
        <w:rPr>
          <w:rFonts w:ascii="Times New Roman" w:hAnsi="Times New Roman"/>
          <w:color w:val="auto"/>
          <w:highlight w:val="none"/>
        </w:rPr>
        <w:t>ONFH</w:t>
      </w:r>
      <w:r>
        <w:rPr>
          <w:rFonts w:ascii="Times New Roman" w:hAnsi="Times New Roman" w:cs="Times New Roman"/>
          <w:color w:val="auto"/>
          <w:highlight w:val="none"/>
        </w:rPr>
        <w:t>):ti,ab,kw OR (</w:t>
      </w:r>
      <w:r>
        <w:rPr>
          <w:rFonts w:ascii="Times New Roman" w:hAnsi="Times New Roman"/>
          <w:color w:val="auto"/>
          <w:highlight w:val="none"/>
        </w:rPr>
        <w:t>FHN</w:t>
      </w:r>
      <w:r>
        <w:rPr>
          <w:rFonts w:ascii="Times New Roman" w:hAnsi="Times New Roman" w:cs="Times New Roman"/>
          <w:color w:val="auto"/>
          <w:highlight w:val="none"/>
        </w:rPr>
        <w:t>):ti,ab,kw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#4 #2 OR #3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#5 #1 AND #4</w:t>
      </w:r>
    </w:p>
    <w:p>
      <w:pPr>
        <w:rPr>
          <w:rFonts w:ascii="Times New Roman" w:hAnsi="Times New Roman" w:cs="Times New Roman"/>
          <w:color w:val="auto"/>
          <w:highlight w:val="none"/>
        </w:rPr>
      </w:pP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/>
          <w:i/>
          <w:iCs/>
          <w:color w:val="auto"/>
          <w:sz w:val="24"/>
          <w:szCs w:val="24"/>
          <w:highlight w:val="none"/>
        </w:rPr>
        <w:t>Chinese National Knowledge Infrastructure (CNKI)：</w:t>
      </w:r>
      <w:r>
        <w:rPr>
          <w:rFonts w:ascii="Times New Roman" w:hAnsi="Times New Roman" w:cs="Times New Roman"/>
          <w:color w:val="auto"/>
          <w:highlight w:val="none"/>
        </w:rPr>
        <w:cr/>
      </w:r>
      <w:r>
        <w:rPr>
          <w:rFonts w:ascii="Times New Roman" w:hAnsi="Times New Roman" w:cs="Times New Roman"/>
          <w:color w:val="auto"/>
          <w:highlight w:val="none"/>
        </w:rPr>
        <w:t>( ( ( 主题=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机器人</w:t>
      </w:r>
      <w:r>
        <w:rPr>
          <w:rFonts w:ascii="Times New Roman" w:hAnsi="Times New Roman" w:cs="Times New Roman"/>
          <w:color w:val="auto"/>
          <w:highlight w:val="none"/>
        </w:rPr>
        <w:t xml:space="preserve"> 或者 题名=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机器人</w:t>
      </w:r>
      <w:r>
        <w:rPr>
          <w:rFonts w:ascii="Times New Roman" w:hAnsi="Times New Roman" w:cs="Times New Roman"/>
          <w:color w:val="auto"/>
          <w:highlight w:val="none"/>
        </w:rPr>
        <w:t xml:space="preserve"> 或者 v_subject=中英</w:t>
      </w:r>
      <w:r>
        <w:rPr>
          <w:rFonts w:hint="eastAsia" w:ascii="Times New Roman" w:hAnsi="Times New Roman" w:cs="Times New Roman"/>
          <w:color w:val="auto"/>
          <w:highlight w:val="none"/>
        </w:rPr>
        <w:t>文扩展</w:t>
      </w:r>
      <w:r>
        <w:rPr>
          <w:rFonts w:ascii="Times New Roman" w:hAnsi="Times New Roman" w:cs="Times New Roman"/>
          <w:color w:val="auto"/>
          <w:highlight w:val="none"/>
        </w:rPr>
        <w:t>(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机器人</w:t>
      </w:r>
      <w:r>
        <w:rPr>
          <w:rFonts w:ascii="Times New Roman" w:hAnsi="Times New Roman" w:cs="Times New Roman"/>
          <w:color w:val="auto"/>
          <w:highlight w:val="none"/>
        </w:rPr>
        <w:t>) 或者 title=中英文扩展(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机器人</w:t>
      </w:r>
      <w:r>
        <w:rPr>
          <w:rFonts w:ascii="Times New Roman" w:hAnsi="Times New Roman" w:cs="Times New Roman"/>
          <w:color w:val="auto"/>
          <w:highlight w:val="none"/>
        </w:rPr>
        <w:t>)) 或者 (主题=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机器人定位</w:t>
      </w:r>
      <w:r>
        <w:rPr>
          <w:rFonts w:ascii="Times New Roman" w:hAnsi="Times New Roman" w:cs="Times New Roman"/>
          <w:color w:val="auto"/>
          <w:highlight w:val="none"/>
        </w:rPr>
        <w:t xml:space="preserve"> 或者 题名=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机器人定位</w:t>
      </w:r>
      <w:r>
        <w:rPr>
          <w:rFonts w:ascii="Times New Roman" w:hAnsi="Times New Roman" w:cs="Times New Roman"/>
          <w:color w:val="auto"/>
          <w:highlight w:val="none"/>
        </w:rPr>
        <w:t xml:space="preserve"> 或者 v_subject=中英文扩展(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机器人定位</w:t>
      </w:r>
      <w:r>
        <w:rPr>
          <w:rFonts w:ascii="Times New Roman" w:hAnsi="Times New Roman" w:cs="Times New Roman"/>
          <w:color w:val="auto"/>
          <w:highlight w:val="none"/>
        </w:rPr>
        <w:t xml:space="preserve">) </w:t>
      </w:r>
      <w:r>
        <w:rPr>
          <w:rFonts w:hint="eastAsia" w:ascii="Times New Roman" w:hAnsi="Times New Roman" w:cs="Times New Roman"/>
          <w:color w:val="auto"/>
          <w:highlight w:val="none"/>
        </w:rPr>
        <w:t>或者</w:t>
      </w:r>
      <w:r>
        <w:rPr>
          <w:rFonts w:ascii="Times New Roman" w:hAnsi="Times New Roman" w:cs="Times New Roman"/>
          <w:color w:val="auto"/>
          <w:highlight w:val="none"/>
        </w:rPr>
        <w:t xml:space="preserve"> title=中英文扩展(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机器人定位</w:t>
      </w:r>
      <w:r>
        <w:rPr>
          <w:rFonts w:ascii="Times New Roman" w:hAnsi="Times New Roman" w:cs="Times New Roman"/>
          <w:color w:val="auto"/>
          <w:highlight w:val="none"/>
        </w:rPr>
        <w:t>)) ) 或者 ( (主题=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导航</w:t>
      </w:r>
      <w:r>
        <w:rPr>
          <w:rFonts w:ascii="Times New Roman" w:hAnsi="Times New Roman" w:cs="Times New Roman"/>
          <w:color w:val="auto"/>
          <w:highlight w:val="none"/>
        </w:rPr>
        <w:t xml:space="preserve"> 或者</w:t>
      </w:r>
      <w:r>
        <w:rPr>
          <w:rFonts w:hint="eastAsia" w:ascii="Times New Roman" w:hAnsi="Times New Roman" w:cs="Times New Roman"/>
          <w:color w:val="auto"/>
          <w:highlight w:val="none"/>
        </w:rPr>
        <w:t xml:space="preserve"> 题名</w:t>
      </w:r>
      <w:r>
        <w:rPr>
          <w:rFonts w:ascii="Times New Roman" w:hAnsi="Times New Roman" w:cs="Times New Roman"/>
          <w:color w:val="auto"/>
          <w:highlight w:val="none"/>
        </w:rPr>
        <w:t>=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导航</w:t>
      </w:r>
      <w:r>
        <w:rPr>
          <w:rFonts w:ascii="Times New Roman" w:hAnsi="Times New Roman" w:cs="Times New Roman"/>
          <w:color w:val="auto"/>
          <w:highlight w:val="none"/>
        </w:rPr>
        <w:t xml:space="preserve"> 或者 v_subject=中英文扩展(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导航</w:t>
      </w:r>
      <w:r>
        <w:rPr>
          <w:rFonts w:ascii="Times New Roman" w:hAnsi="Times New Roman" w:cs="Times New Roman"/>
          <w:color w:val="auto"/>
          <w:highlight w:val="none"/>
        </w:rPr>
        <w:t>) 或者 title=</w:t>
      </w:r>
      <w:r>
        <w:rPr>
          <w:rFonts w:hint="eastAsia" w:ascii="Times New Roman" w:hAnsi="Times New Roman" w:cs="Times New Roman"/>
          <w:color w:val="auto"/>
          <w:highlight w:val="none"/>
        </w:rPr>
        <w:t>中英文扩展</w:t>
      </w:r>
      <w:r>
        <w:rPr>
          <w:rFonts w:ascii="Times New Roman" w:hAnsi="Times New Roman" w:cs="Times New Roman"/>
          <w:color w:val="auto"/>
          <w:highlight w:val="none"/>
        </w:rPr>
        <w:t>(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导航</w:t>
      </w:r>
      <w:r>
        <w:rPr>
          <w:rFonts w:ascii="Times New Roman" w:hAnsi="Times New Roman" w:cs="Times New Roman"/>
          <w:color w:val="auto"/>
          <w:highlight w:val="none"/>
        </w:rPr>
        <w:t xml:space="preserve">)) ) </w:t>
      </w:r>
      <w:r>
        <w:rPr>
          <w:rFonts w:hint="eastAsia" w:ascii="Times New Roman" w:hAnsi="Times New Roman" w:cs="Times New Roman"/>
          <w:color w:val="auto"/>
          <w:highlight w:val="none"/>
        </w:rPr>
        <w:t>并且</w:t>
      </w:r>
      <w:r>
        <w:rPr>
          <w:rFonts w:ascii="Times New Roman" w:hAnsi="Times New Roman" w:cs="Times New Roman"/>
          <w:color w:val="auto"/>
          <w:highlight w:val="none"/>
        </w:rPr>
        <w:t xml:space="preserve"> ( (主题=</w:t>
      </w:r>
      <w:r>
        <w:rPr>
          <w:rFonts w:hint="eastAsia" w:ascii="Times New Roman" w:hAnsi="Times New Roman" w:cs="Times New Roman"/>
          <w:color w:val="auto"/>
          <w:highlight w:val="none"/>
        </w:rPr>
        <w:t>股骨头坏死</w:t>
      </w:r>
      <w:r>
        <w:rPr>
          <w:rFonts w:ascii="Times New Roman" w:hAnsi="Times New Roman" w:cs="Times New Roman"/>
          <w:color w:val="auto"/>
          <w:highlight w:val="none"/>
        </w:rPr>
        <w:t xml:space="preserve"> 或者 题名=</w:t>
      </w:r>
      <w:r>
        <w:rPr>
          <w:rFonts w:hint="eastAsia" w:ascii="Times New Roman" w:hAnsi="Times New Roman" w:cs="Times New Roman"/>
          <w:color w:val="auto"/>
          <w:highlight w:val="none"/>
        </w:rPr>
        <w:t>股骨头坏死</w:t>
      </w:r>
      <w:r>
        <w:rPr>
          <w:rFonts w:ascii="Times New Roman" w:hAnsi="Times New Roman" w:cs="Times New Roman"/>
          <w:color w:val="auto"/>
          <w:highlight w:val="none"/>
        </w:rPr>
        <w:t xml:space="preserve"> 或者 v_subject=中英</w:t>
      </w:r>
      <w:r>
        <w:rPr>
          <w:rFonts w:hint="eastAsia" w:ascii="Times New Roman" w:hAnsi="Times New Roman" w:cs="Times New Roman"/>
          <w:color w:val="auto"/>
          <w:highlight w:val="none"/>
        </w:rPr>
        <w:t>文扩展</w:t>
      </w:r>
      <w:r>
        <w:rPr>
          <w:rFonts w:ascii="Times New Roman" w:hAnsi="Times New Roman" w:cs="Times New Roman"/>
          <w:color w:val="auto"/>
          <w:highlight w:val="none"/>
        </w:rPr>
        <w:t>(</w:t>
      </w:r>
      <w:r>
        <w:rPr>
          <w:rFonts w:hint="eastAsia" w:ascii="Times New Roman" w:hAnsi="Times New Roman" w:cs="Times New Roman"/>
          <w:color w:val="auto"/>
          <w:highlight w:val="none"/>
        </w:rPr>
        <w:t>股骨头坏死</w:t>
      </w:r>
      <w:r>
        <w:rPr>
          <w:rFonts w:ascii="Times New Roman" w:hAnsi="Times New Roman" w:cs="Times New Roman"/>
          <w:color w:val="auto"/>
          <w:highlight w:val="none"/>
        </w:rPr>
        <w:t>) 或者 title=中英文扩展(</w:t>
      </w:r>
      <w:r>
        <w:rPr>
          <w:rFonts w:hint="eastAsia" w:ascii="Times New Roman" w:hAnsi="Times New Roman" w:cs="Times New Roman"/>
          <w:color w:val="auto"/>
          <w:highlight w:val="none"/>
        </w:rPr>
        <w:t>股骨头坏死</w:t>
      </w:r>
      <w:r>
        <w:rPr>
          <w:rFonts w:ascii="Times New Roman" w:hAnsi="Times New Roman" w:cs="Times New Roman"/>
          <w:color w:val="auto"/>
          <w:highlight w:val="none"/>
        </w:rPr>
        <w:t>)) 或者 (主题=</w:t>
      </w:r>
      <w:r>
        <w:rPr>
          <w:rFonts w:hint="eastAsia" w:ascii="Times New Roman" w:hAnsi="Times New Roman" w:cs="Times New Roman"/>
          <w:color w:val="auto"/>
          <w:highlight w:val="none"/>
        </w:rPr>
        <w:t>股骨头缺血性坏死</w:t>
      </w:r>
      <w:r>
        <w:rPr>
          <w:rFonts w:ascii="Times New Roman" w:hAnsi="Times New Roman" w:cs="Times New Roman"/>
          <w:color w:val="auto"/>
          <w:highlight w:val="none"/>
        </w:rPr>
        <w:t xml:space="preserve"> 或者 题名=</w:t>
      </w:r>
      <w:r>
        <w:rPr>
          <w:rFonts w:hint="eastAsia" w:ascii="Times New Roman" w:hAnsi="Times New Roman" w:cs="Times New Roman"/>
          <w:color w:val="auto"/>
          <w:highlight w:val="none"/>
        </w:rPr>
        <w:t>股骨头缺血性坏死</w:t>
      </w:r>
      <w:r>
        <w:rPr>
          <w:rFonts w:ascii="Times New Roman" w:hAnsi="Times New Roman" w:cs="Times New Roman"/>
          <w:color w:val="auto"/>
          <w:highlight w:val="none"/>
        </w:rPr>
        <w:t xml:space="preserve"> 或者 v_subject=中英</w:t>
      </w:r>
      <w:r>
        <w:rPr>
          <w:rFonts w:hint="eastAsia" w:ascii="Times New Roman" w:hAnsi="Times New Roman" w:cs="Times New Roman"/>
          <w:color w:val="auto"/>
          <w:highlight w:val="none"/>
        </w:rPr>
        <w:t>文扩展</w:t>
      </w:r>
      <w:r>
        <w:rPr>
          <w:rFonts w:ascii="Times New Roman" w:hAnsi="Times New Roman" w:cs="Times New Roman"/>
          <w:color w:val="auto"/>
          <w:highlight w:val="none"/>
        </w:rPr>
        <w:t>(</w:t>
      </w:r>
      <w:r>
        <w:rPr>
          <w:rFonts w:hint="eastAsia" w:ascii="Times New Roman" w:hAnsi="Times New Roman" w:cs="Times New Roman"/>
          <w:color w:val="auto"/>
          <w:highlight w:val="none"/>
        </w:rPr>
        <w:t>股骨头缺血性坏死</w:t>
      </w:r>
      <w:r>
        <w:rPr>
          <w:rFonts w:ascii="Times New Roman" w:hAnsi="Times New Roman" w:cs="Times New Roman"/>
          <w:color w:val="auto"/>
          <w:highlight w:val="none"/>
        </w:rPr>
        <w:t>) 或者 title=中英文扩展(</w:t>
      </w:r>
      <w:r>
        <w:rPr>
          <w:rFonts w:hint="eastAsia" w:ascii="Times New Roman" w:hAnsi="Times New Roman" w:cs="Times New Roman"/>
          <w:color w:val="auto"/>
          <w:highlight w:val="none"/>
        </w:rPr>
        <w:t>股骨头缺血性坏死</w:t>
      </w:r>
      <w:r>
        <w:rPr>
          <w:rFonts w:ascii="Times New Roman" w:hAnsi="Times New Roman" w:cs="Times New Roman"/>
          <w:color w:val="auto"/>
          <w:highlight w:val="none"/>
        </w:rPr>
        <w:t>)) )</w:t>
      </w:r>
    </w:p>
    <w:p>
      <w:pPr>
        <w:rPr>
          <w:rFonts w:ascii="Times New Roman" w:hAnsi="Times New Roman" w:cs="Times New Roman"/>
          <w:color w:val="auto"/>
          <w:highlight w:val="none"/>
        </w:rPr>
      </w:pPr>
    </w:p>
    <w:p>
      <w:pPr>
        <w:rPr>
          <w:rFonts w:ascii="Times New Roman" w:hAnsi="Times New Roman"/>
          <w:i/>
          <w:iCs/>
          <w:color w:val="auto"/>
          <w:sz w:val="24"/>
          <w:szCs w:val="24"/>
          <w:highlight w:val="none"/>
        </w:rPr>
      </w:pPr>
      <w:r>
        <w:rPr>
          <w:rFonts w:ascii="Times New Roman" w:hAnsi="Times New Roman"/>
          <w:i/>
          <w:iCs/>
          <w:color w:val="auto"/>
          <w:sz w:val="24"/>
          <w:szCs w:val="24"/>
          <w:highlight w:val="none"/>
        </w:rPr>
        <w:t>Chinese Science and Technology Periodical database</w:t>
      </w:r>
      <w:r>
        <w:rPr>
          <w:rFonts w:hint="eastAsia" w:ascii="Times New Roman" w:hAnsi="Times New Roman"/>
          <w:i/>
          <w:iCs/>
          <w:color w:val="auto"/>
          <w:sz w:val="24"/>
          <w:szCs w:val="24"/>
          <w:highlight w:val="none"/>
        </w:rPr>
        <w:t>：</w:t>
      </w:r>
    </w:p>
    <w:p>
      <w:pPr>
        <w:rPr>
          <w:rFonts w:ascii="Times New Roman" w:hAnsi="Times New Roman"/>
          <w:color w:val="auto"/>
          <w:szCs w:val="21"/>
          <w:highlight w:val="none"/>
        </w:rPr>
      </w:pPr>
      <w:r>
        <w:rPr>
          <w:rFonts w:ascii="Times New Roman" w:hAnsi="Times New Roman"/>
          <w:color w:val="auto"/>
          <w:szCs w:val="21"/>
          <w:highlight w:val="none"/>
        </w:rPr>
        <w:t>(题名或关键词=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机器人</w:t>
      </w:r>
      <w:r>
        <w:rPr>
          <w:rFonts w:ascii="Times New Roman" w:hAnsi="Times New Roman"/>
          <w:color w:val="auto"/>
          <w:szCs w:val="21"/>
          <w:highlight w:val="none"/>
        </w:rPr>
        <w:t xml:space="preserve"> OR 题名或关键</w:t>
      </w:r>
      <w:r>
        <w:rPr>
          <w:rFonts w:hint="eastAsia" w:ascii="Times New Roman" w:hAnsi="Times New Roman"/>
          <w:color w:val="auto"/>
          <w:szCs w:val="21"/>
          <w:highlight w:val="none"/>
        </w:rPr>
        <w:t>词</w:t>
      </w:r>
      <w:r>
        <w:rPr>
          <w:rFonts w:ascii="Times New Roman" w:hAnsi="Times New Roman"/>
          <w:color w:val="auto"/>
          <w:szCs w:val="21"/>
          <w:highlight w:val="none"/>
        </w:rPr>
        <w:t>=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导航</w:t>
      </w:r>
      <w:r>
        <w:rPr>
          <w:rFonts w:ascii="Times New Roman" w:hAnsi="Times New Roman"/>
          <w:color w:val="auto"/>
          <w:szCs w:val="21"/>
          <w:highlight w:val="none"/>
        </w:rPr>
        <w:t>) AND (题名或关键词=</w:t>
      </w:r>
      <w:r>
        <w:rPr>
          <w:rFonts w:hint="eastAsia" w:ascii="Times New Roman" w:hAnsi="Times New Roman"/>
          <w:color w:val="auto"/>
          <w:szCs w:val="21"/>
          <w:highlight w:val="none"/>
        </w:rPr>
        <w:t>股骨头坏死</w:t>
      </w:r>
      <w:r>
        <w:rPr>
          <w:rFonts w:ascii="Times New Roman" w:hAnsi="Times New Roman"/>
          <w:color w:val="auto"/>
          <w:szCs w:val="21"/>
          <w:highlight w:val="none"/>
        </w:rPr>
        <w:t xml:space="preserve"> OR 题名或关键词=</w:t>
      </w:r>
      <w:r>
        <w:rPr>
          <w:rFonts w:hint="eastAsia" w:ascii="Times New Roman" w:hAnsi="Times New Roman"/>
          <w:color w:val="auto"/>
          <w:szCs w:val="21"/>
          <w:highlight w:val="none"/>
        </w:rPr>
        <w:t>股骨头缺血性坏死</w:t>
      </w:r>
      <w:r>
        <w:rPr>
          <w:rFonts w:ascii="Times New Roman" w:hAnsi="Times New Roman"/>
          <w:color w:val="auto"/>
          <w:szCs w:val="21"/>
          <w:highlight w:val="none"/>
        </w:rPr>
        <w:t>)</w:t>
      </w:r>
    </w:p>
    <w:p>
      <w:pPr>
        <w:rPr>
          <w:rFonts w:ascii="Times New Roman" w:hAnsi="Times New Roman" w:cs="Times New Roman"/>
          <w:color w:val="auto"/>
          <w:highlight w:val="none"/>
        </w:rPr>
      </w:pPr>
    </w:p>
    <w:p>
      <w:pPr>
        <w:rPr>
          <w:rFonts w:ascii="Times New Roman" w:hAnsi="Times New Roman"/>
          <w:i/>
          <w:iCs/>
          <w:color w:val="auto"/>
          <w:sz w:val="24"/>
          <w:szCs w:val="24"/>
          <w:highlight w:val="none"/>
        </w:rPr>
      </w:pPr>
      <w:r>
        <w:rPr>
          <w:rFonts w:ascii="Times New Roman" w:hAnsi="Times New Roman"/>
          <w:i/>
          <w:iCs/>
          <w:color w:val="auto"/>
          <w:sz w:val="24"/>
          <w:szCs w:val="24"/>
          <w:highlight w:val="none"/>
        </w:rPr>
        <w:t>WanFang database</w:t>
      </w:r>
      <w:r>
        <w:rPr>
          <w:rFonts w:hint="eastAsia" w:ascii="Times New Roman" w:hAnsi="Times New Roman"/>
          <w:i/>
          <w:iCs/>
          <w:color w:val="auto"/>
          <w:sz w:val="24"/>
          <w:szCs w:val="24"/>
          <w:highlight w:val="none"/>
        </w:rPr>
        <w:t>：</w:t>
      </w:r>
    </w:p>
    <w:p>
      <w:pPr>
        <w:rPr>
          <w:rFonts w:ascii="Times New Roman" w:hAnsi="Times New Roman"/>
          <w:color w:val="auto"/>
          <w:szCs w:val="21"/>
          <w:highlight w:val="none"/>
        </w:rPr>
      </w:pPr>
      <w:r>
        <w:rPr>
          <w:rFonts w:ascii="Times New Roman" w:hAnsi="Times New Roman"/>
          <w:color w:val="auto"/>
          <w:szCs w:val="21"/>
          <w:highlight w:val="none"/>
        </w:rPr>
        <w:t>(主题:(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机器人</w:t>
      </w:r>
      <w:r>
        <w:rPr>
          <w:rFonts w:ascii="Times New Roman" w:hAnsi="Times New Roman"/>
          <w:color w:val="auto"/>
          <w:szCs w:val="21"/>
          <w:highlight w:val="none"/>
        </w:rPr>
        <w:t>) or 主题:(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导航</w:t>
      </w:r>
      <w:r>
        <w:rPr>
          <w:rFonts w:ascii="Times New Roman" w:hAnsi="Times New Roman"/>
          <w:color w:val="auto"/>
          <w:szCs w:val="21"/>
          <w:highlight w:val="none"/>
        </w:rPr>
        <w:t>) and (主题:(</w:t>
      </w:r>
      <w:r>
        <w:rPr>
          <w:rFonts w:hint="eastAsia" w:ascii="Times New Roman" w:hAnsi="Times New Roman"/>
          <w:color w:val="auto"/>
          <w:szCs w:val="21"/>
          <w:highlight w:val="none"/>
        </w:rPr>
        <w:t>股骨头坏死</w:t>
      </w:r>
      <w:r>
        <w:rPr>
          <w:rFonts w:ascii="Times New Roman" w:hAnsi="Times New Roman"/>
          <w:color w:val="auto"/>
          <w:szCs w:val="21"/>
          <w:highlight w:val="none"/>
        </w:rPr>
        <w:t>) or 主题:(</w:t>
      </w:r>
      <w:r>
        <w:rPr>
          <w:rFonts w:hint="eastAsia" w:ascii="Times New Roman" w:hAnsi="Times New Roman"/>
          <w:color w:val="auto"/>
          <w:szCs w:val="21"/>
          <w:highlight w:val="none"/>
        </w:rPr>
        <w:t>股骨头缺血性坏死</w:t>
      </w:r>
      <w:r>
        <w:rPr>
          <w:rFonts w:ascii="Times New Roman" w:hAnsi="Times New Roman"/>
          <w:color w:val="auto"/>
          <w:szCs w:val="21"/>
          <w:highlight w:val="none"/>
        </w:rPr>
        <w:t xml:space="preserve">) </w:t>
      </w:r>
    </w:p>
    <w:p>
      <w:pPr>
        <w:rPr>
          <w:rFonts w:ascii="Times New Roman" w:hAnsi="Times New Roman"/>
          <w:color w:val="auto"/>
          <w:szCs w:val="21"/>
          <w:highlight w:val="none"/>
        </w:rPr>
      </w:pPr>
    </w:p>
    <w:p>
      <w:pPr>
        <w:rPr>
          <w:rFonts w:ascii="Times New Roman" w:hAnsi="Times New Roman"/>
          <w:i/>
          <w:iCs/>
          <w:color w:val="auto"/>
          <w:sz w:val="24"/>
          <w:szCs w:val="24"/>
          <w:highlight w:val="none"/>
        </w:rPr>
      </w:pPr>
      <w:r>
        <w:rPr>
          <w:rFonts w:ascii="Times New Roman" w:hAnsi="Times New Roman"/>
          <w:i/>
          <w:iCs/>
          <w:color w:val="auto"/>
          <w:sz w:val="24"/>
          <w:szCs w:val="24"/>
          <w:highlight w:val="none"/>
        </w:rPr>
        <w:t>Chinese Biological Medicine database</w:t>
      </w:r>
      <w:r>
        <w:rPr>
          <w:rFonts w:hint="eastAsia" w:ascii="Times New Roman" w:hAnsi="Times New Roman"/>
          <w:i/>
          <w:iCs/>
          <w:color w:val="auto"/>
          <w:sz w:val="24"/>
          <w:szCs w:val="24"/>
          <w:highlight w:val="none"/>
        </w:rPr>
        <w:t>：</w:t>
      </w:r>
    </w:p>
    <w:p>
      <w:pPr>
        <w:rPr>
          <w:rFonts w:ascii="Times New Roman" w:hAnsi="Times New Roman"/>
          <w:color w:val="auto"/>
          <w:szCs w:val="21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#1</w:t>
      </w:r>
      <w:r>
        <w:rPr>
          <w:rFonts w:ascii="Times New Roman" w:hAnsi="Times New Roman"/>
          <w:color w:val="auto"/>
          <w:szCs w:val="21"/>
          <w:highlight w:val="none"/>
        </w:rPr>
        <w:t xml:space="preserve"> "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机器人</w:t>
      </w:r>
      <w:r>
        <w:rPr>
          <w:rFonts w:ascii="Times New Roman" w:hAnsi="Times New Roman"/>
          <w:color w:val="auto"/>
          <w:szCs w:val="21"/>
          <w:highlight w:val="none"/>
        </w:rPr>
        <w:t>"[不加权:扩展]</w:t>
      </w:r>
    </w:p>
    <w:p>
      <w:pPr>
        <w:rPr>
          <w:rFonts w:ascii="Times New Roman" w:hAnsi="Times New Roman"/>
          <w:color w:val="auto"/>
          <w:szCs w:val="21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#2</w:t>
      </w:r>
      <w:r>
        <w:rPr>
          <w:rFonts w:ascii="Times New Roman" w:hAnsi="Times New Roman"/>
          <w:color w:val="auto"/>
          <w:szCs w:val="21"/>
          <w:highlight w:val="none"/>
        </w:rPr>
        <w:t xml:space="preserve"> ("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机器人定位</w:t>
      </w:r>
      <w:r>
        <w:rPr>
          <w:rFonts w:ascii="Times New Roman" w:hAnsi="Times New Roman"/>
          <w:color w:val="auto"/>
          <w:szCs w:val="21"/>
          <w:highlight w:val="none"/>
        </w:rPr>
        <w:t>"[常用字段:智能] OR "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导航</w:t>
      </w:r>
      <w:r>
        <w:rPr>
          <w:rFonts w:ascii="Times New Roman" w:hAnsi="Times New Roman"/>
          <w:color w:val="auto"/>
          <w:szCs w:val="21"/>
          <w:highlight w:val="none"/>
        </w:rPr>
        <w:t>"[常用字</w:t>
      </w:r>
      <w:r>
        <w:rPr>
          <w:rFonts w:hint="eastAsia" w:ascii="Times New Roman" w:hAnsi="Times New Roman"/>
          <w:color w:val="auto"/>
          <w:szCs w:val="21"/>
          <w:highlight w:val="none"/>
        </w:rPr>
        <w:t>段</w:t>
      </w:r>
      <w:r>
        <w:rPr>
          <w:rFonts w:ascii="Times New Roman" w:hAnsi="Times New Roman"/>
          <w:color w:val="auto"/>
          <w:szCs w:val="21"/>
          <w:highlight w:val="none"/>
        </w:rPr>
        <w:t>:智能]</w:t>
      </w:r>
    </w:p>
    <w:p>
      <w:pPr>
        <w:rPr>
          <w:rFonts w:ascii="Times New Roman" w:hAnsi="Times New Roman"/>
          <w:color w:val="auto"/>
          <w:szCs w:val="21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#3</w:t>
      </w:r>
      <w:r>
        <w:rPr>
          <w:rFonts w:ascii="Times New Roman" w:hAnsi="Times New Roman"/>
          <w:color w:val="auto"/>
          <w:szCs w:val="21"/>
          <w:highlight w:val="none"/>
        </w:rPr>
        <w:t xml:space="preserve"> ("</w:t>
      </w:r>
      <w:r>
        <w:rPr>
          <w:rFonts w:hint="eastAsia" w:ascii="Times New Roman" w:hAnsi="Times New Roman"/>
          <w:color w:val="auto"/>
          <w:szCs w:val="21"/>
          <w:highlight w:val="none"/>
        </w:rPr>
        <w:t>股骨头坏死</w:t>
      </w:r>
      <w:r>
        <w:rPr>
          <w:rFonts w:ascii="Times New Roman" w:hAnsi="Times New Roman"/>
          <w:color w:val="auto"/>
          <w:szCs w:val="21"/>
          <w:highlight w:val="none"/>
        </w:rPr>
        <w:t>"[常用字段:智能] OR "</w:t>
      </w:r>
      <w:r>
        <w:rPr>
          <w:rFonts w:hint="eastAsia" w:ascii="Times New Roman" w:hAnsi="Times New Roman"/>
          <w:color w:val="auto"/>
          <w:szCs w:val="21"/>
          <w:highlight w:val="none"/>
        </w:rPr>
        <w:t>股骨头缺血性坏死</w:t>
      </w:r>
      <w:r>
        <w:rPr>
          <w:rFonts w:ascii="Times New Roman" w:hAnsi="Times New Roman"/>
          <w:color w:val="auto"/>
          <w:szCs w:val="21"/>
          <w:highlight w:val="none"/>
        </w:rPr>
        <w:t xml:space="preserve">"[常用字段:智能]) </w:t>
      </w:r>
    </w:p>
    <w:p>
      <w:pPr>
        <w:rPr>
          <w:rFonts w:ascii="Times New Roman" w:hAnsi="Times New Roman"/>
          <w:color w:val="auto"/>
          <w:szCs w:val="21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#4</w:t>
      </w:r>
      <w:r>
        <w:rPr>
          <w:rFonts w:ascii="Times New Roman" w:hAnsi="Times New Roman"/>
          <w:color w:val="auto"/>
          <w:szCs w:val="21"/>
          <w:highlight w:val="none"/>
        </w:rPr>
        <w:t xml:space="preserve"> ((#1) OR (#2))</w:t>
      </w:r>
    </w:p>
    <w:p>
      <w:pPr>
        <w:rPr>
          <w:rFonts w:ascii="Times New Roman" w:hAnsi="Times New Roman"/>
          <w:color w:val="auto"/>
          <w:szCs w:val="21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#5</w:t>
      </w:r>
      <w:r>
        <w:rPr>
          <w:rFonts w:ascii="Times New Roman" w:hAnsi="Times New Roman"/>
          <w:color w:val="auto"/>
          <w:szCs w:val="21"/>
          <w:highlight w:val="none"/>
        </w:rPr>
        <w:t xml:space="preserve"> ((#3) AND ((#4)</w:t>
      </w:r>
    </w:p>
    <w:p>
      <w:pPr>
        <w:ind w:left="361" w:hanging="361" w:hangingChars="200"/>
        <w:rPr>
          <w:rFonts w:hint="eastAsia" w:ascii="Times New Roman" w:hAnsi="Times New Roman"/>
          <w:b/>
          <w:bCs/>
          <w:color w:val="auto"/>
          <w:sz w:val="18"/>
          <w:szCs w:val="18"/>
          <w:highlight w:val="none"/>
        </w:rPr>
        <w:sectPr>
          <w:pgSz w:w="16838" w:h="11906" w:orient="landscape"/>
          <w:pgMar w:top="720" w:right="720" w:bottom="720" w:left="720" w:header="851" w:footer="992" w:gutter="0"/>
          <w:lnNumType w:countBy="1" w:restart="continuous"/>
          <w:cols w:space="425" w:num="1"/>
          <w:docGrid w:type="lines" w:linePitch="312" w:charSpace="0"/>
        </w:sectPr>
      </w:pPr>
    </w:p>
    <w:p>
      <w:pPr>
        <w:ind w:left="361" w:hanging="361" w:hangingChars="200"/>
        <w:rPr>
          <w:rFonts w:hint="default" w:ascii="Times New Roman" w:hAnsi="Times New Roman"/>
          <w:b/>
          <w:bCs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18"/>
          <w:szCs w:val="18"/>
          <w:highlight w:val="none"/>
        </w:rPr>
        <w:t xml:space="preserve">Table </w:t>
      </w:r>
      <w:r>
        <w:rPr>
          <w:rFonts w:hint="eastAsia" w:ascii="Times New Roman" w:hAnsi="Times New Roman"/>
          <w:b/>
          <w:bCs/>
          <w:color w:val="auto"/>
          <w:sz w:val="18"/>
          <w:szCs w:val="18"/>
          <w:highlight w:val="none"/>
          <w:lang w:val="en-US" w:eastAsia="zh-CN"/>
        </w:rPr>
        <w:t>S1</w:t>
      </w:r>
    </w:p>
    <w:p>
      <w:pPr>
        <w:rPr>
          <w:rFonts w:ascii="Times New Roman" w:hAnsi="Times New Roman"/>
          <w:color w:val="auto"/>
          <w:sz w:val="18"/>
          <w:szCs w:val="18"/>
          <w:highlight w:val="none"/>
        </w:rPr>
      </w:pPr>
      <w:r>
        <w:rPr>
          <w:rFonts w:hint="eastAsia" w:ascii="Times New Roman" w:hAnsi="Times New Roman"/>
          <w:color w:val="auto"/>
          <w:sz w:val="18"/>
          <w:szCs w:val="18"/>
          <w:highlight w:val="none"/>
          <w:lang w:val="en-US" w:eastAsia="zh-CN"/>
        </w:rPr>
        <w:t>Bias risk assessment results of included retrospect studies</w:t>
      </w:r>
      <w:r>
        <w:rPr>
          <w:rFonts w:ascii="Times New Roman" w:hAnsi="Times New Roman"/>
          <w:color w:val="auto"/>
          <w:sz w:val="18"/>
          <w:szCs w:val="18"/>
          <w:highlight w:val="none"/>
        </w:rPr>
        <w:t>.</w:t>
      </w:r>
    </w:p>
    <w:p>
      <w:pPr>
        <w:ind w:left="361" w:hanging="361" w:hangingChars="200"/>
        <w:rPr>
          <w:rFonts w:hint="eastAsia" w:ascii="Times New Roman" w:hAnsi="Times New Roman"/>
          <w:b/>
          <w:bCs/>
          <w:color w:val="auto"/>
          <w:sz w:val="18"/>
          <w:szCs w:val="18"/>
          <w:highlight w:val="none"/>
        </w:rPr>
      </w:pPr>
    </w:p>
    <w:tbl>
      <w:tblPr>
        <w:tblStyle w:val="7"/>
        <w:tblW w:w="47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9"/>
        <w:gridCol w:w="1123"/>
        <w:gridCol w:w="1126"/>
        <w:gridCol w:w="1129"/>
        <w:gridCol w:w="1156"/>
        <w:gridCol w:w="1807"/>
        <w:gridCol w:w="1129"/>
        <w:gridCol w:w="1129"/>
        <w:gridCol w:w="1142"/>
        <w:gridCol w:w="2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pct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Study</w:t>
            </w:r>
          </w:p>
        </w:tc>
        <w:tc>
          <w:tcPr>
            <w:tcW w:w="1518" w:type="pct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Selection</w:t>
            </w:r>
          </w:p>
        </w:tc>
        <w:tc>
          <w:tcPr>
            <w:tcW w:w="605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Comparability</w:t>
            </w:r>
          </w:p>
        </w:tc>
        <w:tc>
          <w:tcPr>
            <w:tcW w:w="1138" w:type="pct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Outcome</w:t>
            </w:r>
          </w:p>
        </w:tc>
        <w:tc>
          <w:tcPr>
            <w:tcW w:w="993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Newcastle-Ottawa Scale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pct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376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Q1</w:t>
            </w:r>
          </w:p>
        </w:tc>
        <w:tc>
          <w:tcPr>
            <w:tcW w:w="37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Q2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Q3</w:t>
            </w:r>
          </w:p>
        </w:tc>
        <w:tc>
          <w:tcPr>
            <w:tcW w:w="38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Q4</w:t>
            </w:r>
          </w:p>
        </w:tc>
        <w:tc>
          <w:tcPr>
            <w:tcW w:w="605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Q5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Q6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Q7</w:t>
            </w:r>
          </w:p>
        </w:tc>
        <w:tc>
          <w:tcPr>
            <w:tcW w:w="38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Q8</w:t>
            </w:r>
          </w:p>
        </w:tc>
        <w:tc>
          <w:tcPr>
            <w:tcW w:w="993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Overall 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pct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Tian et al.,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2023 [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376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8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605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38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Calibri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pct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Liu et al.,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宋体" w:cs="Calibri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2022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376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8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605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38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Calibri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pct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Zhang et al.,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宋体" w:cs="Calibri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2022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376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8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605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38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Calibri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pct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Li et al.,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宋体" w:cs="Calibri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Calibri"/>
                <w:kern w:val="2"/>
                <w:sz w:val="21"/>
                <w:szCs w:val="21"/>
                <w:lang w:val="en-US" w:eastAsia="zh-CN" w:bidi="ar"/>
              </w:rPr>
              <w:t>2022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 xml:space="preserve">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376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8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605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38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Calibri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pct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Luo et al.,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宋体" w:cs="Calibr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2020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376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8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605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38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Calibri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pct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Luo J et al.,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宋体" w:cs="Calibri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Calibri"/>
                <w:kern w:val="2"/>
                <w:sz w:val="21"/>
                <w:szCs w:val="21"/>
                <w:lang w:val="en-US" w:eastAsia="zh-CN" w:bidi="ar"/>
              </w:rPr>
              <w:t>2020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 xml:space="preserve">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376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8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605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38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Calibri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43" w:type="pct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Bi et al.,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宋体" w:cs="Calibri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Calibri"/>
                <w:kern w:val="2"/>
                <w:sz w:val="21"/>
                <w:szCs w:val="21"/>
                <w:lang w:val="en-US" w:eastAsia="zh-CN" w:bidi="ar"/>
              </w:rPr>
              <w:t>2019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 xml:space="preserve">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376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8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605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38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Calibri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8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color w:val="000000"/>
          <w:kern w:val="0"/>
          <w:szCs w:val="21"/>
          <w:lang w:val="en-US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Notes: Q1. Representativeness of the exposed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group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; Q2. Representativeness of the non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-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exposed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group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; Q3. Identification of exposure factors; Q4. Confirmation of no outcome indicators to be observed at the beginning of the study; Q5. Comparability on the basis of the design or analysis; Q6. Assessment of outcome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indicators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; Q7. Adequate follow-up duration; Q8. Completeness of follow‐up between the exposed and unexposed groups.</w:t>
      </w:r>
    </w:p>
    <w:p>
      <w:pPr>
        <w:ind w:left="361" w:hanging="361" w:hangingChars="200"/>
        <w:rPr>
          <w:rFonts w:hint="eastAsia" w:ascii="Times New Roman" w:hAnsi="Times New Roman"/>
          <w:b/>
          <w:bCs/>
          <w:color w:val="auto"/>
          <w:sz w:val="18"/>
          <w:szCs w:val="18"/>
          <w:highlight w:val="none"/>
        </w:rPr>
        <w:sectPr>
          <w:pgSz w:w="16838" w:h="11906" w:orient="landscape"/>
          <w:pgMar w:top="720" w:right="720" w:bottom="720" w:left="720" w:header="851" w:footer="992" w:gutter="0"/>
          <w:lnNumType w:countBy="1" w:restart="continuous"/>
          <w:cols w:space="425" w:num="1"/>
          <w:docGrid w:type="lines" w:linePitch="312" w:charSpace="0"/>
        </w:sectPr>
      </w:pPr>
    </w:p>
    <w:p>
      <w:pPr>
        <w:ind w:left="361" w:hanging="361" w:hangingChars="200"/>
        <w:rPr>
          <w:rFonts w:hint="default" w:ascii="Times New Roman" w:hAnsi="Times New Roman"/>
          <w:b/>
          <w:bCs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18"/>
          <w:szCs w:val="18"/>
          <w:highlight w:val="none"/>
        </w:rPr>
        <w:t xml:space="preserve">Table </w:t>
      </w:r>
      <w:r>
        <w:rPr>
          <w:rFonts w:hint="eastAsia" w:ascii="Times New Roman" w:hAnsi="Times New Roman"/>
          <w:b/>
          <w:bCs/>
          <w:color w:val="auto"/>
          <w:sz w:val="18"/>
          <w:szCs w:val="18"/>
          <w:highlight w:val="none"/>
          <w:lang w:val="en-US" w:eastAsia="zh-CN"/>
        </w:rPr>
        <w:t>S2</w:t>
      </w:r>
    </w:p>
    <w:p>
      <w:pPr>
        <w:rPr>
          <w:rFonts w:ascii="Times New Roman" w:hAnsi="Times New Roman"/>
          <w:color w:val="auto"/>
          <w:sz w:val="18"/>
          <w:szCs w:val="18"/>
          <w:highlight w:val="none"/>
        </w:rPr>
      </w:pPr>
      <w:r>
        <w:rPr>
          <w:rFonts w:hint="eastAsia" w:ascii="Times New Roman" w:hAnsi="Times New Roman"/>
          <w:color w:val="auto"/>
          <w:sz w:val="18"/>
          <w:szCs w:val="18"/>
          <w:highlight w:val="none"/>
          <w:lang w:val="en-US" w:eastAsia="zh-CN"/>
        </w:rPr>
        <w:t>Seneitivity analysis for operative duration</w:t>
      </w:r>
      <w:r>
        <w:rPr>
          <w:rFonts w:ascii="Times New Roman" w:hAnsi="Times New Roman"/>
          <w:color w:val="auto"/>
          <w:sz w:val="18"/>
          <w:szCs w:val="18"/>
          <w:highlight w:val="none"/>
        </w:rPr>
        <w:t>.</w:t>
      </w:r>
    </w:p>
    <w:tbl>
      <w:tblPr>
        <w:tblStyle w:val="7"/>
        <w:tblpPr w:leftFromText="180" w:rightFromText="180" w:vertAnchor="text" w:horzAnchor="page" w:tblpXSpec="center" w:tblpY="310"/>
        <w:tblOverlap w:val="never"/>
        <w:tblW w:w="144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2230"/>
        <w:gridCol w:w="2230"/>
        <w:gridCol w:w="1928"/>
        <w:gridCol w:w="1928"/>
        <w:gridCol w:w="1928"/>
        <w:gridCol w:w="1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Eliminated study</w:t>
            </w:r>
          </w:p>
        </w:tc>
        <w:tc>
          <w:tcPr>
            <w:tcW w:w="446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Heterogeneity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Effect Model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MD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2"/>
                <w:sz w:val="21"/>
                <w:szCs w:val="21"/>
                <w:highlight w:val="none"/>
              </w:rPr>
              <w:t>95% CI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2"/>
                <w:sz w:val="21"/>
                <w:szCs w:val="21"/>
                <w:highlight w:val="none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0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2"/>
                <w:sz w:val="21"/>
                <w:szCs w:val="21"/>
                <w:highlight w:val="none"/>
              </w:rPr>
              <w:t>P Value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 xml:space="preserve">2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(%)</w:t>
            </w:r>
          </w:p>
        </w:tc>
        <w:tc>
          <w:tcPr>
            <w:tcW w:w="1928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28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28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28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宋体" w:cs="Calibri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Calibri"/>
                <w:color w:val="auto"/>
                <w:highlight w:val="none"/>
                <w:lang w:val="en-US" w:eastAsia="zh-CN" w:bidi="ar"/>
              </w:rPr>
              <w:t>None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98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-17.60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-23.41 to -11.78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Tian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2023 [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96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-19.57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-24.39 to -14.74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Liu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Calibri"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2022 [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98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-15.88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-21.95 to -9.81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Zhang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Calibri"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2022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98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-17.33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-25.62 to -9.03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Li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Calibri"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Calibri"/>
                <w:kern w:val="2"/>
                <w:sz w:val="21"/>
                <w:szCs w:val="21"/>
                <w:lang w:val="en-US" w:eastAsia="zh-CN" w:bidi="ar"/>
              </w:rPr>
              <w:t>2022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 xml:space="preserve">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97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-16.83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-24.25 to -9.42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Luo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宋体" w:cs="Calibri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2020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98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-18.21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-24.71 to -11.70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Luo J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Calibri"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Calibri"/>
                <w:kern w:val="2"/>
                <w:sz w:val="21"/>
                <w:szCs w:val="21"/>
                <w:lang w:val="en-US" w:eastAsia="zh-CN" w:bidi="ar"/>
              </w:rPr>
              <w:t>2020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 xml:space="preserve">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97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-19.19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-24.99 to -13.40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Bi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Calibri"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Calibri"/>
                <w:kern w:val="2"/>
                <w:sz w:val="21"/>
                <w:szCs w:val="21"/>
                <w:lang w:val="en-US" w:eastAsia="zh-CN" w:bidi="ar"/>
              </w:rPr>
              <w:t>2019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 xml:space="preserve">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98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-16.55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-22.90 to -10.19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001</w:t>
            </w:r>
          </w:p>
        </w:tc>
      </w:tr>
    </w:tbl>
    <w:p>
      <w:pPr>
        <w:widowControl/>
        <w:jc w:val="both"/>
        <w:rPr>
          <w:rFonts w:ascii="Times New Roman" w:hAnsi="Times New Roman"/>
          <w:color w:val="auto"/>
          <w:szCs w:val="21"/>
          <w:highlight w:val="none"/>
        </w:rPr>
        <w:sectPr>
          <w:pgSz w:w="16838" w:h="11906" w:orient="landscape"/>
          <w:pgMar w:top="720" w:right="720" w:bottom="720" w:left="720" w:header="851" w:footer="992" w:gutter="0"/>
          <w:lnNumType w:countBy="1" w:restart="continuous"/>
          <w:cols w:space="425" w:num="1"/>
          <w:docGrid w:type="lines" w:linePitch="312" w:charSpace="0"/>
        </w:sectPr>
      </w:pPr>
    </w:p>
    <w:p>
      <w:pPr>
        <w:ind w:left="361" w:hanging="361" w:hangingChars="200"/>
        <w:rPr>
          <w:rFonts w:hint="default" w:ascii="Times New Roman" w:hAnsi="Times New Roman"/>
          <w:b/>
          <w:bCs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18"/>
          <w:szCs w:val="18"/>
          <w:highlight w:val="none"/>
        </w:rPr>
        <w:t xml:space="preserve">Table </w:t>
      </w:r>
      <w:r>
        <w:rPr>
          <w:rFonts w:hint="eastAsia" w:ascii="Times New Roman" w:hAnsi="Times New Roman"/>
          <w:b/>
          <w:bCs/>
          <w:color w:val="auto"/>
          <w:sz w:val="18"/>
          <w:szCs w:val="18"/>
          <w:highlight w:val="none"/>
          <w:lang w:val="en-US" w:eastAsia="zh-CN"/>
        </w:rPr>
        <w:t>S3</w:t>
      </w:r>
    </w:p>
    <w:p>
      <w:pPr>
        <w:rPr>
          <w:rFonts w:ascii="Times New Roman" w:hAnsi="Times New Roman"/>
          <w:color w:val="auto"/>
          <w:sz w:val="18"/>
          <w:szCs w:val="18"/>
          <w:highlight w:val="none"/>
        </w:rPr>
      </w:pPr>
      <w:r>
        <w:rPr>
          <w:rFonts w:hint="eastAsia" w:ascii="Times New Roman" w:hAnsi="Times New Roman"/>
          <w:color w:val="auto"/>
          <w:sz w:val="18"/>
          <w:szCs w:val="18"/>
          <w:highlight w:val="none"/>
          <w:lang w:val="en-US" w:eastAsia="zh-CN"/>
        </w:rPr>
        <w:t>Seneitivity analysis for intraoperative blood loss volume</w:t>
      </w:r>
      <w:r>
        <w:rPr>
          <w:rFonts w:ascii="Times New Roman" w:hAnsi="Times New Roman"/>
          <w:color w:val="auto"/>
          <w:sz w:val="18"/>
          <w:szCs w:val="18"/>
          <w:highlight w:val="none"/>
        </w:rPr>
        <w:t>.</w:t>
      </w:r>
    </w:p>
    <w:tbl>
      <w:tblPr>
        <w:tblStyle w:val="7"/>
        <w:tblpPr w:leftFromText="180" w:rightFromText="180" w:vertAnchor="text" w:horzAnchor="page" w:tblpXSpec="center" w:tblpY="310"/>
        <w:tblOverlap w:val="never"/>
        <w:tblW w:w="144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2230"/>
        <w:gridCol w:w="2230"/>
        <w:gridCol w:w="1928"/>
        <w:gridCol w:w="1928"/>
        <w:gridCol w:w="1928"/>
        <w:gridCol w:w="1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Eliminated study</w:t>
            </w:r>
          </w:p>
        </w:tc>
        <w:tc>
          <w:tcPr>
            <w:tcW w:w="446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Heterogeneity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Effect Model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MD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2"/>
                <w:sz w:val="21"/>
                <w:szCs w:val="21"/>
                <w:highlight w:val="none"/>
              </w:rPr>
              <w:t>95% CI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2"/>
                <w:sz w:val="21"/>
                <w:szCs w:val="21"/>
                <w:highlight w:val="none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0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2"/>
                <w:sz w:val="21"/>
                <w:szCs w:val="21"/>
                <w:highlight w:val="none"/>
              </w:rPr>
              <w:t>P Value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 xml:space="preserve">2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(%)</w:t>
            </w:r>
          </w:p>
        </w:tc>
        <w:tc>
          <w:tcPr>
            <w:tcW w:w="1928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28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28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28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宋体" w:cs="Calibri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Calibri"/>
                <w:color w:val="auto"/>
                <w:highlight w:val="none"/>
                <w:lang w:val="en-US" w:eastAsia="zh-CN" w:bidi="ar"/>
              </w:rPr>
              <w:t>None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97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-19.98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-28.84 to -11.11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Tian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2023 [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96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-23.31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-31.63 to -14.98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Liu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Calibri"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2022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97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-15.42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-24.68 to -6.16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Zhang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Calibri"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2022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98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-21.53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-31.08 to -11.97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Li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Calibri"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Calibri"/>
                <w:kern w:val="2"/>
                <w:sz w:val="21"/>
                <w:szCs w:val="21"/>
                <w:lang w:val="en-US" w:eastAsia="zh-CN" w:bidi="ar"/>
              </w:rPr>
              <w:t>2022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 xml:space="preserve">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97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-23.12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-32.29 to -13.94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Luo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宋体" w:cs="Calibri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2020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97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-20.14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-36.95 to -3.32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Luo J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Calibri"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Calibri"/>
                <w:kern w:val="2"/>
                <w:sz w:val="21"/>
                <w:szCs w:val="21"/>
                <w:lang w:val="en-US" w:eastAsia="zh-CN" w:bidi="ar"/>
              </w:rPr>
              <w:t>2020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 xml:space="preserve">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94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-17.57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-29.90 to -5.24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</w:tr>
    </w:tbl>
    <w:p>
      <w:pPr>
        <w:tabs>
          <w:tab w:val="left" w:pos="4077"/>
        </w:tabs>
        <w:bidi w:val="0"/>
        <w:jc w:val="left"/>
        <w:rPr>
          <w:rFonts w:hint="eastAsia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lnNumType w:countBy="1" w:restart="continuous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ab/>
      </w:r>
    </w:p>
    <w:p>
      <w:pPr>
        <w:ind w:left="361" w:hanging="361" w:hangingChars="200"/>
        <w:rPr>
          <w:rFonts w:hint="default" w:ascii="Times New Roman" w:hAnsi="Times New Roman"/>
          <w:b/>
          <w:bCs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18"/>
          <w:szCs w:val="18"/>
          <w:highlight w:val="none"/>
        </w:rPr>
        <w:t xml:space="preserve">Table </w:t>
      </w:r>
      <w:r>
        <w:rPr>
          <w:rFonts w:hint="eastAsia" w:ascii="Times New Roman" w:hAnsi="Times New Roman"/>
          <w:b/>
          <w:bCs/>
          <w:color w:val="auto"/>
          <w:sz w:val="18"/>
          <w:szCs w:val="18"/>
          <w:highlight w:val="none"/>
          <w:lang w:val="en-US" w:eastAsia="zh-CN"/>
        </w:rPr>
        <w:t>S4</w:t>
      </w:r>
    </w:p>
    <w:p>
      <w:pPr>
        <w:rPr>
          <w:rFonts w:ascii="Times New Roman" w:hAnsi="Times New Roman"/>
          <w:color w:val="auto"/>
          <w:sz w:val="18"/>
          <w:szCs w:val="18"/>
          <w:highlight w:val="none"/>
        </w:rPr>
      </w:pPr>
      <w:r>
        <w:rPr>
          <w:rFonts w:hint="eastAsia" w:ascii="Times New Roman" w:hAnsi="Times New Roman"/>
          <w:color w:val="auto"/>
          <w:sz w:val="18"/>
          <w:szCs w:val="18"/>
          <w:highlight w:val="none"/>
          <w:lang w:val="en-US" w:eastAsia="zh-CN"/>
        </w:rPr>
        <w:t>Seneitivity analysis for frequency of intraoperative fluoroscopies</w:t>
      </w:r>
      <w:r>
        <w:rPr>
          <w:rFonts w:ascii="Times New Roman" w:hAnsi="Times New Roman"/>
          <w:color w:val="auto"/>
          <w:sz w:val="18"/>
          <w:szCs w:val="18"/>
          <w:highlight w:val="none"/>
        </w:rPr>
        <w:t>.</w:t>
      </w:r>
    </w:p>
    <w:tbl>
      <w:tblPr>
        <w:tblStyle w:val="7"/>
        <w:tblpPr w:leftFromText="180" w:rightFromText="180" w:vertAnchor="text" w:horzAnchor="page" w:tblpXSpec="center" w:tblpY="310"/>
        <w:tblOverlap w:val="never"/>
        <w:tblW w:w="144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2230"/>
        <w:gridCol w:w="2230"/>
        <w:gridCol w:w="1928"/>
        <w:gridCol w:w="1928"/>
        <w:gridCol w:w="1928"/>
        <w:gridCol w:w="1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Eliminated study</w:t>
            </w:r>
          </w:p>
        </w:tc>
        <w:tc>
          <w:tcPr>
            <w:tcW w:w="446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Heterogeneity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Effect Model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MD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2"/>
                <w:sz w:val="21"/>
                <w:szCs w:val="21"/>
                <w:highlight w:val="none"/>
              </w:rPr>
              <w:t>95% CI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2"/>
                <w:sz w:val="21"/>
                <w:szCs w:val="21"/>
                <w:highlight w:val="none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0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2"/>
                <w:sz w:val="21"/>
                <w:szCs w:val="21"/>
                <w:highlight w:val="none"/>
              </w:rPr>
              <w:t>P Value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 xml:space="preserve">2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(%)</w:t>
            </w:r>
          </w:p>
        </w:tc>
        <w:tc>
          <w:tcPr>
            <w:tcW w:w="1928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28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28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28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宋体" w:cs="Calibri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Calibri"/>
                <w:color w:val="auto"/>
                <w:highlight w:val="none"/>
                <w:lang w:val="en-US" w:eastAsia="zh-CN" w:bidi="ar"/>
              </w:rPr>
              <w:t>None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98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-6.60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-9.01 to -4.20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Tian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2023 [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98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-7.02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-9.73 to -4.30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Zhang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Calibri"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2022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82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-5.70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-6.86 to -4.54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Li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Calibri"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Calibri"/>
                <w:kern w:val="2"/>
                <w:sz w:val="21"/>
                <w:szCs w:val="21"/>
                <w:lang w:val="en-US" w:eastAsia="zh-CN" w:bidi="ar"/>
              </w:rPr>
              <w:t>2022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 xml:space="preserve">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97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-6.99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-9.69 to -4.29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Luo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宋体" w:cs="Calibri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2020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98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-6.93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-9.84 to -4.02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Luo J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Calibri"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Calibri"/>
                <w:kern w:val="2"/>
                <w:sz w:val="21"/>
                <w:szCs w:val="21"/>
                <w:lang w:val="en-US" w:eastAsia="zh-CN" w:bidi="ar"/>
              </w:rPr>
              <w:t>2020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 xml:space="preserve">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0.00001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98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-6.39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-9.41 to -3.38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</w:tr>
    </w:tbl>
    <w:p>
      <w:pPr>
        <w:tabs>
          <w:tab w:val="left" w:pos="14105"/>
        </w:tabs>
        <w:bidi w:val="0"/>
        <w:jc w:val="left"/>
        <w:rPr>
          <w:rFonts w:hint="eastAsia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lnNumType w:countBy="1" w:restart="continuous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ab/>
      </w:r>
    </w:p>
    <w:p>
      <w:pPr>
        <w:ind w:left="361" w:hanging="361" w:hangingChars="200"/>
        <w:rPr>
          <w:rFonts w:hint="default" w:ascii="Times New Roman" w:hAnsi="Times New Roman"/>
          <w:b/>
          <w:bCs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18"/>
          <w:szCs w:val="18"/>
          <w:highlight w:val="none"/>
        </w:rPr>
        <w:t xml:space="preserve">Table </w:t>
      </w:r>
      <w:r>
        <w:rPr>
          <w:rFonts w:hint="eastAsia" w:ascii="Times New Roman" w:hAnsi="Times New Roman"/>
          <w:b/>
          <w:bCs/>
          <w:color w:val="auto"/>
          <w:sz w:val="18"/>
          <w:szCs w:val="18"/>
          <w:highlight w:val="none"/>
          <w:lang w:val="en-US" w:eastAsia="zh-CN"/>
        </w:rPr>
        <w:t>S5</w:t>
      </w:r>
    </w:p>
    <w:p>
      <w:pPr>
        <w:rPr>
          <w:rFonts w:ascii="Times New Roman" w:hAnsi="Times New Roman"/>
          <w:color w:val="auto"/>
          <w:sz w:val="18"/>
          <w:szCs w:val="18"/>
          <w:highlight w:val="none"/>
        </w:rPr>
      </w:pPr>
      <w:r>
        <w:rPr>
          <w:rFonts w:hint="eastAsia" w:ascii="Times New Roman" w:hAnsi="Times New Roman"/>
          <w:color w:val="auto"/>
          <w:sz w:val="18"/>
          <w:szCs w:val="18"/>
          <w:highlight w:val="none"/>
          <w:lang w:val="en-US" w:eastAsia="zh-CN"/>
        </w:rPr>
        <w:t xml:space="preserve">Seneitivity analysis for </w:t>
      </w:r>
      <w:r>
        <w:rPr>
          <w:rFonts w:hint="default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t>ΔH</w:t>
      </w:r>
      <w:r>
        <w:rPr>
          <w:rFonts w:hint="eastAsia" w:ascii="Times New Roman" w:hAnsi="Times New Roman"/>
          <w:color w:val="auto"/>
          <w:sz w:val="18"/>
          <w:szCs w:val="18"/>
          <w:highlight w:val="none"/>
          <w:lang w:val="en-US" w:eastAsia="zh-CN"/>
        </w:rPr>
        <w:t>HS</w:t>
      </w:r>
      <w:r>
        <w:rPr>
          <w:rFonts w:ascii="Times New Roman" w:hAnsi="Times New Roman"/>
          <w:color w:val="auto"/>
          <w:sz w:val="18"/>
          <w:szCs w:val="18"/>
          <w:highlight w:val="none"/>
        </w:rPr>
        <w:t>.</w:t>
      </w:r>
    </w:p>
    <w:tbl>
      <w:tblPr>
        <w:tblStyle w:val="7"/>
        <w:tblpPr w:leftFromText="180" w:rightFromText="180" w:vertAnchor="text" w:horzAnchor="page" w:tblpXSpec="center" w:tblpY="310"/>
        <w:tblOverlap w:val="never"/>
        <w:tblW w:w="144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2230"/>
        <w:gridCol w:w="2230"/>
        <w:gridCol w:w="1928"/>
        <w:gridCol w:w="1928"/>
        <w:gridCol w:w="1928"/>
        <w:gridCol w:w="1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Eliminated study</w:t>
            </w:r>
          </w:p>
        </w:tc>
        <w:tc>
          <w:tcPr>
            <w:tcW w:w="446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Heterogeneity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Effect Model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MD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2"/>
                <w:sz w:val="21"/>
                <w:szCs w:val="21"/>
                <w:highlight w:val="none"/>
              </w:rPr>
              <w:t>95% CI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2"/>
                <w:sz w:val="21"/>
                <w:szCs w:val="21"/>
                <w:highlight w:val="none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0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2"/>
                <w:sz w:val="21"/>
                <w:szCs w:val="21"/>
                <w:highlight w:val="none"/>
              </w:rPr>
              <w:t>P Value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 xml:space="preserve">2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(%)</w:t>
            </w:r>
          </w:p>
        </w:tc>
        <w:tc>
          <w:tcPr>
            <w:tcW w:w="1928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28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28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28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宋体" w:cs="Calibri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Calibri"/>
                <w:color w:val="auto"/>
                <w:highlight w:val="none"/>
                <w:lang w:val="en-US" w:eastAsia="zh-CN" w:bidi="ar"/>
              </w:rPr>
              <w:t>None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06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67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0.51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-1.34 to 2.35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Tian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2023 [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62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0.07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-1.85 to 1.99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Liu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Calibri"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2022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39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Fixed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-0.29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-1.69 to 1.10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Zhang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Calibri"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2022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65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1.04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-1.07 to 3.16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Li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Calibri"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Calibri"/>
                <w:kern w:val="2"/>
                <w:sz w:val="21"/>
                <w:szCs w:val="21"/>
                <w:lang w:val="en-US" w:eastAsia="zh-CN" w:bidi="ar"/>
              </w:rPr>
              <w:t>2022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 xml:space="preserve">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07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69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0.92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-1.43 to 3.26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Luo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宋体" w:cs="Calibri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2020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003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72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0.70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-1.32 to 2.73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Luo J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Calibri"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Calibri"/>
                <w:kern w:val="2"/>
                <w:sz w:val="21"/>
                <w:szCs w:val="21"/>
                <w:lang w:val="en-US" w:eastAsia="zh-CN" w:bidi="ar"/>
              </w:rPr>
              <w:t>2020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 xml:space="preserve">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03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72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0.49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-1.62 to 2.59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Times New Roman" w:cs="Calibri"/>
                <w:lang w:val="en-US"/>
              </w:rPr>
            </w:pP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Bi et al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Times New Roman" w:hAnsi="Times New Roman" w:cs="Calibri"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Calibri"/>
                <w:kern w:val="2"/>
                <w:sz w:val="21"/>
                <w:szCs w:val="21"/>
                <w:lang w:val="en-US" w:eastAsia="zh-CN" w:bidi="ar"/>
              </w:rPr>
              <w:t>2019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 xml:space="preserve"> [2</w:t>
            </w:r>
            <w:r>
              <w:rPr>
                <w:rFonts w:hint="eastAsia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Times New Roman" w:cs="Calibri"/>
                <w:kern w:val="2"/>
                <w:sz w:val="21"/>
                <w:szCs w:val="21"/>
                <w:lang w:val="en-US" w:eastAsia="zh-CN" w:bidi="ar"/>
              </w:rPr>
              <w:t>]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03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72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Random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0.68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-1.43 to 2.79</w:t>
            </w:r>
          </w:p>
        </w:tc>
        <w:tc>
          <w:tcPr>
            <w:tcW w:w="192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53</w:t>
            </w:r>
          </w:p>
        </w:tc>
      </w:tr>
    </w:tbl>
    <w:p>
      <w:pPr>
        <w:tabs>
          <w:tab w:val="left" w:pos="14105"/>
        </w:tabs>
        <w:bidi w:val="0"/>
        <w:jc w:val="left"/>
        <w:rPr>
          <w:rFonts w:hint="eastAsia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lnNumType w:countBy="1" w:restart="continuous"/>
          <w:cols w:space="425" w:num="1"/>
          <w:docGrid w:type="lines" w:linePitch="312" w:charSpace="0"/>
        </w:sectPr>
      </w:pPr>
    </w:p>
    <w:p>
      <w:pPr>
        <w:ind w:left="361" w:hanging="361" w:hangingChars="200"/>
        <w:rPr>
          <w:rFonts w:hint="eastAsia" w:ascii="Times New Roman" w:hAnsi="Times New Roman"/>
          <w:b/>
          <w:bCs/>
          <w:color w:val="FF0000"/>
          <w:sz w:val="18"/>
          <w:szCs w:val="18"/>
          <w:highlight w:val="none"/>
          <w:lang w:val="en-US" w:eastAsia="zh-CN"/>
        </w:rPr>
      </w:pPr>
      <w:bookmarkStart w:id="3" w:name="_GoBack"/>
      <w:r>
        <w:rPr>
          <w:rFonts w:hint="eastAsia" w:ascii="Times New Roman" w:hAnsi="Times New Roman"/>
          <w:b/>
          <w:bCs/>
          <w:color w:val="FF0000"/>
          <w:sz w:val="18"/>
          <w:szCs w:val="18"/>
          <w:highlight w:val="none"/>
        </w:rPr>
        <w:t xml:space="preserve">Table </w:t>
      </w:r>
      <w:r>
        <w:rPr>
          <w:rFonts w:hint="eastAsia" w:ascii="Times New Roman" w:hAnsi="Times New Roman"/>
          <w:b/>
          <w:bCs/>
          <w:color w:val="FF0000"/>
          <w:sz w:val="18"/>
          <w:szCs w:val="18"/>
          <w:highlight w:val="none"/>
          <w:lang w:val="en-US" w:eastAsia="zh-CN"/>
        </w:rPr>
        <w:t>S6</w:t>
      </w:r>
    </w:p>
    <w:p>
      <w:pPr>
        <w:ind w:left="361" w:hanging="360" w:hangingChars="200"/>
        <w:rPr>
          <w:rFonts w:hint="default" w:ascii="Times New Roman" w:hAnsi="Times New Roman" w:cs="Times New Roman"/>
          <w:color w:val="FF0000"/>
          <w:sz w:val="18"/>
          <w:szCs w:val="18"/>
        </w:rPr>
      </w:pPr>
      <w:r>
        <w:rPr>
          <w:rFonts w:hint="eastAsia" w:ascii="Times New Roman" w:hAnsi="Times New Roman" w:cs="Times New Roman"/>
          <w:color w:val="FF0000"/>
          <w:sz w:val="18"/>
          <w:szCs w:val="18"/>
          <w:lang w:val="en-US" w:eastAsia="zh-CN"/>
        </w:rPr>
        <w:t>GRADE evaluation of evidence quality</w:t>
      </w:r>
      <w:r>
        <w:rPr>
          <w:rFonts w:hint="default" w:ascii="Times New Roman" w:hAnsi="Times New Roman" w:cs="Times New Roman"/>
          <w:color w:val="FF0000"/>
          <w:sz w:val="18"/>
          <w:szCs w:val="18"/>
        </w:rPr>
        <w:t>.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1400"/>
        <w:gridCol w:w="1344"/>
        <w:gridCol w:w="2381"/>
        <w:gridCol w:w="1413"/>
        <w:gridCol w:w="1356"/>
        <w:gridCol w:w="1712"/>
        <w:gridCol w:w="1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Outcome, number of sties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(number of participants)</w:t>
            </w:r>
          </w:p>
        </w:tc>
        <w:tc>
          <w:tcPr>
            <w:tcW w:w="1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Limitation in study design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134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Risk of bias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3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Inconsistency of results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4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Indirectness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4</w:t>
            </w:r>
          </w:p>
        </w:tc>
        <w:tc>
          <w:tcPr>
            <w:tcW w:w="135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Imprecision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5</w:t>
            </w:r>
          </w:p>
        </w:tc>
        <w:tc>
          <w:tcPr>
            <w:tcW w:w="171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Publication bias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6</w:t>
            </w:r>
          </w:p>
        </w:tc>
        <w:tc>
          <w:tcPr>
            <w:tcW w:w="195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Overall quality of evidence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the operative duration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Style w:val="15"/>
                <w:rFonts w:hint="default" w:ascii="Times New Roman" w:hAnsi="Times New Roman" w:cs="Times New Roman"/>
                <w:color w:val="FF0000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16"/>
                <w:rFonts w:hint="default" w:ascii="Times New Roman" w:hAnsi="Times New Roman" w:eastAsia="等线" w:cs="Times New Roman"/>
                <w:color w:val="FF0000"/>
                <w:sz w:val="21"/>
                <w:szCs w:val="21"/>
                <w:lang w:val="en-US" w:eastAsia="zh-CN" w:bidi="ar"/>
              </w:rPr>
              <w:t xml:space="preserve"> Studies (355)</w:t>
            </w:r>
          </w:p>
        </w:tc>
        <w:tc>
          <w:tcPr>
            <w:tcW w:w="1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134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3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14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35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171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95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Very low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the intraoperative blood loss volume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Style w:val="16"/>
                <w:rFonts w:hint="default" w:ascii="Times New Roman" w:hAnsi="Times New Roman" w:eastAsia="等线" w:cs="Times New Roman"/>
                <w:color w:val="FF0000"/>
                <w:sz w:val="21"/>
                <w:szCs w:val="21"/>
                <w:lang w:val="en-US" w:eastAsia="zh-CN" w:bidi="ar"/>
              </w:rPr>
              <w:t>6 Studies (335)</w:t>
            </w:r>
          </w:p>
        </w:tc>
        <w:tc>
          <w:tcPr>
            <w:tcW w:w="1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  <w:t>-1</w:t>
            </w:r>
          </w:p>
        </w:tc>
        <w:tc>
          <w:tcPr>
            <w:tcW w:w="134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3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  <w:t>-1</w:t>
            </w:r>
          </w:p>
        </w:tc>
        <w:tc>
          <w:tcPr>
            <w:tcW w:w="14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35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  <w:t>-1</w:t>
            </w:r>
          </w:p>
        </w:tc>
        <w:tc>
          <w:tcPr>
            <w:tcW w:w="171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95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Very low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the frequency of intraoperative fluoroscopies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Style w:val="16"/>
                <w:rFonts w:hint="default" w:ascii="Times New Roman" w:hAnsi="Times New Roman" w:eastAsia="等线" w:cs="Times New Roman"/>
                <w:color w:val="FF0000"/>
                <w:sz w:val="21"/>
                <w:szCs w:val="21"/>
                <w:lang w:val="en-US" w:eastAsia="zh-CN" w:bidi="ar"/>
              </w:rPr>
              <w:t>5 Studies (304)</w:t>
            </w:r>
          </w:p>
        </w:tc>
        <w:tc>
          <w:tcPr>
            <w:tcW w:w="1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134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3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14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35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171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95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Very low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the ΔVAS score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Style w:val="16"/>
                <w:rFonts w:hint="default" w:ascii="Times New Roman" w:hAnsi="Times New Roman" w:eastAsia="等线" w:cs="Times New Roman"/>
                <w:color w:val="FF0000"/>
                <w:sz w:val="21"/>
                <w:szCs w:val="21"/>
                <w:lang w:val="en-US" w:eastAsia="zh-CN" w:bidi="ar"/>
              </w:rPr>
              <w:t>5 Studies (252)</w:t>
            </w:r>
          </w:p>
        </w:tc>
        <w:tc>
          <w:tcPr>
            <w:tcW w:w="140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134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38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eastAsia" w:ascii="Times New Roman" w:hAnsi="Times New Roman" w:eastAsia="宋体" w:cs="Times New Roman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41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35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  <w:tc>
          <w:tcPr>
            <w:tcW w:w="171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95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Low</w:t>
            </w:r>
          </w:p>
        </w:tc>
      </w:tr>
    </w:tbl>
    <w:p>
      <w:pPr>
        <w:rPr>
          <w:rFonts w:hint="default" w:ascii="Times New Roman" w:hAnsi="Times New Roman" w:cs="Times New Roman"/>
          <w:color w:val="FF0000"/>
          <w:sz w:val="18"/>
          <w:szCs w:val="1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7"/>
        <w:gridCol w:w="3739"/>
        <w:gridCol w:w="3904"/>
        <w:gridCol w:w="3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4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Inconsistency of results.The extent of overlap of confidence intervals and I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test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Variable </w:t>
            </w:r>
          </w:p>
        </w:tc>
        <w:tc>
          <w:tcPr>
            <w:tcW w:w="3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Confidence intervals overlapping 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Test of heterogeneity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the operative duration</w:t>
            </w:r>
          </w:p>
        </w:tc>
        <w:tc>
          <w:tcPr>
            <w:tcW w:w="3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</w:rPr>
              <w:t>&lt;</w:t>
            </w:r>
            <w:r>
              <w:rPr>
                <w:rFonts w:hint="eastAsia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0.00001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(significant)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98% (Substantial)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the intraoperative blood loss volume</w:t>
            </w:r>
          </w:p>
        </w:tc>
        <w:tc>
          <w:tcPr>
            <w:tcW w:w="3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</w:rPr>
              <w:t>&lt;</w:t>
            </w:r>
            <w:r>
              <w:rPr>
                <w:rFonts w:hint="eastAsia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0.00001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(significant)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97% (Substantial)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the frequency of intraoperative fluoroscopies</w:t>
            </w:r>
          </w:p>
        </w:tc>
        <w:tc>
          <w:tcPr>
            <w:tcW w:w="3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</w:rPr>
              <w:t>&lt;</w:t>
            </w:r>
            <w:r>
              <w:rPr>
                <w:rFonts w:hint="eastAsia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0.00001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(significant)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98% (Substantial)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the ΔVAS score</w:t>
            </w:r>
          </w:p>
        </w:tc>
        <w:tc>
          <w:tcPr>
            <w:tcW w:w="3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=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0.24(non-significant)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28%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oderate) </w:t>
            </w:r>
          </w:p>
        </w:tc>
      </w:tr>
    </w:tbl>
    <w:p>
      <w:pPr>
        <w:rPr>
          <w:rFonts w:hint="default" w:ascii="Times New Roman" w:hAnsi="Times New Roman" w:cs="Times New Roman"/>
          <w:color w:val="FF0000"/>
          <w:sz w:val="18"/>
          <w:szCs w:val="18"/>
        </w:rPr>
      </w:pPr>
    </w:p>
    <w:tbl>
      <w:tblPr>
        <w:tblStyle w:val="7"/>
        <w:tblW w:w="156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3175"/>
        <w:gridCol w:w="3175"/>
        <w:gridCol w:w="3269"/>
        <w:gridCol w:w="1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4" w:type="dxa"/>
            <w:gridSpan w:val="5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Publication bias. Summary of funding according to the outcome variables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Variable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Number of studies that reported no funding or no influence</w:t>
            </w:r>
          </w:p>
        </w:tc>
        <w:tc>
          <w:tcPr>
            <w:tcW w:w="31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Number of studies that unreported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funding</w:t>
            </w:r>
          </w:p>
        </w:tc>
        <w:tc>
          <w:tcPr>
            <w:tcW w:w="326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Number of studies that reported any type of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funding</w:t>
            </w:r>
          </w:p>
        </w:tc>
        <w:tc>
          <w:tcPr>
            <w:tcW w:w="194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the operative duration</w:t>
            </w:r>
          </w:p>
        </w:tc>
        <w:tc>
          <w:tcPr>
            <w:tcW w:w="31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6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4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the intraoperative blood loss volume</w:t>
            </w:r>
          </w:p>
        </w:tc>
        <w:tc>
          <w:tcPr>
            <w:tcW w:w="31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1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6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4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the frequency of intraoperative fluoroscopies</w:t>
            </w:r>
          </w:p>
        </w:tc>
        <w:tc>
          <w:tcPr>
            <w:tcW w:w="31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31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6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4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the ΔVAS score</w:t>
            </w:r>
          </w:p>
        </w:tc>
        <w:tc>
          <w:tcPr>
            <w:tcW w:w="31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6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4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</w:tbl>
    <w:p>
      <w:pPr>
        <w:rPr>
          <w:rFonts w:hint="default" w:ascii="Times New Roman" w:hAnsi="Times New Roman" w:cs="Times New Roman"/>
          <w:color w:val="FF0000"/>
          <w:sz w:val="18"/>
          <w:szCs w:val="1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7"/>
        <w:gridCol w:w="3739"/>
        <w:gridCol w:w="3904"/>
        <w:gridCol w:w="3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4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Publication bias. Summary of conflict of interest according to the outcome variables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Variable  </w:t>
            </w:r>
          </w:p>
        </w:tc>
        <w:tc>
          <w:tcPr>
            <w:tcW w:w="3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Number of studies declaring no conflict of interest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Number of studies unreported conflict of interest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the operative duration</w:t>
            </w:r>
          </w:p>
        </w:tc>
        <w:tc>
          <w:tcPr>
            <w:tcW w:w="3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the intraoperative blood loss volume</w:t>
            </w:r>
          </w:p>
        </w:tc>
        <w:tc>
          <w:tcPr>
            <w:tcW w:w="3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the frequency of intraoperative fluoroscopies</w:t>
            </w:r>
          </w:p>
        </w:tc>
        <w:tc>
          <w:tcPr>
            <w:tcW w:w="3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the ΔVAS score</w:t>
            </w:r>
          </w:p>
        </w:tc>
        <w:tc>
          <w:tcPr>
            <w:tcW w:w="373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90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</w:tbl>
    <w:p>
      <w:pPr>
        <w:ind w:left="0" w:leftChars="0" w:firstLine="0" w:firstLineChars="0"/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lang w:val="en-US" w:eastAsia="zh-CN" w:bidi="ar"/>
        </w:rPr>
        <w:t xml:space="preserve">Rate down if: </w:t>
      </w:r>
      <w:r>
        <w:rPr>
          <w:rFonts w:hint="eastAsia" w:ascii="Times New Roman" w:hAnsi="Times New Roman" w:eastAsia="宋体" w:cs="Times New Roman"/>
          <w:color w:val="FF0000"/>
          <w:kern w:val="0"/>
          <w:sz w:val="21"/>
          <w:szCs w:val="21"/>
          <w:vertAlign w:val="superscript"/>
          <w:lang w:val="en-US" w:eastAsia="zh-CN" w:bidi="ar"/>
        </w:rPr>
        <w:t xml:space="preserve">1 </w:t>
      </w:r>
      <w:r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lang w:val="en-US" w:eastAsia="zh-CN" w:bidi="ar"/>
        </w:rPr>
        <w:t>Observational study.</w:t>
      </w:r>
    </w:p>
    <w:p>
      <w:pPr>
        <w:ind w:left="0" w:leftChars="0" w:firstLine="0" w:firstLineChars="0"/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FF0000"/>
          <w:kern w:val="0"/>
          <w:sz w:val="21"/>
          <w:szCs w:val="21"/>
          <w:vertAlign w:val="superscript"/>
          <w:lang w:val="en-US" w:eastAsia="zh-CN" w:bidi="ar"/>
        </w:rPr>
        <w:t xml:space="preserve">2 </w:t>
      </w:r>
      <w:r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lang w:val="en-US" w:eastAsia="zh-CN" w:bidi="ar"/>
        </w:rPr>
        <w:t>&gt; 25 % of the participants from studies with a high risk of bias.</w:t>
      </w:r>
    </w:p>
    <w:p>
      <w:pPr>
        <w:ind w:left="0" w:leftChars="0" w:firstLine="0" w:firstLineChars="0"/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vertAlign w:val="superscript"/>
          <w:lang w:val="en-US" w:eastAsia="zh-CN" w:bidi="ar"/>
        </w:rPr>
        <w:t>3</w:t>
      </w:r>
      <w:r>
        <w:rPr>
          <w:rFonts w:hint="eastAsia" w:ascii="Times New Roman" w:hAnsi="Times New Roman" w:eastAsia="宋体" w:cs="Times New Roman"/>
          <w:color w:val="FF0000"/>
          <w:kern w:val="0"/>
          <w:sz w:val="21"/>
          <w:szCs w:val="21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lang w:val="en-US" w:eastAsia="zh-CN" w:bidi="ar"/>
        </w:rPr>
        <w:t>Heterogeneity was based on the extent of overlap of confidence intervals and I</w:t>
      </w:r>
      <w:r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lang w:val="en-US" w:eastAsia="zh-CN" w:bidi="ar"/>
        </w:rPr>
        <w:t xml:space="preserve"> test (&gt;50 %);</w:t>
      </w:r>
    </w:p>
    <w:p>
      <w:pPr>
        <w:ind w:left="0" w:leftChars="0" w:firstLine="0" w:firstLineChars="0"/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vertAlign w:val="superscript"/>
          <w:lang w:val="en-US" w:eastAsia="zh-CN" w:bidi="ar"/>
        </w:rPr>
        <w:t>4</w:t>
      </w:r>
      <w:r>
        <w:rPr>
          <w:rFonts w:hint="eastAsia" w:ascii="Times New Roman" w:hAnsi="Times New Roman" w:eastAsia="宋体" w:cs="Times New Roman"/>
          <w:color w:val="FF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lang w:val="en-US" w:eastAsia="zh-CN" w:bidi="ar"/>
        </w:rPr>
        <w:t>&gt; 25 % of studies had a poor representation of outcome (when definitions of the outcome varied) or population (non-general population);</w:t>
      </w:r>
    </w:p>
    <w:p>
      <w:pPr>
        <w:ind w:left="0" w:leftChars="0" w:firstLine="0" w:firstLineChars="0"/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vertAlign w:val="superscript"/>
          <w:lang w:val="en-US" w:eastAsia="zh-CN" w:bidi="ar"/>
        </w:rPr>
        <w:t>5</w:t>
      </w:r>
      <w:r>
        <w:rPr>
          <w:rFonts w:hint="eastAsia" w:ascii="Times New Roman" w:hAnsi="Times New Roman" w:eastAsia="宋体" w:cs="Times New Roman"/>
          <w:color w:val="FF0000"/>
          <w:kern w:val="0"/>
          <w:sz w:val="21"/>
          <w:szCs w:val="21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lang w:val="en-US" w:eastAsia="zh-CN" w:bidi="ar"/>
        </w:rPr>
        <w:t>Fewer than 400 participants in the pooling.</w:t>
      </w:r>
    </w:p>
    <w:p>
      <w:pPr>
        <w:ind w:left="0" w:leftChars="0" w:firstLine="0" w:firstLineChars="0"/>
        <w:rPr>
          <w:rFonts w:hint="default" w:ascii="Times New Roman" w:hAnsi="Times New Roman" w:cs="Times New Roman"/>
          <w:color w:val="FF0000"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vertAlign w:val="superscript"/>
          <w:lang w:val="en-US" w:eastAsia="zh-CN" w:bidi="ar"/>
        </w:rPr>
        <w:t>6</w:t>
      </w:r>
      <w:r>
        <w:rPr>
          <w:rFonts w:hint="eastAsia" w:ascii="Times New Roman" w:hAnsi="Times New Roman" w:eastAsia="宋体" w:cs="Times New Roman"/>
          <w:color w:val="FF0000"/>
          <w:kern w:val="0"/>
          <w:sz w:val="21"/>
          <w:szCs w:val="21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FF0000"/>
          <w:kern w:val="0"/>
          <w:sz w:val="21"/>
          <w:szCs w:val="21"/>
          <w:lang w:val="en-US" w:eastAsia="zh-CN" w:bidi="ar"/>
        </w:rPr>
        <w:t>Publication bias was based on the funnel plot and Egger’s test (*Unclear for outcomes with less than 10 studies included), the sample size of the included studies, sponsorship and/or conflict of interest report.</w:t>
      </w:r>
    </w:p>
    <w:bookmarkEnd w:id="3"/>
    <w:p>
      <w:pPr>
        <w:tabs>
          <w:tab w:val="left" w:pos="14105"/>
        </w:tabs>
        <w:bidi w:val="0"/>
        <w:jc w:val="left"/>
        <w:rPr>
          <w:rFonts w:hint="eastAsia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haker 2 Lancet Regular">
    <w:altName w:val="Calibri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JjMzUyM2UyYTAxN2Q2NjM0MmZkNjMzZWIwZGI0OGEifQ=="/>
  </w:docVars>
  <w:rsids>
    <w:rsidRoot w:val="008A3E34"/>
    <w:rsid w:val="0001548F"/>
    <w:rsid w:val="00032C0B"/>
    <w:rsid w:val="0003455E"/>
    <w:rsid w:val="0004593D"/>
    <w:rsid w:val="000653A6"/>
    <w:rsid w:val="0007295D"/>
    <w:rsid w:val="00087061"/>
    <w:rsid w:val="000909C3"/>
    <w:rsid w:val="000B1F02"/>
    <w:rsid w:val="000B21C4"/>
    <w:rsid w:val="0010264B"/>
    <w:rsid w:val="00120B62"/>
    <w:rsid w:val="00140E83"/>
    <w:rsid w:val="001458DD"/>
    <w:rsid w:val="00147198"/>
    <w:rsid w:val="0015325B"/>
    <w:rsid w:val="00154676"/>
    <w:rsid w:val="001776D2"/>
    <w:rsid w:val="00196341"/>
    <w:rsid w:val="001B28C9"/>
    <w:rsid w:val="001C319F"/>
    <w:rsid w:val="00223694"/>
    <w:rsid w:val="00237A6E"/>
    <w:rsid w:val="002538D7"/>
    <w:rsid w:val="002951D5"/>
    <w:rsid w:val="002C64BF"/>
    <w:rsid w:val="002D12B1"/>
    <w:rsid w:val="002D15BD"/>
    <w:rsid w:val="002F260C"/>
    <w:rsid w:val="002F2C79"/>
    <w:rsid w:val="00313710"/>
    <w:rsid w:val="003301B9"/>
    <w:rsid w:val="00331406"/>
    <w:rsid w:val="00341A02"/>
    <w:rsid w:val="0035553D"/>
    <w:rsid w:val="003777EB"/>
    <w:rsid w:val="003A243A"/>
    <w:rsid w:val="003A2CA3"/>
    <w:rsid w:val="003C2673"/>
    <w:rsid w:val="003D2822"/>
    <w:rsid w:val="003E39A2"/>
    <w:rsid w:val="004023FC"/>
    <w:rsid w:val="00472005"/>
    <w:rsid w:val="004A1F5F"/>
    <w:rsid w:val="004B15C3"/>
    <w:rsid w:val="004B3807"/>
    <w:rsid w:val="004C1BF8"/>
    <w:rsid w:val="004D7133"/>
    <w:rsid w:val="004F3704"/>
    <w:rsid w:val="004F394E"/>
    <w:rsid w:val="004F3BA6"/>
    <w:rsid w:val="004F3C74"/>
    <w:rsid w:val="00510C3E"/>
    <w:rsid w:val="00521E40"/>
    <w:rsid w:val="005260A2"/>
    <w:rsid w:val="00542E69"/>
    <w:rsid w:val="00553C5D"/>
    <w:rsid w:val="00592D58"/>
    <w:rsid w:val="005939CB"/>
    <w:rsid w:val="005A179B"/>
    <w:rsid w:val="005A68F2"/>
    <w:rsid w:val="005B1E8D"/>
    <w:rsid w:val="005E5BD1"/>
    <w:rsid w:val="005F3D3A"/>
    <w:rsid w:val="005F40EF"/>
    <w:rsid w:val="006054F6"/>
    <w:rsid w:val="00624D5D"/>
    <w:rsid w:val="0064027F"/>
    <w:rsid w:val="0067416F"/>
    <w:rsid w:val="00697932"/>
    <w:rsid w:val="006A655F"/>
    <w:rsid w:val="006A74A8"/>
    <w:rsid w:val="006F056C"/>
    <w:rsid w:val="00702370"/>
    <w:rsid w:val="00732E57"/>
    <w:rsid w:val="00734409"/>
    <w:rsid w:val="0074540E"/>
    <w:rsid w:val="007553BB"/>
    <w:rsid w:val="00755C8E"/>
    <w:rsid w:val="00765D09"/>
    <w:rsid w:val="00772510"/>
    <w:rsid w:val="00777CD5"/>
    <w:rsid w:val="00784EFC"/>
    <w:rsid w:val="00790A81"/>
    <w:rsid w:val="00795530"/>
    <w:rsid w:val="007A3887"/>
    <w:rsid w:val="007B0DBE"/>
    <w:rsid w:val="007B1F0C"/>
    <w:rsid w:val="007B246F"/>
    <w:rsid w:val="007B2B67"/>
    <w:rsid w:val="007C7EBA"/>
    <w:rsid w:val="007D4963"/>
    <w:rsid w:val="007F54BC"/>
    <w:rsid w:val="00804A67"/>
    <w:rsid w:val="0081358A"/>
    <w:rsid w:val="00831352"/>
    <w:rsid w:val="00836122"/>
    <w:rsid w:val="0084739A"/>
    <w:rsid w:val="00856F05"/>
    <w:rsid w:val="0089378C"/>
    <w:rsid w:val="008A2735"/>
    <w:rsid w:val="008A3E34"/>
    <w:rsid w:val="008C1ED0"/>
    <w:rsid w:val="008D4ABB"/>
    <w:rsid w:val="008D6E63"/>
    <w:rsid w:val="008E6D0E"/>
    <w:rsid w:val="008F2172"/>
    <w:rsid w:val="009305AE"/>
    <w:rsid w:val="00942DAC"/>
    <w:rsid w:val="00946F35"/>
    <w:rsid w:val="00947F77"/>
    <w:rsid w:val="00970B81"/>
    <w:rsid w:val="00983525"/>
    <w:rsid w:val="0098580F"/>
    <w:rsid w:val="00985981"/>
    <w:rsid w:val="009C4DDA"/>
    <w:rsid w:val="009D2555"/>
    <w:rsid w:val="009F03B6"/>
    <w:rsid w:val="00A37F8C"/>
    <w:rsid w:val="00A4232A"/>
    <w:rsid w:val="00A764C7"/>
    <w:rsid w:val="00A84AB2"/>
    <w:rsid w:val="00AB6FC3"/>
    <w:rsid w:val="00AD4319"/>
    <w:rsid w:val="00B27856"/>
    <w:rsid w:val="00B44C23"/>
    <w:rsid w:val="00B51051"/>
    <w:rsid w:val="00B60754"/>
    <w:rsid w:val="00B86C43"/>
    <w:rsid w:val="00C11CBC"/>
    <w:rsid w:val="00C215CE"/>
    <w:rsid w:val="00C2177B"/>
    <w:rsid w:val="00C243ED"/>
    <w:rsid w:val="00C33924"/>
    <w:rsid w:val="00C35C14"/>
    <w:rsid w:val="00C5030D"/>
    <w:rsid w:val="00C65C80"/>
    <w:rsid w:val="00C767A3"/>
    <w:rsid w:val="00C86C1A"/>
    <w:rsid w:val="00CA3915"/>
    <w:rsid w:val="00CB27BB"/>
    <w:rsid w:val="00CB64B2"/>
    <w:rsid w:val="00CC2EE1"/>
    <w:rsid w:val="00CD1422"/>
    <w:rsid w:val="00D24AA3"/>
    <w:rsid w:val="00D25393"/>
    <w:rsid w:val="00D27DD1"/>
    <w:rsid w:val="00D47009"/>
    <w:rsid w:val="00D56954"/>
    <w:rsid w:val="00D570A8"/>
    <w:rsid w:val="00D63069"/>
    <w:rsid w:val="00D871D7"/>
    <w:rsid w:val="00DB07C4"/>
    <w:rsid w:val="00DB2338"/>
    <w:rsid w:val="00DC6D51"/>
    <w:rsid w:val="00DF0250"/>
    <w:rsid w:val="00DF4920"/>
    <w:rsid w:val="00E01B39"/>
    <w:rsid w:val="00E03C56"/>
    <w:rsid w:val="00E41B98"/>
    <w:rsid w:val="00E45784"/>
    <w:rsid w:val="00E537EE"/>
    <w:rsid w:val="00E763B9"/>
    <w:rsid w:val="00E86B03"/>
    <w:rsid w:val="00E871E6"/>
    <w:rsid w:val="00E95638"/>
    <w:rsid w:val="00EB4A03"/>
    <w:rsid w:val="00EB6A53"/>
    <w:rsid w:val="00EC7EF1"/>
    <w:rsid w:val="00ED45CA"/>
    <w:rsid w:val="00EF6AA4"/>
    <w:rsid w:val="00F20066"/>
    <w:rsid w:val="00F273DA"/>
    <w:rsid w:val="00F57D7C"/>
    <w:rsid w:val="00F7180A"/>
    <w:rsid w:val="00F77D22"/>
    <w:rsid w:val="00F92C32"/>
    <w:rsid w:val="00F93AC8"/>
    <w:rsid w:val="00FA4C42"/>
    <w:rsid w:val="00FC6B54"/>
    <w:rsid w:val="00FC7AE3"/>
    <w:rsid w:val="00FE10B9"/>
    <w:rsid w:val="00FF17F2"/>
    <w:rsid w:val="00FF61BD"/>
    <w:rsid w:val="025F4A80"/>
    <w:rsid w:val="02C46BBB"/>
    <w:rsid w:val="03612920"/>
    <w:rsid w:val="061643BC"/>
    <w:rsid w:val="099F1CFD"/>
    <w:rsid w:val="09BE25B6"/>
    <w:rsid w:val="0A0C4E70"/>
    <w:rsid w:val="0B455F95"/>
    <w:rsid w:val="0D984ECC"/>
    <w:rsid w:val="0E1F6D74"/>
    <w:rsid w:val="0E7343A1"/>
    <w:rsid w:val="104453C2"/>
    <w:rsid w:val="141945BE"/>
    <w:rsid w:val="141D0EBD"/>
    <w:rsid w:val="14F41DDB"/>
    <w:rsid w:val="15C42D02"/>
    <w:rsid w:val="162E434F"/>
    <w:rsid w:val="177D4074"/>
    <w:rsid w:val="195569CE"/>
    <w:rsid w:val="247B4ED4"/>
    <w:rsid w:val="260A36DA"/>
    <w:rsid w:val="27435A51"/>
    <w:rsid w:val="27897907"/>
    <w:rsid w:val="279F1151"/>
    <w:rsid w:val="29546686"/>
    <w:rsid w:val="2A7A5C2D"/>
    <w:rsid w:val="2AB7295F"/>
    <w:rsid w:val="2D707400"/>
    <w:rsid w:val="2FDB1CBA"/>
    <w:rsid w:val="32545446"/>
    <w:rsid w:val="36702656"/>
    <w:rsid w:val="386E0E03"/>
    <w:rsid w:val="38922426"/>
    <w:rsid w:val="3A913572"/>
    <w:rsid w:val="3AA4458A"/>
    <w:rsid w:val="3BB1232D"/>
    <w:rsid w:val="3C7C5835"/>
    <w:rsid w:val="3D477BF1"/>
    <w:rsid w:val="3FFB7DC3"/>
    <w:rsid w:val="40644F5E"/>
    <w:rsid w:val="406600EB"/>
    <w:rsid w:val="40905D53"/>
    <w:rsid w:val="42B21B1F"/>
    <w:rsid w:val="462813AD"/>
    <w:rsid w:val="46932B5C"/>
    <w:rsid w:val="47E0311C"/>
    <w:rsid w:val="47FB44C2"/>
    <w:rsid w:val="490746D8"/>
    <w:rsid w:val="4B5B0EA3"/>
    <w:rsid w:val="4C303F46"/>
    <w:rsid w:val="4EFC2BA0"/>
    <w:rsid w:val="4F5C224D"/>
    <w:rsid w:val="533E519B"/>
    <w:rsid w:val="53EE72C6"/>
    <w:rsid w:val="54574766"/>
    <w:rsid w:val="54583019"/>
    <w:rsid w:val="568850AA"/>
    <w:rsid w:val="57F53463"/>
    <w:rsid w:val="58EF232C"/>
    <w:rsid w:val="5B755E48"/>
    <w:rsid w:val="5B8068DE"/>
    <w:rsid w:val="5BA84DBA"/>
    <w:rsid w:val="5E922D77"/>
    <w:rsid w:val="60527752"/>
    <w:rsid w:val="60831C82"/>
    <w:rsid w:val="614B3A56"/>
    <w:rsid w:val="639B01D1"/>
    <w:rsid w:val="64EF2799"/>
    <w:rsid w:val="66AC0104"/>
    <w:rsid w:val="68DB5223"/>
    <w:rsid w:val="68E00885"/>
    <w:rsid w:val="68FD5F3D"/>
    <w:rsid w:val="6EF94940"/>
    <w:rsid w:val="6F6A4FC6"/>
    <w:rsid w:val="704C11D9"/>
    <w:rsid w:val="70C01AFA"/>
    <w:rsid w:val="71103412"/>
    <w:rsid w:val="734B3290"/>
    <w:rsid w:val="73F22C62"/>
    <w:rsid w:val="76EF6372"/>
    <w:rsid w:val="78860A23"/>
    <w:rsid w:val="7BB10AF9"/>
    <w:rsid w:val="7DE809B6"/>
    <w:rsid w:val="7FEC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autoRedefine/>
    <w:semiHidden/>
    <w:unhideWhenUsed/>
    <w:qFormat/>
    <w:uiPriority w:val="39"/>
  </w:style>
  <w:style w:type="table" w:styleId="7">
    <w:name w:val="Table Grid"/>
    <w:basedOn w:val="6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line number"/>
    <w:basedOn w:val="8"/>
    <w:autoRedefine/>
    <w:semiHidden/>
    <w:unhideWhenUsed/>
    <w:qFormat/>
    <w:uiPriority w:val="99"/>
  </w:style>
  <w:style w:type="character" w:customStyle="1" w:styleId="10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autoRedefine/>
    <w:qFormat/>
    <w:uiPriority w:val="99"/>
    <w:rPr>
      <w:sz w:val="18"/>
      <w:szCs w:val="18"/>
    </w:rPr>
  </w:style>
  <w:style w:type="character" w:styleId="12">
    <w:name w:val="Placeholder Text"/>
    <w:basedOn w:val="8"/>
    <w:autoRedefine/>
    <w:semiHidden/>
    <w:qFormat/>
    <w:uiPriority w:val="99"/>
    <w:rPr>
      <w:color w:val="808080"/>
    </w:rPr>
  </w:style>
  <w:style w:type="character" w:customStyle="1" w:styleId="13">
    <w:name w:val="A1"/>
    <w:autoRedefine/>
    <w:qFormat/>
    <w:uiPriority w:val="99"/>
    <w:rPr>
      <w:rFonts w:cs="Shaker 2 Lancet Regular"/>
      <w:color w:val="211D1E"/>
    </w:rPr>
  </w:style>
  <w:style w:type="paragraph" w:customStyle="1" w:styleId="14">
    <w:name w:val="WPSOffice手动目录 1"/>
    <w:autoRedefine/>
    <w:qFormat/>
    <w:uiPriority w:val="0"/>
    <w:pPr>
      <w:ind w:leftChars="0"/>
    </w:pPr>
    <w:rPr>
      <w:rFonts w:ascii="Calibri" w:hAnsi="Calibri" w:eastAsia="宋体" w:cs="Calibri"/>
      <w:sz w:val="20"/>
      <w:szCs w:val="20"/>
    </w:rPr>
  </w:style>
  <w:style w:type="character" w:customStyle="1" w:styleId="15">
    <w:name w:val="font7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61"/>
    <w:basedOn w:val="8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9392AD-E597-4CA6-A6C7-253653DDF7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1244</Words>
  <Characters>4608</Characters>
  <Lines>188</Lines>
  <Paragraphs>53</Paragraphs>
  <TotalTime>1</TotalTime>
  <ScaleCrop>false</ScaleCrop>
  <LinksUpToDate>false</LinksUpToDate>
  <CharactersWithSpaces>5158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2023-05-20T02:52:00Z</dcterms:created>
  <dc:creator>文斯 欧阳</dc:creator>
  <cp:lastModifiedBy>沉没，角落</cp:lastModifiedBy>
  <dcterms:modified xsi:type="dcterms:W3CDTF">2024-05-22T11:10:18Z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2643F462717843BEA12256FD9C3C6D15_12</vt:lpwstr>
  </property>
  <property fmtid="{D5CDD505-2E9C-101B-9397-08002B2CF9AE}" pid="4" name="GrammarlyDocumentId">
    <vt:lpwstr>799e59a28634e5a81e90818f44ac837c1f563689e261c2159c999d9bb8ad2097</vt:lpwstr>
  </property>
</Properties>
</file>