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3861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2632075"/>
            <wp:effectExtent l="0" t="0" r="5715" b="952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F4F1E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Figure S1 </w:t>
      </w:r>
      <w:bookmarkStart w:id="0" w:name="OLE_LINK1"/>
      <w:r>
        <w:rPr>
          <w:rFonts w:hint="eastAsia" w:ascii="Times New Roman" w:hAnsi="Times New Roman" w:cs="Times New Roman"/>
          <w:b/>
          <w:bCs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he gating strategy</w:t>
      </w:r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used to analyze the data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(A) T</w:t>
      </w:r>
      <w:r>
        <w:rPr>
          <w:rFonts w:hint="default" w:ascii="Times New Roman" w:hAnsi="Times New Roman" w:cs="Times New Roman"/>
          <w:lang w:val="en-US" w:eastAsia="zh-CN"/>
        </w:rPr>
        <w:t>he gating strategy</w:t>
      </w:r>
      <w:r>
        <w:rPr>
          <w:rFonts w:hint="eastAsia" w:ascii="Times New Roman" w:hAnsi="Times New Roman" w:cs="Times New Roman"/>
          <w:lang w:val="en-US" w:eastAsia="zh-CN"/>
        </w:rPr>
        <w:t xml:space="preserve"> of Th17 cells. </w:t>
      </w:r>
      <w:bookmarkStart w:id="1" w:name="OLE_LINK3"/>
      <w:r>
        <w:rPr>
          <w:rFonts w:hint="eastAsia" w:ascii="Times New Roman" w:hAnsi="Times New Roman" w:cs="Times New Roman"/>
          <w:lang w:val="en-US" w:eastAsia="zh-CN"/>
        </w:rPr>
        <w:t>FSC/SSC was used to circle lymphocyte population. After excluding adhesions and dead cells with FSC/FSC-H, CD4 were used to circle CD4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lang w:val="en-US" w:eastAsia="zh-CN"/>
        </w:rPr>
        <w:t>T cells, and CD4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lang w:val="en-US" w:eastAsia="zh-CN"/>
        </w:rPr>
        <w:t>IL-17A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lang w:val="en-US" w:eastAsia="zh-CN"/>
        </w:rPr>
        <w:t xml:space="preserve"> double positive cells were used to circle Th17 cells.</w:t>
      </w:r>
      <w:bookmarkEnd w:id="1"/>
      <w:r>
        <w:rPr>
          <w:rFonts w:hint="eastAsia" w:ascii="Times New Roman" w:hAnsi="Times New Roman" w:cs="Times New Roman"/>
          <w:lang w:val="en-US" w:eastAsia="zh-CN"/>
        </w:rPr>
        <w:t xml:space="preserve"> (B) T</w:t>
      </w:r>
      <w:r>
        <w:rPr>
          <w:rFonts w:hint="default" w:ascii="Times New Roman" w:hAnsi="Times New Roman" w:cs="Times New Roman"/>
          <w:lang w:val="en-US" w:eastAsia="zh-CN"/>
        </w:rPr>
        <w:t>he gating strategy</w:t>
      </w:r>
      <w:r>
        <w:rPr>
          <w:rFonts w:hint="eastAsia" w:ascii="Times New Roman" w:hAnsi="Times New Roman" w:cs="Times New Roman"/>
          <w:lang w:val="en-US" w:eastAsia="zh-CN"/>
        </w:rPr>
        <w:t xml:space="preserve"> of Treg cells. FSC/SS</w:t>
      </w:r>
      <w:bookmarkStart w:id="2" w:name="_GoBack"/>
      <w:bookmarkEnd w:id="2"/>
      <w:r>
        <w:rPr>
          <w:rFonts w:hint="eastAsia" w:ascii="Times New Roman" w:hAnsi="Times New Roman" w:cs="Times New Roman"/>
          <w:lang w:val="en-US" w:eastAsia="zh-CN"/>
        </w:rPr>
        <w:t>C was used to circle lymphocyte population. After excluding adhesions and dead cells with FSC/FSC-H, CD4 were used to circle CD4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lang w:val="en-US" w:eastAsia="zh-CN"/>
        </w:rPr>
        <w:t>T cells, and CD25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lang w:val="en-US" w:eastAsia="zh-CN"/>
        </w:rPr>
        <w:t>Foxp3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lang w:val="en-US" w:eastAsia="zh-CN"/>
        </w:rPr>
        <w:t xml:space="preserve"> double positive cells were used to circle Treg cells.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OWFiZTBkNzU1ZWNjNzYzZGFkMmU0YmU5NjI0N2UifQ=="/>
  </w:docVars>
  <w:rsids>
    <w:rsidRoot w:val="477B0DC4"/>
    <w:rsid w:val="1E1E766F"/>
    <w:rsid w:val="1E287B89"/>
    <w:rsid w:val="3F6A5E19"/>
    <w:rsid w:val="477B0DC4"/>
    <w:rsid w:val="6D310A4D"/>
    <w:rsid w:val="7B38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110</Characters>
  <Lines>0</Lines>
  <Paragraphs>0</Paragraphs>
  <TotalTime>82</TotalTime>
  <ScaleCrop>false</ScaleCrop>
  <LinksUpToDate>false</LinksUpToDate>
  <CharactersWithSpaces>133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2024-07-30T16:48:00Z</dcterms:created>
  <dc:creator>柳媛媛</dc:creator>
  <cp:lastModifiedBy>柳媛媛</cp:lastModifiedBy>
  <dcterms:modified xsi:type="dcterms:W3CDTF">2024-07-31T06:36:21Z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7CB37B0F3EC843DDA52B73228EB47DC6_13</vt:lpwstr>
  </property>
</Properties>
</file>