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16F98" w14:textId="77777777" w:rsidR="005F1DC5" w:rsidRDefault="005F1DC5" w:rsidP="005F1DC5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497">
        <w:rPr>
          <w:rFonts w:ascii="Times New Roman" w:hAnsi="Times New Roman" w:cs="Times New Roman"/>
          <w:b/>
          <w:bCs/>
          <w:sz w:val="28"/>
          <w:szCs w:val="28"/>
        </w:rPr>
        <w:t>Correlation Between Low Testosterone Levels and the Risk of Osteoarthritis: A Cross-Sectional Analysis of NHANES Data (2011-2016)</w:t>
      </w:r>
    </w:p>
    <w:p w14:paraId="1C56DFA7" w14:textId="77777777" w:rsidR="005F1DC5" w:rsidRPr="005F1DC5" w:rsidRDefault="005F1DC5"/>
    <w:p w14:paraId="34250DE7" w14:textId="0A849BBA" w:rsidR="007B42A6" w:rsidRDefault="00942E93">
      <w:r>
        <w:rPr>
          <w:noProof/>
        </w:rPr>
        <w:drawing>
          <wp:inline distT="0" distB="0" distL="0" distR="0" wp14:anchorId="2501B69E" wp14:editId="397CC24D">
            <wp:extent cx="5845817" cy="4561370"/>
            <wp:effectExtent l="0" t="0" r="2540" b="0"/>
            <wp:docPr id="321365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977" cy="457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B020" w14:textId="79FDA942" w:rsidR="00461562" w:rsidRDefault="00461562" w:rsidP="00461562">
      <w:pPr>
        <w:spacing w:line="360" w:lineRule="auto"/>
        <w:ind w:firstLineChars="200" w:firstLine="420"/>
        <w:rPr>
          <w:rFonts w:ascii="Times New Roman" w:hAnsi="Times New Roman" w:cs="Times New Roman"/>
          <w:sz w:val="24"/>
          <w:szCs w:val="24"/>
        </w:rPr>
      </w:pPr>
      <w:r w:rsidRPr="00B71C1F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9861A0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Pr="00B71C1F">
        <w:rPr>
          <w:rFonts w:ascii="Times New Roman" w:hAnsi="Times New Roman" w:cs="Times New Roman"/>
          <w:b/>
          <w:bCs/>
          <w:szCs w:val="21"/>
        </w:rPr>
        <w:t>. Diagram of Variables Affecting Testosterone Levels and OA Risk.</w:t>
      </w:r>
      <w:r w:rsidRPr="00B71C1F">
        <w:rPr>
          <w:rFonts w:ascii="Times New Roman" w:hAnsi="Times New Roman" w:cs="Times New Roman"/>
          <w:szCs w:val="21"/>
        </w:rPr>
        <w:t xml:space="preserve"> This diagram illustrates the independent and interactive relationships among demographic, socioeconomic, lifestyle, and clinical factors, and their potential impact on testosterone levels and the risk of OA.</w:t>
      </w:r>
    </w:p>
    <w:p w14:paraId="35C33A20" w14:textId="77777777" w:rsidR="00461562" w:rsidRPr="00461562" w:rsidRDefault="00461562">
      <w:pPr>
        <w:rPr>
          <w:rFonts w:hint="eastAsia"/>
        </w:rPr>
      </w:pPr>
    </w:p>
    <w:sectPr w:rsidR="00461562" w:rsidRPr="00461562" w:rsidSect="00942E93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1227A" w14:textId="77777777" w:rsidR="00301F8F" w:rsidRDefault="00301F8F" w:rsidP="00942E93">
      <w:pPr>
        <w:rPr>
          <w:rFonts w:hint="eastAsia"/>
        </w:rPr>
      </w:pPr>
      <w:r>
        <w:separator/>
      </w:r>
    </w:p>
  </w:endnote>
  <w:endnote w:type="continuationSeparator" w:id="0">
    <w:p w14:paraId="4A0859B3" w14:textId="77777777" w:rsidR="00301F8F" w:rsidRDefault="00301F8F" w:rsidP="00942E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93F09" w14:textId="77777777" w:rsidR="00301F8F" w:rsidRDefault="00301F8F" w:rsidP="00942E93">
      <w:pPr>
        <w:rPr>
          <w:rFonts w:hint="eastAsia"/>
        </w:rPr>
      </w:pPr>
      <w:r>
        <w:separator/>
      </w:r>
    </w:p>
  </w:footnote>
  <w:footnote w:type="continuationSeparator" w:id="0">
    <w:p w14:paraId="4FD9F253" w14:textId="77777777" w:rsidR="00301F8F" w:rsidRDefault="00301F8F" w:rsidP="00942E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F0"/>
    <w:rsid w:val="002166BF"/>
    <w:rsid w:val="00301F8F"/>
    <w:rsid w:val="003E4745"/>
    <w:rsid w:val="00461562"/>
    <w:rsid w:val="005F1DC5"/>
    <w:rsid w:val="007A6883"/>
    <w:rsid w:val="007B42A6"/>
    <w:rsid w:val="009303F0"/>
    <w:rsid w:val="00942E93"/>
    <w:rsid w:val="009861A0"/>
    <w:rsid w:val="009E7646"/>
    <w:rsid w:val="00F2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16294"/>
  <w15:chartTrackingRefBased/>
  <w15:docId w15:val="{B3DC22E6-80F1-4E5C-BA9A-BAF670C3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E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E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E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晓峰 李</dc:creator>
  <cp:keywords/>
  <dc:description/>
  <cp:lastModifiedBy>晓峰 李</cp:lastModifiedBy>
  <cp:revision>16</cp:revision>
  <dcterms:created xsi:type="dcterms:W3CDTF">2024-12-16T03:23:00Z</dcterms:created>
  <dcterms:modified xsi:type="dcterms:W3CDTF">2024-12-16T03:27:00Z</dcterms:modified>
</cp:coreProperties>
</file>