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870B" w14:textId="77777777" w:rsidR="00C804B1" w:rsidRPr="00842B21" w:rsidRDefault="00C804B1" w:rsidP="00C804B1">
      <w:pPr>
        <w:pStyle w:val="Title"/>
        <w:rPr>
          <w:rFonts w:ascii="Arial" w:hAnsi="Arial" w:cs="Arial"/>
          <w:sz w:val="40"/>
          <w:szCs w:val="40"/>
        </w:rPr>
      </w:pPr>
      <w:r w:rsidRPr="00842B21">
        <w:rPr>
          <w:rFonts w:ascii="Arial" w:hAnsi="Arial" w:cs="Arial"/>
          <w:sz w:val="40"/>
          <w:szCs w:val="40"/>
        </w:rPr>
        <w:t>Efficacy of Non-Surgical, Non-Pharmacological Treatments for Congenital Muscular Torticollis: A Systematic Review and Meta-Analysis</w:t>
      </w:r>
    </w:p>
    <w:p w14:paraId="471B5567" w14:textId="78A7329E" w:rsidR="00C563CF" w:rsidRPr="0005575A" w:rsidRDefault="00C563CF" w:rsidP="00AD6E0C">
      <w:pPr>
        <w:pStyle w:val="Heading1"/>
        <w:rPr>
          <w:rStyle w:val="Heading2Char"/>
          <w:rFonts w:ascii="Arial" w:hAnsi="Arial" w:cs="Arial"/>
          <w:color w:val="auto"/>
        </w:rPr>
      </w:pPr>
      <w:r w:rsidRPr="0005575A">
        <w:rPr>
          <w:rStyle w:val="Heading2Char"/>
          <w:rFonts w:ascii="Arial" w:hAnsi="Arial" w:cs="Arial"/>
          <w:color w:val="auto"/>
        </w:rPr>
        <w:t>Appendix 2:  Data extraction form</w:t>
      </w:r>
      <w:r w:rsidR="00C804B1" w:rsidRPr="0005575A">
        <w:rPr>
          <w:rStyle w:val="Heading2Char"/>
          <w:rFonts w:ascii="Arial" w:hAnsi="Arial" w:cs="Arial"/>
          <w:color w:val="auto"/>
        </w:rPr>
        <w:t xml:space="preserve"> and inclusion/exclusion criteria</w:t>
      </w:r>
    </w:p>
    <w:p w14:paraId="6F73D2BE" w14:textId="77777777" w:rsidR="00303ADD" w:rsidRPr="00F43934" w:rsidRDefault="00303ADD" w:rsidP="00303ADD">
      <w:pPr>
        <w:pStyle w:val="Heading1"/>
        <w:spacing w:before="160" w:after="120"/>
        <w:rPr>
          <w:rStyle w:val="Heading2Char"/>
          <w:rFonts w:ascii="Arial" w:hAnsi="Arial" w:cs="Arial"/>
          <w:color w:val="auto"/>
          <w:sz w:val="28"/>
          <w:szCs w:val="28"/>
        </w:rPr>
      </w:pPr>
      <w:r>
        <w:rPr>
          <w:rStyle w:val="Heading2Char"/>
          <w:rFonts w:ascii="Arial" w:hAnsi="Arial" w:cs="Arial"/>
          <w:color w:val="auto"/>
          <w:sz w:val="28"/>
          <w:szCs w:val="28"/>
        </w:rPr>
        <w:t>Appendix 2A. Inclusion and exclusion criteria</w:t>
      </w:r>
    </w:p>
    <w:p w14:paraId="4968B5D0" w14:textId="77777777" w:rsidR="00303ADD" w:rsidRDefault="00303ADD" w:rsidP="00303ADD">
      <w:pPr>
        <w:spacing w:before="160" w:after="120" w:line="240" w:lineRule="auto"/>
        <w:rPr>
          <w:rFonts w:ascii="Times New Roman" w:hAnsi="Times New Roman"/>
          <w:sz w:val="28"/>
          <w:szCs w:val="28"/>
        </w:rPr>
      </w:pPr>
      <w:r w:rsidRPr="00F43934">
        <w:rPr>
          <w:rFonts w:ascii="Times New Roman" w:hAnsi="Times New Roman"/>
          <w:sz w:val="28"/>
          <w:szCs w:val="28"/>
        </w:rPr>
        <w:t>Inclusion</w:t>
      </w:r>
      <w:r>
        <w:rPr>
          <w:rFonts w:ascii="Times New Roman" w:hAnsi="Times New Roman"/>
          <w:sz w:val="28"/>
          <w:szCs w:val="28"/>
        </w:rPr>
        <w:t xml:space="preserve"> criteria</w:t>
      </w:r>
      <w:r w:rsidRPr="00F43934">
        <w:rPr>
          <w:rFonts w:ascii="Times New Roman" w:hAnsi="Times New Roman"/>
          <w:sz w:val="28"/>
          <w:szCs w:val="28"/>
        </w:rPr>
        <w:t>:</w:t>
      </w:r>
    </w:p>
    <w:p w14:paraId="5113D0E4" w14:textId="77777777" w:rsidR="00303ADD" w:rsidRPr="0005575A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5575A">
        <w:rPr>
          <w:rFonts w:ascii="Times New Roman" w:hAnsi="Times New Roman" w:cs="Times New Roman"/>
          <w:sz w:val="24"/>
          <w:szCs w:val="24"/>
        </w:rPr>
        <w:t xml:space="preserve">Condition: Congenital muscular torticollis (CMT)  </w:t>
      </w:r>
    </w:p>
    <w:p w14:paraId="00419CFD" w14:textId="77777777" w:rsidR="00303ADD" w:rsidRPr="00F43934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 xml:space="preserve">Population: Infants/children who are treated for </w:t>
      </w:r>
      <w:proofErr w:type="gramStart"/>
      <w:r w:rsidRPr="00F43934">
        <w:rPr>
          <w:rFonts w:ascii="Times New Roman" w:hAnsi="Times New Roman" w:cs="Times New Roman"/>
          <w:sz w:val="24"/>
          <w:szCs w:val="24"/>
        </w:rPr>
        <w:t>CMT, and</w:t>
      </w:r>
      <w:proofErr w:type="gramEnd"/>
      <w:r w:rsidRPr="00F43934">
        <w:rPr>
          <w:rFonts w:ascii="Times New Roman" w:hAnsi="Times New Roman" w:cs="Times New Roman"/>
          <w:sz w:val="24"/>
          <w:szCs w:val="24"/>
        </w:rPr>
        <w:t xml:space="preserve"> are recruited when aged 0-5 years (i.e. before their sixth birthday).  </w:t>
      </w:r>
    </w:p>
    <w:p w14:paraId="7030476F" w14:textId="77777777" w:rsidR="00303ADD" w:rsidRPr="00F43934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>Treatment: non-surgical interventions and non-pharmacological interventions, including:</w:t>
      </w:r>
    </w:p>
    <w:p w14:paraId="07317001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 xml:space="preserve">Manual therapies, such as stretching of hypertonic SCM muscles, massage, strengthening of weak neck and trunk muscles, spinal mobilisation and manipulation, myofascial and positional release </w:t>
      </w:r>
      <w:proofErr w:type="gramStart"/>
      <w:r w:rsidRPr="00F43934">
        <w:rPr>
          <w:rFonts w:ascii="Times New Roman" w:hAnsi="Times New Roman" w:cs="Times New Roman"/>
          <w:sz w:val="24"/>
          <w:szCs w:val="24"/>
        </w:rPr>
        <w:t>techniques;</w:t>
      </w:r>
      <w:proofErr w:type="gramEnd"/>
      <w:r w:rsidRPr="00F43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A28FD6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 xml:space="preserve">Infant positioning and handling, exercises, movement therapy and environmental </w:t>
      </w:r>
      <w:proofErr w:type="gramStart"/>
      <w:r w:rsidRPr="00F43934">
        <w:rPr>
          <w:rFonts w:ascii="Times New Roman" w:hAnsi="Times New Roman" w:cs="Times New Roman"/>
          <w:sz w:val="24"/>
          <w:szCs w:val="24"/>
        </w:rPr>
        <w:t>adaptations;</w:t>
      </w:r>
      <w:proofErr w:type="gramEnd"/>
      <w:r w:rsidRPr="00F43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4C46F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proofErr w:type="gramStart"/>
      <w:r w:rsidRPr="00F43934">
        <w:rPr>
          <w:rFonts w:ascii="Times New Roman" w:hAnsi="Times New Roman" w:cs="Times New Roman"/>
          <w:sz w:val="24"/>
          <w:szCs w:val="24"/>
        </w:rPr>
        <w:t>Acupuncture;</w:t>
      </w:r>
      <w:proofErr w:type="gramEnd"/>
      <w:r w:rsidRPr="00F43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098EF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 xml:space="preserve">Adjunctive therapies, such as electrical therapy and </w:t>
      </w:r>
      <w:proofErr w:type="gramStart"/>
      <w:r w:rsidRPr="00F43934">
        <w:rPr>
          <w:rFonts w:ascii="Times New Roman" w:hAnsi="Times New Roman" w:cs="Times New Roman"/>
          <w:sz w:val="24"/>
          <w:szCs w:val="24"/>
        </w:rPr>
        <w:t>taping;</w:t>
      </w:r>
      <w:proofErr w:type="gramEnd"/>
      <w:r w:rsidRPr="00F439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7F505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>Soft collars and braces.</w:t>
      </w:r>
    </w:p>
    <w:p w14:paraId="591FA5BE" w14:textId="77777777" w:rsidR="00303ADD" w:rsidRPr="00F43934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 xml:space="preserve">Comparison: Non-surgical interventions and non-pharmacological interventions, as above.   </w:t>
      </w:r>
    </w:p>
    <w:p w14:paraId="2E265D90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 xml:space="preserve">Study type: Trials that have a control group and are randomised, quasi-randomised (where allocation is conducted </w:t>
      </w:r>
      <w:proofErr w:type="gramStart"/>
      <w:r w:rsidRPr="00F43934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Pr="00F43934">
        <w:rPr>
          <w:rFonts w:ascii="Times New Roman" w:hAnsi="Times New Roman" w:cs="Times New Roman"/>
          <w:sz w:val="24"/>
          <w:szCs w:val="24"/>
        </w:rPr>
        <w:t xml:space="preserve"> a pseudo-random sequence) or cluster-randomised </w:t>
      </w:r>
    </w:p>
    <w:p w14:paraId="10E03A9A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 xml:space="preserve">Studies published from 1946 onwards </w:t>
      </w:r>
    </w:p>
    <w:p w14:paraId="0534DEE5" w14:textId="77777777" w:rsidR="00303ADD" w:rsidRPr="00F43934" w:rsidRDefault="00303ADD" w:rsidP="00303ADD">
      <w:pPr>
        <w:pStyle w:val="ListParagraph"/>
        <w:numPr>
          <w:ilvl w:val="1"/>
          <w:numId w:val="1"/>
        </w:numPr>
        <w:spacing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F43934">
        <w:rPr>
          <w:rFonts w:ascii="Times New Roman" w:hAnsi="Times New Roman" w:cs="Times New Roman"/>
          <w:sz w:val="24"/>
          <w:szCs w:val="24"/>
        </w:rPr>
        <w:t>Outcomes: We will include studies regardless of the outcomes they have selected.</w:t>
      </w:r>
    </w:p>
    <w:p w14:paraId="5857AC77" w14:textId="77777777" w:rsidR="00303ADD" w:rsidRDefault="00303ADD" w:rsidP="00303ADD">
      <w:pPr>
        <w:spacing w:before="160" w:after="120" w:line="240" w:lineRule="auto"/>
        <w:rPr>
          <w:rFonts w:ascii="Times New Roman" w:hAnsi="Times New Roman"/>
          <w:sz w:val="28"/>
          <w:szCs w:val="28"/>
        </w:rPr>
      </w:pPr>
      <w:r w:rsidRPr="0005575A">
        <w:rPr>
          <w:rFonts w:ascii="Times New Roman" w:hAnsi="Times New Roman"/>
          <w:sz w:val="28"/>
          <w:szCs w:val="28"/>
        </w:rPr>
        <w:t>Exclusion</w:t>
      </w:r>
      <w:r>
        <w:rPr>
          <w:rFonts w:ascii="Times New Roman" w:hAnsi="Times New Roman"/>
          <w:sz w:val="28"/>
          <w:szCs w:val="28"/>
        </w:rPr>
        <w:t xml:space="preserve"> criteria</w:t>
      </w:r>
      <w:r w:rsidRPr="0005575A">
        <w:rPr>
          <w:rFonts w:ascii="Times New Roman" w:hAnsi="Times New Roman"/>
          <w:sz w:val="28"/>
          <w:szCs w:val="28"/>
        </w:rPr>
        <w:t>:</w:t>
      </w:r>
    </w:p>
    <w:p w14:paraId="368030B1" w14:textId="77777777" w:rsidR="00303ADD" w:rsidRPr="0005575A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5575A">
        <w:rPr>
          <w:rFonts w:ascii="Times New Roman" w:hAnsi="Times New Roman" w:cs="Times New Roman"/>
          <w:sz w:val="24"/>
          <w:szCs w:val="24"/>
        </w:rPr>
        <w:t>Condition: acquired torticollis, spasmodic torticollis, cervical dystonia, ocular torticollis, Benign paroxysmal torticollis, Sandifer syndrome, Grisel’s syndrome</w:t>
      </w:r>
    </w:p>
    <w:p w14:paraId="6ED8B982" w14:textId="77777777" w:rsidR="00303ADD" w:rsidRPr="0005575A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5575A">
        <w:rPr>
          <w:rFonts w:ascii="Times New Roman" w:hAnsi="Times New Roman" w:cs="Times New Roman"/>
          <w:sz w:val="24"/>
          <w:szCs w:val="24"/>
        </w:rPr>
        <w:t>Population: Infants/children with diagnosed CMT, who are recruited for trials aged over 5 years</w:t>
      </w:r>
    </w:p>
    <w:p w14:paraId="0B51ADCF" w14:textId="77777777" w:rsidR="00303ADD" w:rsidRPr="0005575A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5575A">
        <w:rPr>
          <w:rFonts w:ascii="Times New Roman" w:hAnsi="Times New Roman" w:cs="Times New Roman"/>
          <w:sz w:val="24"/>
          <w:szCs w:val="24"/>
        </w:rPr>
        <w:t>Treatment: Either treatment and comparison arms are surgery, botulinum injections or a permutation of these modalities</w:t>
      </w:r>
    </w:p>
    <w:p w14:paraId="5785A228" w14:textId="77777777" w:rsidR="00303ADD" w:rsidRPr="0005575A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05575A">
        <w:rPr>
          <w:rFonts w:ascii="Times New Roman" w:hAnsi="Times New Roman" w:cs="Times New Roman"/>
          <w:sz w:val="24"/>
          <w:szCs w:val="24"/>
        </w:rPr>
        <w:t>Treatment: Conservative therapies applied post-operatively</w:t>
      </w:r>
    </w:p>
    <w:p w14:paraId="3CAACF11" w14:textId="77777777" w:rsidR="00303ADD" w:rsidRDefault="00303ADD" w:rsidP="00303ADD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05575A">
        <w:rPr>
          <w:rFonts w:ascii="Times New Roman" w:hAnsi="Times New Roman" w:cs="Times New Roman"/>
          <w:sz w:val="24"/>
          <w:szCs w:val="24"/>
        </w:rPr>
        <w:t>tudies published before 1946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D6A6A6" w14:textId="77777777" w:rsidR="00303ADD" w:rsidRDefault="00303ADD" w:rsidP="00303ADD">
      <w:pPr>
        <w:spacing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0D82E3" w14:textId="572D28F8" w:rsidR="00AD6E0C" w:rsidRPr="00AD6E0C" w:rsidRDefault="00014010" w:rsidP="00D06D89">
      <w:pPr>
        <w:pStyle w:val="Heading1"/>
        <w:spacing w:before="160" w:after="120"/>
        <w:rPr>
          <w:rStyle w:val="Heading2Char"/>
          <w:rFonts w:ascii="Arial" w:hAnsi="Arial" w:cs="Arial"/>
          <w:color w:val="auto"/>
          <w:sz w:val="28"/>
          <w:szCs w:val="28"/>
        </w:rPr>
      </w:pPr>
      <w:r>
        <w:rPr>
          <w:rStyle w:val="Heading2Char"/>
          <w:rFonts w:ascii="Arial" w:hAnsi="Arial" w:cs="Arial"/>
          <w:color w:val="auto"/>
          <w:sz w:val="28"/>
          <w:szCs w:val="28"/>
        </w:rPr>
        <w:lastRenderedPageBreak/>
        <w:t xml:space="preserve">Appendix </w:t>
      </w:r>
      <w:r w:rsidR="00AD6E0C">
        <w:rPr>
          <w:rStyle w:val="Heading2Char"/>
          <w:rFonts w:ascii="Arial" w:hAnsi="Arial" w:cs="Arial"/>
          <w:color w:val="auto"/>
          <w:sz w:val="28"/>
          <w:szCs w:val="28"/>
        </w:rPr>
        <w:t>2</w:t>
      </w:r>
      <w:r w:rsidR="00303ADD">
        <w:rPr>
          <w:rStyle w:val="Heading2Char"/>
          <w:rFonts w:ascii="Arial" w:hAnsi="Arial" w:cs="Arial"/>
          <w:color w:val="auto"/>
          <w:sz w:val="28"/>
          <w:szCs w:val="28"/>
        </w:rPr>
        <w:t>B</w:t>
      </w:r>
      <w:r w:rsidR="00AD6E0C">
        <w:rPr>
          <w:rStyle w:val="Heading2Char"/>
          <w:rFonts w:ascii="Arial" w:hAnsi="Arial" w:cs="Arial"/>
          <w:color w:val="auto"/>
          <w:sz w:val="28"/>
          <w:szCs w:val="28"/>
        </w:rPr>
        <w:t xml:space="preserve">.  </w:t>
      </w:r>
      <w:r w:rsidR="00AD6E0C" w:rsidRPr="00AD6E0C">
        <w:rPr>
          <w:rStyle w:val="Heading2Char"/>
          <w:rFonts w:ascii="Arial" w:hAnsi="Arial" w:cs="Arial"/>
          <w:color w:val="auto"/>
          <w:sz w:val="28"/>
          <w:szCs w:val="28"/>
        </w:rPr>
        <w:t xml:space="preserve">Data </w:t>
      </w:r>
      <w:r w:rsidR="00AD6E0C">
        <w:rPr>
          <w:rStyle w:val="Heading2Char"/>
          <w:rFonts w:ascii="Arial" w:hAnsi="Arial" w:cs="Arial"/>
          <w:color w:val="auto"/>
          <w:sz w:val="28"/>
          <w:szCs w:val="28"/>
        </w:rPr>
        <w:t>e</w:t>
      </w:r>
      <w:r w:rsidR="00AD6E0C" w:rsidRPr="00AD6E0C">
        <w:rPr>
          <w:rStyle w:val="Heading2Char"/>
          <w:rFonts w:ascii="Arial" w:hAnsi="Arial" w:cs="Arial"/>
          <w:color w:val="auto"/>
          <w:sz w:val="28"/>
          <w:szCs w:val="28"/>
        </w:rPr>
        <w:t>xtraction form</w:t>
      </w:r>
    </w:p>
    <w:p w14:paraId="7EA82682" w14:textId="2A0507EB" w:rsidR="00C563CF" w:rsidRPr="002A179B" w:rsidRDefault="00C563CF" w:rsidP="00AD6E0C">
      <w:pPr>
        <w:rPr>
          <w:rFonts w:ascii="Times New Roman" w:hAnsi="Times New Roman" w:cs="Times New Roman"/>
          <w:sz w:val="24"/>
          <w:szCs w:val="24"/>
        </w:rPr>
      </w:pPr>
      <w:r w:rsidRPr="002A179B">
        <w:rPr>
          <w:rFonts w:ascii="Times New Roman" w:hAnsi="Times New Roman" w:cs="Times New Roman"/>
          <w:sz w:val="24"/>
          <w:szCs w:val="24"/>
        </w:rPr>
        <w:t>We extracted the following data, in accordance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5931">
        <w:rPr>
          <w:rFonts w:ascii="Times New Roman" w:hAnsi="Times New Roman" w:cs="Times New Roman"/>
          <w:sz w:val="24"/>
          <w:szCs w:val="24"/>
        </w:rPr>
        <w:t>Cochrane’s Developmental, Psychosocial and Learning Problems editorial group,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A179B">
        <w:rPr>
          <w:rFonts w:ascii="Times New Roman" w:hAnsi="Times New Roman" w:cs="Times New Roman"/>
          <w:sz w:val="24"/>
          <w:szCs w:val="24"/>
        </w:rPr>
        <w:t xml:space="preserve"> categorised </w:t>
      </w:r>
      <w:proofErr w:type="gramStart"/>
      <w:r w:rsidRPr="002A179B">
        <w:rPr>
          <w:rFonts w:ascii="Times New Roman" w:hAnsi="Times New Roman" w:cs="Times New Roman"/>
          <w:sz w:val="24"/>
          <w:szCs w:val="24"/>
        </w:rPr>
        <w:t>so as to</w:t>
      </w:r>
      <w:proofErr w:type="gramEnd"/>
      <w:r w:rsidRPr="002A179B">
        <w:rPr>
          <w:rFonts w:ascii="Times New Roman" w:hAnsi="Times New Roman" w:cs="Times New Roman"/>
          <w:sz w:val="24"/>
          <w:szCs w:val="24"/>
        </w:rPr>
        <w:t xml:space="preserve"> obtain maximum advantage of the Covidence software exporting capabilities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179B">
        <w:rPr>
          <w:rFonts w:ascii="Times New Roman" w:hAnsi="Times New Roman" w:cs="Times New Roman"/>
          <w:sz w:val="24"/>
          <w:szCs w:val="24"/>
        </w:rPr>
        <w:t xml:space="preserve"> and with a regard to possible effect modifiers that might have impacted on a network meta-analysis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3DA3E1E" w14:textId="77777777" w:rsidR="00C563CF" w:rsidRDefault="00C563CF" w:rsidP="00D06D89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79B">
        <w:rPr>
          <w:rFonts w:ascii="Times New Roman" w:hAnsi="Times New Roman" w:cs="Times New Roman"/>
          <w:sz w:val="24"/>
          <w:szCs w:val="24"/>
        </w:rPr>
        <w:t xml:space="preserve">Study identification: sponsorship source; country; setting; author's name; institution; contact details (email and address); aim of the study; key conclusions; other results reported; start and end dates; outcome definition; </w:t>
      </w:r>
      <w:proofErr w:type="gramStart"/>
      <w:r w:rsidRPr="002A179B">
        <w:rPr>
          <w:rFonts w:ascii="Times New Roman" w:hAnsi="Times New Roman" w:cs="Times New Roman"/>
          <w:sz w:val="24"/>
          <w:szCs w:val="24"/>
        </w:rPr>
        <w:t>whether or not</w:t>
      </w:r>
      <w:proofErr w:type="gramEnd"/>
      <w:r w:rsidRPr="002A179B">
        <w:rPr>
          <w:rFonts w:ascii="Times New Roman" w:hAnsi="Times New Roman" w:cs="Times New Roman"/>
          <w:sz w:val="24"/>
          <w:szCs w:val="24"/>
        </w:rPr>
        <w:t xml:space="preserve"> the outcome tools are validated; references to other relevant studies.</w:t>
      </w:r>
    </w:p>
    <w:p w14:paraId="368DC629" w14:textId="77777777" w:rsidR="00C563CF" w:rsidRDefault="00C563CF" w:rsidP="00D06D89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79B">
        <w:rPr>
          <w:rFonts w:ascii="Times New Roman" w:hAnsi="Times New Roman" w:cs="Times New Roman"/>
          <w:sz w:val="24"/>
          <w:szCs w:val="24"/>
        </w:rPr>
        <w:t>Study methods: study design (e.g. RCT, cluster-RCT, quasi-RCT); group (e.g. parallel); ethical approval; possible conflicts of interest; assumed risk estimate; imputation of missing data; power of study; type of comparison (e.g. intention-to-treat, per protocol); unit of analysis (e.g. individual, cluster).</w:t>
      </w:r>
    </w:p>
    <w:p w14:paraId="77F7F4BF" w14:textId="77777777" w:rsidR="00C563CF" w:rsidRDefault="00C563CF" w:rsidP="00D06D89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79B">
        <w:rPr>
          <w:rFonts w:ascii="Times New Roman" w:hAnsi="Times New Roman" w:cs="Times New Roman"/>
          <w:sz w:val="24"/>
          <w:szCs w:val="24"/>
        </w:rPr>
        <w:t xml:space="preserve">Population: inclusion and exclusion criteria; group differences; number and reasons for missing participants; number and reasons for participants moving between groups; age range and average age; ethnicity; </w:t>
      </w:r>
      <w:r>
        <w:rPr>
          <w:rFonts w:ascii="Times New Roman" w:hAnsi="Times New Roman" w:cs="Times New Roman"/>
          <w:sz w:val="24"/>
          <w:szCs w:val="24"/>
        </w:rPr>
        <w:t xml:space="preserve">sex </w:t>
      </w:r>
      <w:r w:rsidRPr="002A179B">
        <w:rPr>
          <w:rFonts w:ascii="Times New Roman" w:hAnsi="Times New Roman" w:cs="Times New Roman"/>
          <w:sz w:val="24"/>
          <w:szCs w:val="24"/>
        </w:rPr>
        <w:t>ratio; co-morbidities (including order of onset where the comorbidity is a cranial deformity); severity and type of CMT; method and location of recruitment; consent obtained; subgroups measured and reported; numbers randomised, lost to follow-up, discontinued intervention and excluded.</w:t>
      </w:r>
    </w:p>
    <w:p w14:paraId="7E754C21" w14:textId="77777777" w:rsidR="00C563CF" w:rsidRDefault="00C563CF" w:rsidP="00D06D89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79B">
        <w:rPr>
          <w:rFonts w:ascii="Times New Roman" w:hAnsi="Times New Roman" w:cs="Times New Roman"/>
          <w:sz w:val="24"/>
          <w:szCs w:val="24"/>
        </w:rPr>
        <w:t>Interventions: theoretical basis of intervention with key references; description (content, dose and components in sufficient detail to enable replication); diagnosticians; providers; assessors; integrity of delivery (competence, therapy arms distinct); duration of treatment and assessment period; co-interventions; timing; duration and frequency of each intervention; compliance, economic information.</w:t>
      </w:r>
    </w:p>
    <w:p w14:paraId="74F67ADB" w14:textId="77777777" w:rsidR="00C563CF" w:rsidRPr="002A179B" w:rsidRDefault="00C563CF" w:rsidP="00D06D89">
      <w:pPr>
        <w:pStyle w:val="ListParagraph"/>
        <w:numPr>
          <w:ilvl w:val="0"/>
          <w:numId w:val="1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A179B">
        <w:rPr>
          <w:rFonts w:ascii="Times New Roman" w:hAnsi="Times New Roman" w:cs="Times New Roman"/>
          <w:sz w:val="24"/>
          <w:szCs w:val="24"/>
        </w:rPr>
        <w:t>Outcomes: outcome name; outcome type (continuous, dichotomous); how reported (e.g. mean, standard deviation, number); unit of measurement and scale; direction of measurement; time points; adverse events.</w:t>
      </w:r>
    </w:p>
    <w:p w14:paraId="7D5F7DBC" w14:textId="3B6F030C" w:rsidR="00AD6E0C" w:rsidRDefault="00AD6E0C">
      <w:pPr>
        <w:spacing w:line="278" w:lineRule="auto"/>
      </w:pPr>
      <w:r>
        <w:br w:type="page"/>
      </w:r>
    </w:p>
    <w:p w14:paraId="24607C84" w14:textId="77777777" w:rsidR="00622BF9" w:rsidRPr="00622BF9" w:rsidRDefault="00622BF9" w:rsidP="00622BF9">
      <w:pPr>
        <w:pStyle w:val="EndNoteBibliography"/>
        <w:spacing w:before="160" w:after="80"/>
        <w:rPr>
          <w:rFonts w:ascii="Arial" w:eastAsiaTheme="minorHAnsi" w:hAnsi="Arial" w:cs="Arial"/>
          <w:kern w:val="2"/>
          <w:sz w:val="28"/>
          <w:szCs w:val="28"/>
          <w14:ligatures w14:val="standardContextual"/>
        </w:rPr>
      </w:pPr>
      <w:r w:rsidRPr="00622BF9">
        <w:rPr>
          <w:rFonts w:ascii="Arial" w:eastAsiaTheme="minorHAnsi" w:hAnsi="Arial" w:cs="Arial"/>
          <w:kern w:val="2"/>
          <w:sz w:val="28"/>
          <w:szCs w:val="28"/>
          <w14:ligatures w14:val="standardContextual"/>
        </w:rPr>
        <w:lastRenderedPageBreak/>
        <w:t>References</w:t>
      </w:r>
    </w:p>
    <w:p w14:paraId="6E33FECF" w14:textId="0FE6CD59" w:rsidR="00622BF9" w:rsidRDefault="00622BF9" w:rsidP="00622BF9">
      <w:pPr>
        <w:pStyle w:val="EndNoteBibliography"/>
        <w:spacing w:after="0"/>
      </w:pPr>
      <w:r w:rsidRPr="003410C4">
        <w:t>1.</w:t>
      </w:r>
      <w:r w:rsidRPr="003410C4">
        <w:tab/>
        <w:t>Cochrane D, Psychosocial, Learning Problems. Data collection form for intervention reviews: RCTs only. tinyurlcom/y7z2tv9n2018.</w:t>
      </w:r>
    </w:p>
    <w:p w14:paraId="5BC33539" w14:textId="77777777" w:rsidR="00622BF9" w:rsidRPr="003410C4" w:rsidRDefault="00622BF9" w:rsidP="00622BF9">
      <w:pPr>
        <w:pStyle w:val="EndNoteBibliography"/>
        <w:spacing w:after="0"/>
      </w:pPr>
      <w:r>
        <w:t>2</w:t>
      </w:r>
      <w:r w:rsidRPr="003410C4">
        <w:t>.</w:t>
      </w:r>
      <w:r w:rsidRPr="003410C4">
        <w:tab/>
        <w:t>Covidence systematic review software. Melbourne (AU): Veritas Health Innovation.</w:t>
      </w:r>
    </w:p>
    <w:p w14:paraId="58682583" w14:textId="519A3016" w:rsidR="00C563CF" w:rsidRPr="00622BF9" w:rsidRDefault="00622BF9" w:rsidP="00622BF9">
      <w:pPr>
        <w:pStyle w:val="EndNoteBibliography"/>
        <w:spacing w:after="0"/>
        <w:rPr>
          <w:rFonts w:ascii="Times New Roman" w:hAnsi="Times New Roman"/>
          <w:sz w:val="24"/>
          <w:szCs w:val="24"/>
        </w:rPr>
      </w:pPr>
      <w:r w:rsidRPr="003410C4">
        <w:t>3.</w:t>
      </w:r>
      <w:r w:rsidRPr="003410C4">
        <w:tab/>
        <w:t>Hutton B, Salanti G, Caldwell DM, Chaimani A, Schmid CH, Cameron C, et al. The PRISMA extension statement for reporting of systematic reviews incorporating network meta-analyses of health care interventions: checklist and explanations. Annals of Internal Medicine. 2015;162(11):777-84.</w:t>
      </w:r>
    </w:p>
    <w:sectPr w:rsidR="00C563CF" w:rsidRPr="00622B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23163"/>
    <w:multiLevelType w:val="hybridMultilevel"/>
    <w:tmpl w:val="D8C82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B32AF"/>
    <w:multiLevelType w:val="hybridMultilevel"/>
    <w:tmpl w:val="59881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51557">
    <w:abstractNumId w:val="0"/>
  </w:num>
  <w:num w:numId="2" w16cid:durableId="62253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3CF"/>
    <w:rsid w:val="00014010"/>
    <w:rsid w:val="0005575A"/>
    <w:rsid w:val="000A3E83"/>
    <w:rsid w:val="00303ADD"/>
    <w:rsid w:val="005B2DB1"/>
    <w:rsid w:val="00601231"/>
    <w:rsid w:val="00622BF9"/>
    <w:rsid w:val="00800C96"/>
    <w:rsid w:val="00AD6E0C"/>
    <w:rsid w:val="00C563CF"/>
    <w:rsid w:val="00C804B1"/>
    <w:rsid w:val="00CA7597"/>
    <w:rsid w:val="00D06D89"/>
    <w:rsid w:val="00DC5E1C"/>
    <w:rsid w:val="00DC6628"/>
    <w:rsid w:val="00F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79C5C"/>
  <w15:chartTrackingRefBased/>
  <w15:docId w15:val="{CBDD1ECB-445C-4346-A24A-2E2F3B6D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3C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6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56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3CF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C563CF"/>
    <w:pPr>
      <w:spacing w:line="240" w:lineRule="auto"/>
    </w:pPr>
    <w:rPr>
      <w:rFonts w:ascii="Aptos" w:eastAsia="SimSun" w:hAnsi="Aptos" w:cs="Times New Roman"/>
      <w:noProof/>
      <w:kern w:val="0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C563CF"/>
    <w:rPr>
      <w:rFonts w:ascii="Aptos" w:eastAsia="SimSun" w:hAnsi="Aptos" w:cs="Times New Roman"/>
      <w:noProof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Joyaa Antares</dc:creator>
  <cp:keywords/>
  <dc:description/>
  <cp:lastModifiedBy>Joyaa Antares</cp:lastModifiedBy>
  <cp:revision>6</cp:revision>
  <dcterms:created xsi:type="dcterms:W3CDTF">2024-04-28T05:07:00Z</dcterms:created>
  <dcterms:modified xsi:type="dcterms:W3CDTF">2025-01-26T06:13:00Z</dcterms:modified>
</cp:coreProperties>
</file>