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B53A0" w14:textId="281246B1" w:rsidR="00FC0B23" w:rsidRPr="00FC0B23" w:rsidRDefault="00FC0B23" w:rsidP="00FC0B23">
      <w:pPr>
        <w:spacing w:line="480" w:lineRule="auto"/>
        <w:ind w:left="142"/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</w:pP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T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>he procedure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 xml:space="preserve"> of the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 ultrasound is to obtain a dynamic 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 xml:space="preserve">image 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of the relationship between the ulnar nerve and the 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pin. T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ransducers obtain transverse sections of the humeral medial epicondyle and ulnar olecranon, clarifying the ulnar nerve's relation to the epicondyle. By gently rotating the transducer parallel to the 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pin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, the ultrasound reveals the 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 xml:space="preserve">relationship between 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>the ulnar nerve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 xml:space="preserve"> and 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the 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pin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>.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 xml:space="preserve"> 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ME: 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m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>edial epicondyle of the humerus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;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a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>rrow</w:t>
      </w:r>
      <w:r w:rsidRPr="00FC0B23">
        <w:rPr>
          <w:rFonts w:ascii="Times New Roman" w:hAnsi="Times New Roman" w:cs="Times New Roman"/>
          <w:color w:val="000000"/>
          <w:sz w:val="24"/>
          <w:szCs w:val="24"/>
        </w:rPr>
        <w:t>head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: ulnar nerve; </w:t>
      </w:r>
      <w:r w:rsidRPr="00FC0B23">
        <w:rPr>
          <w:rFonts w:ascii="Times New Roman" w:hAnsi="Times New Roman" w:cs="Times New Roman"/>
          <w:color w:val="060607"/>
          <w:spacing w:val="4"/>
          <w:sz w:val="24"/>
          <w:szCs w:val="24"/>
          <w:shd w:val="clear" w:color="auto" w:fill="FFFFFF"/>
        </w:rPr>
        <w:t>arrow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: </w:t>
      </w:r>
      <w:r w:rsidRPr="00FC0B23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p</w:t>
      </w:r>
      <w:r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>lacement of the pin is visualized.</w:t>
      </w:r>
    </w:p>
    <w:p w14:paraId="45AB4A88" w14:textId="77777777" w:rsidR="003464CF" w:rsidRPr="00FC0B23" w:rsidRDefault="003464CF">
      <w:pPr>
        <w:rPr>
          <w:rFonts w:hint="eastAsia"/>
        </w:rPr>
      </w:pPr>
    </w:p>
    <w:sectPr w:rsidR="003464CF" w:rsidRPr="00FC0B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404BA" w14:textId="77777777" w:rsidR="00FC0B23" w:rsidRDefault="00FC0B23" w:rsidP="00FC0B23">
      <w:pPr>
        <w:rPr>
          <w:rFonts w:hint="eastAsia"/>
        </w:rPr>
      </w:pPr>
      <w:r>
        <w:separator/>
      </w:r>
    </w:p>
  </w:endnote>
  <w:endnote w:type="continuationSeparator" w:id="0">
    <w:p w14:paraId="32B606C3" w14:textId="77777777" w:rsidR="00FC0B23" w:rsidRDefault="00FC0B23" w:rsidP="00FC0B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E1816" w14:textId="77777777" w:rsidR="00FC0B23" w:rsidRDefault="00FC0B23" w:rsidP="00FC0B23">
      <w:pPr>
        <w:rPr>
          <w:rFonts w:hint="eastAsia"/>
        </w:rPr>
      </w:pPr>
      <w:r>
        <w:separator/>
      </w:r>
    </w:p>
  </w:footnote>
  <w:footnote w:type="continuationSeparator" w:id="0">
    <w:p w14:paraId="4ECDBE70" w14:textId="77777777" w:rsidR="00FC0B23" w:rsidRDefault="00FC0B23" w:rsidP="00FC0B2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8048F"/>
    <w:multiLevelType w:val="hybridMultilevel"/>
    <w:tmpl w:val="6AB648BC"/>
    <w:lvl w:ilvl="0" w:tplc="7396DEA2">
      <w:start w:val="1"/>
      <w:numFmt w:val="decimal"/>
      <w:lvlText w:val="%1、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num w:numId="1" w16cid:durableId="211173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QwtTAwMjC2NDQzNjFW0lEKTi0uzszPAykwqgUAC4D2aCwAAAA="/>
  </w:docVars>
  <w:rsids>
    <w:rsidRoot w:val="005641C1"/>
    <w:rsid w:val="001F1730"/>
    <w:rsid w:val="003464CF"/>
    <w:rsid w:val="003E1DB4"/>
    <w:rsid w:val="005641C1"/>
    <w:rsid w:val="006D084B"/>
    <w:rsid w:val="009F15F7"/>
    <w:rsid w:val="00A069F7"/>
    <w:rsid w:val="00B922B9"/>
    <w:rsid w:val="00FC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B854C"/>
  <w15:chartTrackingRefBased/>
  <w15:docId w15:val="{420B3954-0BD3-4DD9-8D7D-7765AE1A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41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1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1C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1C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1C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1C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1C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1C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41C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4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4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41C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41C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41C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41C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41C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41C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41C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4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1C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41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41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41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41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41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4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41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41C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C0B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C0B2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C0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C0B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NA6537</dc:creator>
  <cp:keywords/>
  <dc:description/>
  <cp:lastModifiedBy>NA6537</cp:lastModifiedBy>
  <cp:revision>3</cp:revision>
  <dcterms:created xsi:type="dcterms:W3CDTF">2024-09-17T14:46:00Z</dcterms:created>
  <dcterms:modified xsi:type="dcterms:W3CDTF">2024-09-20T14:17:00Z</dcterms:modified>
</cp:coreProperties>
</file>