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900"/>
        <w:bidiVisual/>
        <w:tblW w:w="5000" w:type="pct"/>
        <w:tblLook w:val="04A0" w:firstRow="1" w:lastRow="0" w:firstColumn="1" w:lastColumn="0" w:noHBand="0" w:noVBand="1"/>
      </w:tblPr>
      <w:tblGrid>
        <w:gridCol w:w="6228"/>
        <w:gridCol w:w="2788"/>
      </w:tblGrid>
      <w:tr w:rsidR="00F5286E" w:rsidRPr="0092296A" w14:paraId="23D5C22F" w14:textId="77777777" w:rsidTr="0092296A">
        <w:tc>
          <w:tcPr>
            <w:tcW w:w="3454" w:type="pct"/>
          </w:tcPr>
          <w:p w14:paraId="33C8AE78" w14:textId="7E49AED8" w:rsidR="00F5286E" w:rsidRPr="0092296A" w:rsidRDefault="00F5286E"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 xml:space="preserve">Reason for exclusion </w:t>
            </w:r>
          </w:p>
        </w:tc>
        <w:tc>
          <w:tcPr>
            <w:tcW w:w="1546" w:type="pct"/>
          </w:tcPr>
          <w:p w14:paraId="34DA0896" w14:textId="56D8731A" w:rsidR="00F5286E" w:rsidRPr="0092296A" w:rsidRDefault="00F5286E"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Author</w:t>
            </w:r>
          </w:p>
        </w:tc>
      </w:tr>
      <w:tr w:rsidR="0092296A" w:rsidRPr="0092296A" w14:paraId="4988E615" w14:textId="77777777" w:rsidTr="0092296A">
        <w:tc>
          <w:tcPr>
            <w:tcW w:w="3454" w:type="pct"/>
          </w:tcPr>
          <w:p w14:paraId="1FA2F3DF" w14:textId="48184260"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Undergoing</w:t>
            </w:r>
            <w:r>
              <w:rPr>
                <w:rFonts w:asciiTheme="majorBidi" w:hAnsiTheme="majorBidi" w:cstheme="majorBidi"/>
                <w:sz w:val="24"/>
                <w:szCs w:val="24"/>
                <w:lang w:bidi="ar-LY"/>
              </w:rPr>
              <w:t>.</w:t>
            </w:r>
          </w:p>
        </w:tc>
        <w:tc>
          <w:tcPr>
            <w:tcW w:w="1546" w:type="pct"/>
          </w:tcPr>
          <w:p w14:paraId="497285EE" w14:textId="2E4702C7"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NCT03184545 [1]</w:t>
            </w:r>
          </w:p>
        </w:tc>
      </w:tr>
      <w:tr w:rsidR="0092296A" w:rsidRPr="0092296A" w14:paraId="448BAB0E" w14:textId="77777777" w:rsidTr="0092296A">
        <w:tc>
          <w:tcPr>
            <w:tcW w:w="3454" w:type="pct"/>
          </w:tcPr>
          <w:p w14:paraId="1EB52DDF" w14:textId="3D1DE3A3"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 xml:space="preserve">Inconsistent </w:t>
            </w:r>
            <w:r>
              <w:rPr>
                <w:rFonts w:asciiTheme="majorBidi" w:hAnsiTheme="majorBidi" w:cstheme="majorBidi"/>
                <w:sz w:val="24"/>
                <w:szCs w:val="24"/>
                <w:lang w:bidi="ar-LY"/>
              </w:rPr>
              <w:t>data reporting.</w:t>
            </w:r>
          </w:p>
        </w:tc>
        <w:tc>
          <w:tcPr>
            <w:tcW w:w="1546" w:type="pct"/>
          </w:tcPr>
          <w:p w14:paraId="27AD75C4" w14:textId="12199447" w:rsidR="0092296A" w:rsidRPr="0092296A" w:rsidRDefault="0092296A" w:rsidP="0092296A">
            <w:pPr>
              <w:bidi w:val="0"/>
              <w:rPr>
                <w:rFonts w:asciiTheme="majorBidi" w:hAnsiTheme="majorBidi" w:cstheme="majorBidi"/>
                <w:sz w:val="24"/>
                <w:szCs w:val="24"/>
                <w:lang w:bidi="ar-LY"/>
              </w:rPr>
            </w:pPr>
            <w:proofErr w:type="spellStart"/>
            <w:r w:rsidRPr="0092296A">
              <w:rPr>
                <w:rFonts w:asciiTheme="majorBidi" w:hAnsiTheme="majorBidi" w:cstheme="majorBidi"/>
                <w:sz w:val="24"/>
                <w:szCs w:val="24"/>
                <w:lang w:bidi="ar-LY"/>
              </w:rPr>
              <w:t>Akarcali</w:t>
            </w:r>
            <w:proofErr w:type="spellEnd"/>
            <w:r w:rsidRPr="0092296A">
              <w:rPr>
                <w:rFonts w:asciiTheme="majorBidi" w:hAnsiTheme="majorBidi" w:cstheme="majorBidi"/>
                <w:sz w:val="24"/>
                <w:szCs w:val="24"/>
                <w:lang w:bidi="ar-LY"/>
              </w:rPr>
              <w:t xml:space="preserve"> et al. 2002 [2]</w:t>
            </w:r>
          </w:p>
        </w:tc>
      </w:tr>
      <w:tr w:rsidR="0092296A" w:rsidRPr="0092296A" w14:paraId="030D6AE6" w14:textId="77777777" w:rsidTr="0092296A">
        <w:tc>
          <w:tcPr>
            <w:tcW w:w="3454" w:type="pct"/>
          </w:tcPr>
          <w:p w14:paraId="75B929DC" w14:textId="756B6533"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N</w:t>
            </w:r>
            <w:r>
              <w:rPr>
                <w:rFonts w:asciiTheme="majorBidi" w:hAnsiTheme="majorBidi" w:cstheme="majorBidi"/>
                <w:sz w:val="24"/>
                <w:szCs w:val="24"/>
                <w:lang w:bidi="ar-LY"/>
              </w:rPr>
              <w:t>ot</w:t>
            </w:r>
            <w:r w:rsidRPr="0092296A">
              <w:rPr>
                <w:rFonts w:asciiTheme="majorBidi" w:hAnsiTheme="majorBidi" w:cstheme="majorBidi"/>
                <w:sz w:val="24"/>
                <w:szCs w:val="24"/>
                <w:lang w:bidi="ar-LY"/>
              </w:rPr>
              <w:t xml:space="preserve"> RCT</w:t>
            </w:r>
          </w:p>
        </w:tc>
        <w:tc>
          <w:tcPr>
            <w:tcW w:w="1546" w:type="pct"/>
          </w:tcPr>
          <w:p w14:paraId="5B87C7EB" w14:textId="3F5BFECF"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Garcia et al. 2010 [3]</w:t>
            </w:r>
          </w:p>
        </w:tc>
      </w:tr>
      <w:tr w:rsidR="0092296A" w:rsidRPr="0092296A" w14:paraId="034F4A41" w14:textId="77777777" w:rsidTr="0092296A">
        <w:tc>
          <w:tcPr>
            <w:tcW w:w="3454" w:type="pct"/>
          </w:tcPr>
          <w:p w14:paraId="392CFA2F" w14:textId="5609FDDE" w:rsidR="0092296A" w:rsidRPr="0092296A" w:rsidRDefault="0092296A" w:rsidP="0092296A">
            <w:pPr>
              <w:bidi w:val="0"/>
              <w:rPr>
                <w:rFonts w:asciiTheme="majorBidi" w:hAnsiTheme="majorBidi" w:cstheme="majorBidi"/>
                <w:b/>
                <w:bCs/>
                <w:sz w:val="24"/>
                <w:szCs w:val="24"/>
                <w:lang w:bidi="ar-LY"/>
              </w:rPr>
            </w:pPr>
            <w:r w:rsidRPr="0092296A">
              <w:rPr>
                <w:rFonts w:asciiTheme="majorBidi" w:hAnsiTheme="majorBidi" w:cstheme="majorBidi"/>
                <w:sz w:val="24"/>
                <w:szCs w:val="24"/>
                <w:lang w:bidi="ar-LY"/>
              </w:rPr>
              <w:t xml:space="preserve">Combined effect of </w:t>
            </w:r>
            <w:r>
              <w:rPr>
                <w:rFonts w:asciiTheme="majorBidi" w:hAnsiTheme="majorBidi" w:cstheme="majorBidi"/>
                <w:sz w:val="24"/>
                <w:szCs w:val="24"/>
                <w:lang w:bidi="ar-LY"/>
              </w:rPr>
              <w:t>electrical stimulation</w:t>
            </w:r>
            <w:r w:rsidRPr="0092296A">
              <w:rPr>
                <w:rFonts w:asciiTheme="majorBidi" w:hAnsiTheme="majorBidi" w:cstheme="majorBidi"/>
                <w:sz w:val="24"/>
                <w:szCs w:val="24"/>
                <w:lang w:bidi="ar-LY"/>
              </w:rPr>
              <w:t xml:space="preserve"> &amp;</w:t>
            </w:r>
            <w:r>
              <w:rPr>
                <w:rFonts w:asciiTheme="majorBidi" w:hAnsiTheme="majorBidi" w:cstheme="majorBidi"/>
                <w:sz w:val="24"/>
                <w:szCs w:val="24"/>
                <w:lang w:bidi="ar-LY"/>
              </w:rPr>
              <w:t xml:space="preserve"> </w:t>
            </w:r>
            <w:r w:rsidRPr="0092296A">
              <w:rPr>
                <w:rFonts w:asciiTheme="majorBidi" w:hAnsiTheme="majorBidi" w:cstheme="majorBidi"/>
                <w:sz w:val="24"/>
                <w:szCs w:val="24"/>
                <w:lang w:bidi="ar-LY"/>
              </w:rPr>
              <w:t xml:space="preserve">cryotherapy and exercises and control group take only exercises  </w:t>
            </w:r>
          </w:p>
        </w:tc>
        <w:tc>
          <w:tcPr>
            <w:tcW w:w="1546" w:type="pct"/>
          </w:tcPr>
          <w:p w14:paraId="0D86B15F" w14:textId="1A787B9E" w:rsidR="0092296A" w:rsidRPr="0092296A" w:rsidRDefault="0092296A" w:rsidP="0092296A">
            <w:pPr>
              <w:bidi w:val="0"/>
              <w:rPr>
                <w:rFonts w:asciiTheme="majorBidi" w:hAnsiTheme="majorBidi" w:cstheme="majorBidi"/>
                <w:b/>
                <w:bCs/>
                <w:sz w:val="24"/>
                <w:szCs w:val="24"/>
                <w:lang w:bidi="ar-LY"/>
              </w:rPr>
            </w:pPr>
            <w:proofErr w:type="spellStart"/>
            <w:r w:rsidRPr="0092296A">
              <w:rPr>
                <w:rFonts w:asciiTheme="majorBidi" w:hAnsiTheme="majorBidi" w:cstheme="majorBidi"/>
                <w:sz w:val="24"/>
                <w:szCs w:val="24"/>
                <w:lang w:bidi="ar-LY"/>
              </w:rPr>
              <w:t>Roh</w:t>
            </w:r>
            <w:proofErr w:type="spellEnd"/>
            <w:r w:rsidRPr="0092296A">
              <w:rPr>
                <w:rFonts w:asciiTheme="majorBidi" w:hAnsiTheme="majorBidi" w:cstheme="majorBidi"/>
                <w:sz w:val="24"/>
                <w:szCs w:val="24"/>
                <w:lang w:bidi="ar-LY"/>
              </w:rPr>
              <w:t xml:space="preserve"> et al. 2021 [4]</w:t>
            </w:r>
          </w:p>
        </w:tc>
      </w:tr>
      <w:tr w:rsidR="0092296A" w:rsidRPr="0092296A" w14:paraId="39FFB6FF" w14:textId="77777777" w:rsidTr="0092296A">
        <w:tc>
          <w:tcPr>
            <w:tcW w:w="3454" w:type="pct"/>
          </w:tcPr>
          <w:p w14:paraId="0FFDC622" w14:textId="285D2FC8"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Immediate effect (only one session)</w:t>
            </w:r>
          </w:p>
        </w:tc>
        <w:tc>
          <w:tcPr>
            <w:tcW w:w="1546" w:type="pct"/>
          </w:tcPr>
          <w:p w14:paraId="15A6C5D2" w14:textId="19FEE2DB"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Glaviano et al. 2016 [5]</w:t>
            </w:r>
          </w:p>
        </w:tc>
      </w:tr>
      <w:tr w:rsidR="0092296A" w:rsidRPr="0092296A" w14:paraId="179964DF" w14:textId="77777777" w:rsidTr="0092296A">
        <w:tc>
          <w:tcPr>
            <w:tcW w:w="3454" w:type="pct"/>
          </w:tcPr>
          <w:p w14:paraId="2FD65423" w14:textId="6251B762"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Immediate effect (only one session)</w:t>
            </w:r>
          </w:p>
        </w:tc>
        <w:tc>
          <w:tcPr>
            <w:tcW w:w="1546" w:type="pct"/>
          </w:tcPr>
          <w:p w14:paraId="4C669CC7" w14:textId="73F523E8"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Glaviano et al. 2016 [6]</w:t>
            </w:r>
          </w:p>
        </w:tc>
      </w:tr>
      <w:tr w:rsidR="0092296A" w:rsidRPr="0092296A" w14:paraId="5E565C77" w14:textId="77777777" w:rsidTr="0092296A">
        <w:tc>
          <w:tcPr>
            <w:tcW w:w="3454" w:type="pct"/>
          </w:tcPr>
          <w:p w14:paraId="05B9C6D0" w14:textId="547F3EEE"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rPr>
              <w:t xml:space="preserve">All groups take electrical stimulation. </w:t>
            </w:r>
            <w:r w:rsidRPr="0092296A">
              <w:rPr>
                <w:rFonts w:asciiTheme="majorBidi" w:hAnsiTheme="majorBidi" w:cstheme="majorBidi"/>
                <w:sz w:val="24"/>
                <w:szCs w:val="24"/>
                <w:lang w:bidi="ar-LY"/>
              </w:rPr>
              <w:t>(ineligible control)</w:t>
            </w:r>
          </w:p>
        </w:tc>
        <w:tc>
          <w:tcPr>
            <w:tcW w:w="1546" w:type="pct"/>
          </w:tcPr>
          <w:p w14:paraId="430CD50E" w14:textId="309E0B0D"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Talbot et al. 2023 [7]</w:t>
            </w:r>
          </w:p>
        </w:tc>
      </w:tr>
      <w:tr w:rsidR="0092296A" w:rsidRPr="0092296A" w14:paraId="5090A76E" w14:textId="77777777" w:rsidTr="0092296A">
        <w:tc>
          <w:tcPr>
            <w:tcW w:w="3454" w:type="pct"/>
          </w:tcPr>
          <w:p w14:paraId="7BC1B921" w14:textId="4E053E2C" w:rsidR="0092296A" w:rsidRPr="0092296A" w:rsidRDefault="0092296A" w:rsidP="0092296A">
            <w:pPr>
              <w:bidi w:val="0"/>
              <w:rPr>
                <w:rFonts w:asciiTheme="majorBidi" w:hAnsiTheme="majorBidi" w:cstheme="majorBidi"/>
                <w:sz w:val="24"/>
                <w:szCs w:val="24"/>
              </w:rPr>
            </w:pPr>
            <w:r w:rsidRPr="0092296A">
              <w:rPr>
                <w:rFonts w:asciiTheme="majorBidi" w:hAnsiTheme="majorBidi" w:cstheme="majorBidi"/>
                <w:sz w:val="24"/>
                <w:szCs w:val="24"/>
                <w:lang w:bidi="ar-LY"/>
              </w:rPr>
              <w:t>Thesis only</w:t>
            </w:r>
          </w:p>
        </w:tc>
        <w:tc>
          <w:tcPr>
            <w:tcW w:w="1546" w:type="pct"/>
          </w:tcPr>
          <w:p w14:paraId="51E81C40" w14:textId="3A2EEF35"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Sadeh et al. 2018 [8]</w:t>
            </w:r>
          </w:p>
        </w:tc>
      </w:tr>
      <w:tr w:rsidR="0092296A" w:rsidRPr="0092296A" w14:paraId="4A621821" w14:textId="77777777" w:rsidTr="0092296A">
        <w:tc>
          <w:tcPr>
            <w:tcW w:w="3454" w:type="pct"/>
          </w:tcPr>
          <w:p w14:paraId="38D28108" w14:textId="4093C8EE" w:rsidR="0092296A" w:rsidRPr="0092296A" w:rsidRDefault="0092296A" w:rsidP="0092296A">
            <w:pPr>
              <w:bidi w:val="0"/>
              <w:rPr>
                <w:rFonts w:asciiTheme="majorBidi" w:hAnsiTheme="majorBidi" w:cstheme="majorBidi"/>
                <w:sz w:val="24"/>
                <w:szCs w:val="24"/>
              </w:rPr>
            </w:pPr>
            <w:r w:rsidRPr="0092296A">
              <w:rPr>
                <w:rFonts w:asciiTheme="majorBidi" w:hAnsiTheme="majorBidi" w:cstheme="majorBidi"/>
                <w:sz w:val="24"/>
                <w:szCs w:val="24"/>
                <w:lang w:bidi="ar-LY"/>
              </w:rPr>
              <w:t>All groups take electrical stimulation. (ineligible control)</w:t>
            </w:r>
          </w:p>
        </w:tc>
        <w:tc>
          <w:tcPr>
            <w:tcW w:w="1546" w:type="pct"/>
          </w:tcPr>
          <w:p w14:paraId="7EACE88B" w14:textId="00901C0B"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Callaghan et al. 2001 [9]</w:t>
            </w:r>
          </w:p>
        </w:tc>
      </w:tr>
      <w:tr w:rsidR="0092296A" w:rsidRPr="0092296A" w14:paraId="54352221" w14:textId="77777777" w:rsidTr="0092296A">
        <w:tc>
          <w:tcPr>
            <w:tcW w:w="3454" w:type="pct"/>
          </w:tcPr>
          <w:p w14:paraId="5386B36F" w14:textId="3E306135" w:rsidR="0092296A" w:rsidRPr="0092296A" w:rsidRDefault="0092296A" w:rsidP="0092296A">
            <w:pPr>
              <w:bidi w:val="0"/>
              <w:rPr>
                <w:rFonts w:asciiTheme="majorBidi" w:hAnsiTheme="majorBidi" w:cstheme="majorBidi"/>
                <w:sz w:val="24"/>
                <w:szCs w:val="24"/>
                <w:rtl/>
                <w:lang w:bidi="ar-LY"/>
              </w:rPr>
            </w:pPr>
            <w:r w:rsidRPr="0092296A">
              <w:rPr>
                <w:rFonts w:asciiTheme="majorBidi" w:hAnsiTheme="majorBidi" w:cstheme="majorBidi"/>
                <w:sz w:val="24"/>
                <w:szCs w:val="24"/>
                <w:lang w:bidi="ar-LY"/>
              </w:rPr>
              <w:t xml:space="preserve">All groups take electrical stimulation. (ineligible control) </w:t>
            </w:r>
          </w:p>
        </w:tc>
        <w:tc>
          <w:tcPr>
            <w:tcW w:w="1546" w:type="pct"/>
          </w:tcPr>
          <w:p w14:paraId="719E80EA" w14:textId="557ED217"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Callaghan et al. 2004 [10]</w:t>
            </w:r>
          </w:p>
        </w:tc>
      </w:tr>
      <w:tr w:rsidR="0092296A" w:rsidRPr="0092296A" w14:paraId="60C95EE1" w14:textId="77777777" w:rsidTr="0092296A">
        <w:tc>
          <w:tcPr>
            <w:tcW w:w="3454" w:type="pct"/>
          </w:tcPr>
          <w:p w14:paraId="51D2625A" w14:textId="2EB2C80A"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N</w:t>
            </w:r>
            <w:r>
              <w:rPr>
                <w:rFonts w:asciiTheme="majorBidi" w:hAnsiTheme="majorBidi" w:cstheme="majorBidi"/>
                <w:sz w:val="24"/>
                <w:szCs w:val="24"/>
                <w:lang w:bidi="ar-LY"/>
              </w:rPr>
              <w:t xml:space="preserve">ot </w:t>
            </w:r>
            <w:r w:rsidRPr="0092296A">
              <w:rPr>
                <w:rFonts w:asciiTheme="majorBidi" w:hAnsiTheme="majorBidi" w:cstheme="majorBidi"/>
                <w:sz w:val="24"/>
                <w:szCs w:val="24"/>
                <w:lang w:bidi="ar-LY"/>
              </w:rPr>
              <w:t>RCT</w:t>
            </w:r>
          </w:p>
        </w:tc>
        <w:tc>
          <w:tcPr>
            <w:tcW w:w="1546" w:type="pct"/>
          </w:tcPr>
          <w:p w14:paraId="0F13F509" w14:textId="29E72E7C" w:rsidR="0092296A" w:rsidRPr="0092296A" w:rsidRDefault="0092296A" w:rsidP="0092296A">
            <w:pPr>
              <w:tabs>
                <w:tab w:val="left" w:pos="2964"/>
              </w:tabs>
              <w:bidi w:val="0"/>
              <w:rPr>
                <w:rFonts w:asciiTheme="majorBidi" w:hAnsiTheme="majorBidi" w:cstheme="majorBidi"/>
                <w:sz w:val="24"/>
                <w:szCs w:val="24"/>
                <w:lang w:bidi="ar-LY"/>
              </w:rPr>
            </w:pPr>
            <w:r w:rsidRPr="0092296A">
              <w:rPr>
                <w:rFonts w:asciiTheme="majorBidi" w:hAnsiTheme="majorBidi" w:cstheme="majorBidi"/>
                <w:sz w:val="24"/>
                <w:szCs w:val="24"/>
                <w:lang w:bidi="ar-LY"/>
              </w:rPr>
              <w:t>KURU et al. 2012 [11]</w:t>
            </w:r>
          </w:p>
        </w:tc>
      </w:tr>
      <w:tr w:rsidR="0092296A" w:rsidRPr="0092296A" w14:paraId="23694C03" w14:textId="77777777" w:rsidTr="0092296A">
        <w:tc>
          <w:tcPr>
            <w:tcW w:w="3454" w:type="pct"/>
          </w:tcPr>
          <w:p w14:paraId="72233116" w14:textId="23EDD8A4" w:rsidR="0092296A" w:rsidRPr="0092296A" w:rsidRDefault="0092296A" w:rsidP="0092296A">
            <w:pPr>
              <w:bidi w:val="0"/>
              <w:rPr>
                <w:rFonts w:asciiTheme="majorBidi" w:hAnsiTheme="majorBidi" w:cstheme="majorBidi"/>
                <w:sz w:val="24"/>
                <w:szCs w:val="24"/>
              </w:rPr>
            </w:pPr>
            <w:r w:rsidRPr="0092296A">
              <w:rPr>
                <w:rFonts w:asciiTheme="majorBidi" w:hAnsiTheme="majorBidi" w:cstheme="majorBidi"/>
                <w:sz w:val="24"/>
                <w:szCs w:val="24"/>
                <w:lang w:bidi="ar-LY"/>
              </w:rPr>
              <w:t xml:space="preserve">Written in Chinese </w:t>
            </w:r>
          </w:p>
        </w:tc>
        <w:tc>
          <w:tcPr>
            <w:tcW w:w="1546" w:type="pct"/>
          </w:tcPr>
          <w:p w14:paraId="4B1F014B" w14:textId="769CDEF8" w:rsidR="0092296A" w:rsidRPr="0092296A" w:rsidRDefault="0092296A" w:rsidP="0092296A">
            <w:pPr>
              <w:bidi w:val="0"/>
              <w:rPr>
                <w:rFonts w:asciiTheme="majorBidi" w:hAnsiTheme="majorBidi" w:cstheme="majorBidi"/>
                <w:sz w:val="24"/>
                <w:szCs w:val="24"/>
                <w:lang w:bidi="ar-LY"/>
              </w:rPr>
            </w:pPr>
            <w:r w:rsidRPr="0092296A">
              <w:rPr>
                <w:rFonts w:asciiTheme="majorBidi" w:hAnsiTheme="majorBidi" w:cstheme="majorBidi"/>
                <w:sz w:val="24"/>
                <w:szCs w:val="24"/>
                <w:lang w:bidi="ar-LY"/>
              </w:rPr>
              <w:t>Jing et al. 2024 [12]</w:t>
            </w:r>
          </w:p>
        </w:tc>
      </w:tr>
      <w:tr w:rsidR="0092296A" w:rsidRPr="0092296A" w14:paraId="084C4F9D" w14:textId="77777777" w:rsidTr="0092296A">
        <w:tc>
          <w:tcPr>
            <w:tcW w:w="3454" w:type="pct"/>
          </w:tcPr>
          <w:p w14:paraId="610E014A" w14:textId="2FBAB2DE" w:rsidR="0092296A" w:rsidRPr="0092296A" w:rsidRDefault="0092296A" w:rsidP="0092296A">
            <w:pPr>
              <w:bidi w:val="0"/>
              <w:rPr>
                <w:rFonts w:asciiTheme="majorBidi" w:hAnsiTheme="majorBidi" w:cstheme="majorBidi"/>
                <w:sz w:val="24"/>
                <w:szCs w:val="24"/>
                <w:lang w:bidi="ar-LY"/>
              </w:rPr>
            </w:pPr>
            <w:r>
              <w:rPr>
                <w:rFonts w:asciiTheme="majorBidi" w:hAnsiTheme="majorBidi" w:cstheme="majorBidi"/>
                <w:sz w:val="24"/>
                <w:szCs w:val="24"/>
                <w:lang w:bidi="ar-LY"/>
              </w:rPr>
              <w:t xml:space="preserve">Different </w:t>
            </w:r>
            <w:proofErr w:type="gramStart"/>
            <w:r>
              <w:rPr>
                <w:rFonts w:asciiTheme="majorBidi" w:hAnsiTheme="majorBidi" w:cstheme="majorBidi"/>
                <w:sz w:val="24"/>
                <w:szCs w:val="24"/>
                <w:lang w:bidi="ar-LY"/>
              </w:rPr>
              <w:t>type</w:t>
            </w:r>
            <w:proofErr w:type="gramEnd"/>
            <w:r>
              <w:rPr>
                <w:rFonts w:asciiTheme="majorBidi" w:hAnsiTheme="majorBidi" w:cstheme="majorBidi"/>
                <w:sz w:val="24"/>
                <w:szCs w:val="24"/>
                <w:lang w:bidi="ar-LY"/>
              </w:rPr>
              <w:t xml:space="preserve"> of interventions</w:t>
            </w:r>
          </w:p>
        </w:tc>
        <w:tc>
          <w:tcPr>
            <w:tcW w:w="1546" w:type="pct"/>
          </w:tcPr>
          <w:p w14:paraId="715466BF" w14:textId="22C184A4" w:rsidR="0092296A" w:rsidRPr="0092296A" w:rsidRDefault="0092296A" w:rsidP="0092296A">
            <w:pPr>
              <w:tabs>
                <w:tab w:val="left" w:pos="2748"/>
              </w:tabs>
              <w:bidi w:val="0"/>
              <w:rPr>
                <w:rFonts w:asciiTheme="majorBidi" w:hAnsiTheme="majorBidi" w:cstheme="majorBidi"/>
                <w:sz w:val="24"/>
                <w:szCs w:val="24"/>
                <w:lang w:bidi="ar-LY"/>
              </w:rPr>
            </w:pPr>
            <w:proofErr w:type="spellStart"/>
            <w:r w:rsidRPr="0092296A">
              <w:rPr>
                <w:rFonts w:asciiTheme="majorBidi" w:hAnsiTheme="majorBidi" w:cstheme="majorBidi"/>
                <w:sz w:val="24"/>
                <w:szCs w:val="24"/>
                <w:lang w:bidi="ar-LY"/>
              </w:rPr>
              <w:t>Samakosh</w:t>
            </w:r>
            <w:proofErr w:type="spellEnd"/>
            <w:r w:rsidRPr="0092296A">
              <w:rPr>
                <w:rFonts w:asciiTheme="majorBidi" w:hAnsiTheme="majorBidi" w:cstheme="majorBidi"/>
                <w:sz w:val="24"/>
                <w:szCs w:val="24"/>
                <w:lang w:bidi="ar-LY"/>
              </w:rPr>
              <w:t xml:space="preserve"> et al. 2024</w:t>
            </w:r>
            <w:r>
              <w:rPr>
                <w:rFonts w:asciiTheme="majorBidi" w:hAnsiTheme="majorBidi" w:cstheme="majorBidi"/>
                <w:sz w:val="24"/>
                <w:szCs w:val="24"/>
                <w:lang w:bidi="ar-LY"/>
              </w:rPr>
              <w:t xml:space="preserve"> [13]</w:t>
            </w:r>
          </w:p>
        </w:tc>
      </w:tr>
    </w:tbl>
    <w:p w14:paraId="24C8C374" w14:textId="77777777" w:rsidR="00A87C99" w:rsidRDefault="00A87C99">
      <w:pPr>
        <w:rPr>
          <w:rFonts w:asciiTheme="majorBidi" w:hAnsiTheme="majorBidi" w:cstheme="majorBidi"/>
          <w:sz w:val="24"/>
          <w:szCs w:val="24"/>
          <w:lang w:bidi="ar-LY"/>
        </w:rPr>
      </w:pPr>
    </w:p>
    <w:p w14:paraId="0232C5AE" w14:textId="3E9C1668" w:rsidR="0092296A" w:rsidRDefault="00752D90" w:rsidP="0092296A">
      <w:pPr>
        <w:jc w:val="right"/>
        <w:rPr>
          <w:rFonts w:asciiTheme="majorBidi" w:hAnsiTheme="majorBidi" w:cstheme="majorBidi"/>
          <w:sz w:val="24"/>
          <w:szCs w:val="24"/>
          <w:lang w:bidi="ar-LY"/>
        </w:rPr>
      </w:pPr>
      <w:r>
        <w:rPr>
          <w:rFonts w:asciiTheme="majorBidi" w:hAnsiTheme="majorBidi" w:cstheme="majorBidi"/>
          <w:sz w:val="24"/>
          <w:szCs w:val="24"/>
          <w:lang w:bidi="ar-LY"/>
        </w:rPr>
        <w:t>Appendix</w:t>
      </w:r>
      <w:r w:rsidR="0092296A">
        <w:rPr>
          <w:rFonts w:asciiTheme="majorBidi" w:hAnsiTheme="majorBidi" w:cstheme="majorBidi"/>
          <w:sz w:val="24"/>
          <w:szCs w:val="24"/>
          <w:lang w:bidi="ar-LY"/>
        </w:rPr>
        <w:t xml:space="preserve"> (2) Sample of excluded articles with reasons for exclusion and reference</w:t>
      </w:r>
    </w:p>
    <w:p w14:paraId="693C94A1" w14:textId="77777777" w:rsidR="0092296A" w:rsidRDefault="0092296A" w:rsidP="0092296A">
      <w:pPr>
        <w:jc w:val="right"/>
        <w:rPr>
          <w:rFonts w:asciiTheme="majorBidi" w:hAnsiTheme="majorBidi" w:cstheme="majorBidi"/>
          <w:sz w:val="24"/>
          <w:szCs w:val="24"/>
          <w:lang w:bidi="ar-LY"/>
        </w:rPr>
      </w:pPr>
    </w:p>
    <w:p w14:paraId="27991674" w14:textId="4B1479F8" w:rsidR="0092296A" w:rsidRPr="0092296A" w:rsidRDefault="0092296A" w:rsidP="0092296A">
      <w:pPr>
        <w:jc w:val="right"/>
        <w:rPr>
          <w:rFonts w:asciiTheme="majorBidi" w:hAnsiTheme="majorBidi" w:cstheme="majorBidi"/>
          <w:sz w:val="24"/>
          <w:szCs w:val="24"/>
          <w:rtl/>
          <w:lang w:bidi="ar-LY"/>
        </w:rPr>
      </w:pPr>
      <w:r>
        <w:rPr>
          <w:rFonts w:asciiTheme="majorBidi" w:hAnsiTheme="majorBidi" w:cstheme="majorBidi"/>
          <w:sz w:val="24"/>
          <w:szCs w:val="24"/>
          <w:lang w:bidi="ar-LY"/>
        </w:rPr>
        <w:t xml:space="preserve">Excluded articles </w:t>
      </w:r>
      <w:r w:rsidR="00AA2AE6">
        <w:rPr>
          <w:rFonts w:asciiTheme="majorBidi" w:hAnsiTheme="majorBidi" w:cstheme="majorBidi"/>
          <w:sz w:val="24"/>
          <w:szCs w:val="24"/>
          <w:lang w:bidi="ar-LY"/>
        </w:rPr>
        <w:t>bibliography</w:t>
      </w:r>
    </w:p>
    <w:p w14:paraId="793460C3" w14:textId="21E37D24" w:rsidR="008937DD" w:rsidRPr="0092296A" w:rsidRDefault="0092296A" w:rsidP="0092296A">
      <w:pPr>
        <w:widowControl w:val="0"/>
        <w:autoSpaceDE w:val="0"/>
        <w:autoSpaceDN w:val="0"/>
        <w:bidi w:val="0"/>
        <w:adjustRightInd w:val="0"/>
        <w:spacing w:line="480" w:lineRule="auto"/>
        <w:ind w:left="360" w:hanging="360"/>
        <w:rPr>
          <w:rFonts w:asciiTheme="majorBidi" w:hAnsiTheme="majorBidi" w:cstheme="majorBidi"/>
          <w:noProof/>
          <w:kern w:val="0"/>
          <w:sz w:val="24"/>
          <w:szCs w:val="24"/>
        </w:rPr>
      </w:pPr>
      <w:r w:rsidRPr="0092296A">
        <w:rPr>
          <w:rFonts w:asciiTheme="majorBidi" w:hAnsiTheme="majorBidi" w:cstheme="majorBidi"/>
          <w:noProof/>
          <w:kern w:val="0"/>
          <w:sz w:val="24"/>
          <w:szCs w:val="24"/>
        </w:rPr>
        <w:t xml:space="preserve">[1] </w:t>
      </w:r>
      <w:r w:rsidR="008937DD" w:rsidRPr="0092296A">
        <w:rPr>
          <w:rFonts w:asciiTheme="majorBidi" w:hAnsiTheme="majorBidi" w:cstheme="majorBidi"/>
          <w:noProof/>
          <w:kern w:val="0"/>
          <w:sz w:val="24"/>
          <w:szCs w:val="24"/>
        </w:rPr>
        <w:t>NCT03184545. Comparing the Outcome of Electrical Stimulation and Physical Therapy in Patellofemoral Pain Syndrome. Https://ClinicaltrialsGov/Show/NCT03184545 n.d. https://doi.org/10.1002/CENTRAL/CN-01494912.</w:t>
      </w:r>
    </w:p>
    <w:p w14:paraId="69710449" w14:textId="1485EA21" w:rsidR="008937DD" w:rsidRPr="0092296A" w:rsidRDefault="008937DD" w:rsidP="0092296A">
      <w:pPr>
        <w:widowControl w:val="0"/>
        <w:autoSpaceDE w:val="0"/>
        <w:autoSpaceDN w:val="0"/>
        <w:bidi w:val="0"/>
        <w:adjustRightInd w:val="0"/>
        <w:spacing w:line="480" w:lineRule="auto"/>
        <w:ind w:left="360" w:hanging="360"/>
        <w:rPr>
          <w:rFonts w:asciiTheme="majorBidi" w:hAnsiTheme="majorBidi" w:cstheme="majorBidi"/>
          <w:noProof/>
          <w:kern w:val="0"/>
          <w:sz w:val="24"/>
          <w:szCs w:val="24"/>
        </w:rPr>
      </w:pPr>
      <w:r w:rsidRPr="0092296A">
        <w:rPr>
          <w:rFonts w:asciiTheme="majorBidi" w:hAnsiTheme="majorBidi" w:cstheme="majorBidi"/>
          <w:noProof/>
          <w:kern w:val="0"/>
          <w:sz w:val="24"/>
          <w:szCs w:val="24"/>
        </w:rPr>
        <w:t>[2]</w:t>
      </w:r>
      <w:r w:rsidR="0092296A" w:rsidRPr="0092296A">
        <w:rPr>
          <w:rFonts w:asciiTheme="majorBidi" w:hAnsiTheme="majorBidi" w:cstheme="majorBidi"/>
          <w:noProof/>
          <w:kern w:val="0"/>
          <w:sz w:val="24"/>
          <w:szCs w:val="24"/>
        </w:rPr>
        <w:t xml:space="preserve"> </w:t>
      </w:r>
      <w:r w:rsidRPr="0092296A">
        <w:rPr>
          <w:rFonts w:asciiTheme="majorBidi" w:hAnsiTheme="majorBidi" w:cstheme="majorBidi"/>
          <w:noProof/>
          <w:kern w:val="0"/>
          <w:sz w:val="24"/>
          <w:szCs w:val="24"/>
        </w:rPr>
        <w:t>Akarcali I, Tugay N, Kaya D, Atay A, Doral MN. The role of high voltage electrical stimulation in the rehabilitation of patellofemoral pain. Pain Clin 2002;14:207–12. https://doi.org/10.1163/156856902320761397.</w:t>
      </w:r>
    </w:p>
    <w:p w14:paraId="2FBE50A4" w14:textId="2421ACAA" w:rsidR="008937DD" w:rsidRPr="0092296A" w:rsidRDefault="008937DD" w:rsidP="0092296A">
      <w:pPr>
        <w:widowControl w:val="0"/>
        <w:autoSpaceDE w:val="0"/>
        <w:autoSpaceDN w:val="0"/>
        <w:bidi w:val="0"/>
        <w:adjustRightInd w:val="0"/>
        <w:spacing w:line="480" w:lineRule="auto"/>
        <w:ind w:left="360" w:hanging="360"/>
        <w:rPr>
          <w:rFonts w:asciiTheme="majorBidi" w:hAnsiTheme="majorBidi" w:cstheme="majorBidi"/>
          <w:noProof/>
          <w:kern w:val="0"/>
          <w:sz w:val="24"/>
          <w:szCs w:val="24"/>
        </w:rPr>
      </w:pP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3</w:t>
      </w: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 xml:space="preserve"> </w:t>
      </w:r>
      <w:r w:rsidRPr="0092296A">
        <w:rPr>
          <w:rFonts w:asciiTheme="majorBidi" w:hAnsiTheme="majorBidi" w:cstheme="majorBidi"/>
          <w:noProof/>
          <w:kern w:val="0"/>
          <w:sz w:val="24"/>
          <w:szCs w:val="24"/>
        </w:rPr>
        <w:t>Garcia FR, Azevedo FM, Alves N, Carvalho AC, Padovani CR, Negrão Filho RF. Effects of electrical stimulation of vastus medialis obliquus muscle in patients with patellofemoral pain syndrome: an electromyographic analysis. Rev Bras Fisioter 2010;14:477–82. https://doi.org/10.1590/S1413-35552010000600005.</w:t>
      </w:r>
    </w:p>
    <w:p w14:paraId="3328818A" w14:textId="2417EA22" w:rsidR="008937DD" w:rsidRPr="0092296A" w:rsidRDefault="008937DD" w:rsidP="0092296A">
      <w:pPr>
        <w:widowControl w:val="0"/>
        <w:autoSpaceDE w:val="0"/>
        <w:autoSpaceDN w:val="0"/>
        <w:bidi w:val="0"/>
        <w:adjustRightInd w:val="0"/>
        <w:spacing w:line="480" w:lineRule="auto"/>
        <w:ind w:left="360" w:hanging="360"/>
        <w:rPr>
          <w:rFonts w:asciiTheme="majorBidi" w:hAnsiTheme="majorBidi" w:cstheme="majorBidi"/>
          <w:noProof/>
          <w:kern w:val="0"/>
          <w:sz w:val="24"/>
          <w:szCs w:val="24"/>
        </w:rPr>
      </w:pP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4</w:t>
      </w: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 xml:space="preserve"> </w:t>
      </w:r>
      <w:r w:rsidRPr="0092296A">
        <w:rPr>
          <w:rFonts w:asciiTheme="majorBidi" w:hAnsiTheme="majorBidi" w:cstheme="majorBidi"/>
          <w:noProof/>
          <w:kern w:val="0"/>
          <w:sz w:val="24"/>
          <w:szCs w:val="24"/>
        </w:rPr>
        <w:t>Roh Y, Park J. Training and Detraining Effects of a Rehabilitation Program with or without Electro-Cryotherapy in Patients with Anterior Knee Pain: A Randomized Trial. Appl Sci 2021;11:4812. https://doi.org/10.3390/app11114812.</w:t>
      </w:r>
    </w:p>
    <w:p w14:paraId="33FE5C6E" w14:textId="503CF224" w:rsidR="008937DD" w:rsidRPr="0092296A" w:rsidRDefault="008937DD" w:rsidP="0092296A">
      <w:pPr>
        <w:widowControl w:val="0"/>
        <w:autoSpaceDE w:val="0"/>
        <w:autoSpaceDN w:val="0"/>
        <w:bidi w:val="0"/>
        <w:adjustRightInd w:val="0"/>
        <w:spacing w:line="480" w:lineRule="auto"/>
        <w:ind w:left="360" w:hanging="360"/>
        <w:rPr>
          <w:rFonts w:asciiTheme="majorBidi" w:hAnsiTheme="majorBidi" w:cstheme="majorBidi"/>
          <w:noProof/>
          <w:kern w:val="0"/>
          <w:sz w:val="24"/>
          <w:szCs w:val="24"/>
        </w:rPr>
      </w:pPr>
      <w:r w:rsidRPr="0092296A">
        <w:rPr>
          <w:rFonts w:asciiTheme="majorBidi" w:hAnsiTheme="majorBidi" w:cstheme="majorBidi"/>
          <w:noProof/>
          <w:kern w:val="0"/>
          <w:sz w:val="24"/>
          <w:szCs w:val="24"/>
        </w:rPr>
        <w:lastRenderedPageBreak/>
        <w:t>[</w:t>
      </w:r>
      <w:r w:rsidR="0092296A" w:rsidRPr="0092296A">
        <w:rPr>
          <w:rFonts w:asciiTheme="majorBidi" w:hAnsiTheme="majorBidi" w:cstheme="majorBidi"/>
          <w:noProof/>
          <w:kern w:val="0"/>
          <w:sz w:val="24"/>
          <w:szCs w:val="24"/>
        </w:rPr>
        <w:t>5</w:t>
      </w:r>
      <w:r w:rsidRPr="0092296A">
        <w:rPr>
          <w:rFonts w:asciiTheme="majorBidi" w:hAnsiTheme="majorBidi" w:cstheme="majorBidi"/>
          <w:noProof/>
          <w:kern w:val="0"/>
          <w:sz w:val="24"/>
          <w:szCs w:val="24"/>
        </w:rPr>
        <w:t>]</w:t>
      </w:r>
      <w:r w:rsidRPr="0092296A">
        <w:rPr>
          <w:rFonts w:asciiTheme="majorBidi" w:hAnsiTheme="majorBidi" w:cstheme="majorBidi"/>
          <w:noProof/>
          <w:kern w:val="0"/>
          <w:sz w:val="24"/>
          <w:szCs w:val="24"/>
        </w:rPr>
        <w:tab/>
        <w:t>Glaviano NR, Saliba SA. Immediate Effect of Patterned Electrical Neuromuscular Stimulation on Pain and Muscle Activation in Individuals With Patellofemoral Pain. J Athl Train 2016;51:118–28. https://doi.org/10.4085/1062-6050-51.4.06.</w:t>
      </w:r>
    </w:p>
    <w:p w14:paraId="402CC4DF" w14:textId="1DBEC577" w:rsidR="008937DD" w:rsidRPr="0092296A" w:rsidRDefault="008937DD" w:rsidP="0092296A">
      <w:pPr>
        <w:widowControl w:val="0"/>
        <w:autoSpaceDE w:val="0"/>
        <w:autoSpaceDN w:val="0"/>
        <w:bidi w:val="0"/>
        <w:adjustRightInd w:val="0"/>
        <w:spacing w:line="480" w:lineRule="auto"/>
        <w:ind w:left="360" w:hanging="360"/>
        <w:rPr>
          <w:rFonts w:asciiTheme="majorBidi" w:hAnsiTheme="majorBidi" w:cstheme="majorBidi"/>
          <w:noProof/>
          <w:kern w:val="0"/>
          <w:sz w:val="24"/>
          <w:szCs w:val="24"/>
        </w:rPr>
      </w:pP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6</w:t>
      </w:r>
      <w:r w:rsidRPr="0092296A">
        <w:rPr>
          <w:rFonts w:asciiTheme="majorBidi" w:hAnsiTheme="majorBidi" w:cstheme="majorBidi"/>
          <w:noProof/>
          <w:kern w:val="0"/>
          <w:sz w:val="24"/>
          <w:szCs w:val="24"/>
        </w:rPr>
        <w:t>]</w:t>
      </w:r>
      <w:r w:rsidRPr="0092296A">
        <w:rPr>
          <w:rFonts w:asciiTheme="majorBidi" w:hAnsiTheme="majorBidi" w:cstheme="majorBidi"/>
          <w:noProof/>
          <w:kern w:val="0"/>
          <w:sz w:val="24"/>
          <w:szCs w:val="24"/>
        </w:rPr>
        <w:tab/>
        <w:t>Glaviano NR, Huntsman S, Dembeck A, Hart JM, Saliba S. Improvements in kinematics, muscle activity and pain during functional tasks in females with patellofemoral pain following a single patterned electrical stimulation treatment. Clin Biomech 2016;32:20–7. https://doi.org/10.1016/j.clinbiomech.2015.12.007.</w:t>
      </w:r>
    </w:p>
    <w:p w14:paraId="108981D8" w14:textId="20825FD0" w:rsidR="008937DD" w:rsidRPr="0092296A" w:rsidRDefault="008937DD" w:rsidP="0092296A">
      <w:pPr>
        <w:widowControl w:val="0"/>
        <w:autoSpaceDE w:val="0"/>
        <w:autoSpaceDN w:val="0"/>
        <w:bidi w:val="0"/>
        <w:adjustRightInd w:val="0"/>
        <w:spacing w:line="480" w:lineRule="auto"/>
        <w:ind w:left="360" w:hanging="360"/>
        <w:rPr>
          <w:rFonts w:asciiTheme="majorBidi" w:hAnsiTheme="majorBidi" w:cstheme="majorBidi"/>
          <w:noProof/>
          <w:kern w:val="0"/>
          <w:sz w:val="24"/>
          <w:szCs w:val="24"/>
        </w:rPr>
      </w:pP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7</w:t>
      </w:r>
      <w:r w:rsidRPr="0092296A">
        <w:rPr>
          <w:rFonts w:asciiTheme="majorBidi" w:hAnsiTheme="majorBidi" w:cstheme="majorBidi"/>
          <w:noProof/>
          <w:kern w:val="0"/>
          <w:sz w:val="24"/>
          <w:szCs w:val="24"/>
        </w:rPr>
        <w:t>]</w:t>
      </w:r>
      <w:r w:rsidRPr="0092296A">
        <w:rPr>
          <w:rFonts w:asciiTheme="majorBidi" w:hAnsiTheme="majorBidi" w:cstheme="majorBidi"/>
          <w:noProof/>
          <w:kern w:val="0"/>
          <w:sz w:val="24"/>
          <w:szCs w:val="24"/>
        </w:rPr>
        <w:tab/>
        <w:t>Talbot LA, Webb L, Morrell C, Enochs K, Hillner J, Fagan M, et al. Electromyostimulation With Blood Flow Restriction for Patellofemoral Pain Syndrome in Active Duty Military Personnel: A Randomized Controlled Trial. Mil Med 2023;188:e1859--e1868. https://doi.org/10.1093/milmed/usad029.</w:t>
      </w:r>
    </w:p>
    <w:p w14:paraId="0647055A" w14:textId="7AE59616" w:rsidR="008937DD" w:rsidRPr="0092296A" w:rsidRDefault="008937DD" w:rsidP="0092296A">
      <w:pPr>
        <w:widowControl w:val="0"/>
        <w:autoSpaceDE w:val="0"/>
        <w:autoSpaceDN w:val="0"/>
        <w:bidi w:val="0"/>
        <w:adjustRightInd w:val="0"/>
        <w:spacing w:line="480" w:lineRule="auto"/>
        <w:ind w:left="360" w:hanging="360"/>
        <w:rPr>
          <w:rFonts w:asciiTheme="majorBidi" w:hAnsiTheme="majorBidi" w:cstheme="majorBidi"/>
          <w:noProof/>
          <w:kern w:val="0"/>
          <w:sz w:val="24"/>
          <w:szCs w:val="24"/>
        </w:rPr>
      </w:pP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8</w:t>
      </w:r>
      <w:r w:rsidRPr="0092296A">
        <w:rPr>
          <w:rFonts w:asciiTheme="majorBidi" w:hAnsiTheme="majorBidi" w:cstheme="majorBidi"/>
          <w:noProof/>
          <w:kern w:val="0"/>
          <w:sz w:val="24"/>
          <w:szCs w:val="24"/>
        </w:rPr>
        <w:t>]</w:t>
      </w:r>
      <w:r w:rsidRPr="0092296A">
        <w:rPr>
          <w:rFonts w:asciiTheme="majorBidi" w:hAnsiTheme="majorBidi" w:cstheme="majorBidi"/>
          <w:noProof/>
          <w:kern w:val="0"/>
          <w:sz w:val="24"/>
          <w:szCs w:val="24"/>
        </w:rPr>
        <w:tab/>
        <w:t>Sadeh S, Jensen JL, Kirn H. Dynamic Gait-Synchronous Neuromuscular Electrical Stimulation of Quadriceps in Patellofemoral Pain Patients. Arch Phys Med Rehabil 2018;99:e87--e88. https://doi.org/10.1016/j.apmr.2018.07.312.</w:t>
      </w:r>
    </w:p>
    <w:p w14:paraId="6EBA8030" w14:textId="6CC68005" w:rsidR="008937DD" w:rsidRPr="0092296A" w:rsidRDefault="008937DD" w:rsidP="0092296A">
      <w:pPr>
        <w:widowControl w:val="0"/>
        <w:autoSpaceDE w:val="0"/>
        <w:autoSpaceDN w:val="0"/>
        <w:bidi w:val="0"/>
        <w:adjustRightInd w:val="0"/>
        <w:spacing w:line="480" w:lineRule="auto"/>
        <w:ind w:left="360" w:hanging="360"/>
        <w:rPr>
          <w:rFonts w:asciiTheme="majorBidi" w:hAnsiTheme="majorBidi" w:cstheme="majorBidi"/>
          <w:noProof/>
          <w:kern w:val="0"/>
          <w:sz w:val="24"/>
          <w:szCs w:val="24"/>
        </w:rPr>
      </w:pP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9</w:t>
      </w:r>
      <w:r w:rsidRPr="0092296A">
        <w:rPr>
          <w:rFonts w:asciiTheme="majorBidi" w:hAnsiTheme="majorBidi" w:cstheme="majorBidi"/>
          <w:noProof/>
          <w:kern w:val="0"/>
          <w:sz w:val="24"/>
          <w:szCs w:val="24"/>
        </w:rPr>
        <w:t>]</w:t>
      </w:r>
      <w:r w:rsidRPr="0092296A">
        <w:rPr>
          <w:rFonts w:asciiTheme="majorBidi" w:hAnsiTheme="majorBidi" w:cstheme="majorBidi"/>
          <w:noProof/>
          <w:kern w:val="0"/>
          <w:sz w:val="24"/>
          <w:szCs w:val="24"/>
        </w:rPr>
        <w:tab/>
        <w:t>Callaghan MJ, Oldham JA, Winstanley J. A comparison of two types of electrical stimulation of the quadriceps in the treatment of patellofemoral pain syndrome. A pilot study. Clin Rehabil 2001;15:637–46. https://doi.org/10.1191/0269215501cr457oa.</w:t>
      </w:r>
    </w:p>
    <w:p w14:paraId="03D4A2F5" w14:textId="1C72F499" w:rsidR="008937DD" w:rsidRPr="0092296A" w:rsidRDefault="008937DD" w:rsidP="0092296A">
      <w:pPr>
        <w:widowControl w:val="0"/>
        <w:autoSpaceDE w:val="0"/>
        <w:autoSpaceDN w:val="0"/>
        <w:bidi w:val="0"/>
        <w:adjustRightInd w:val="0"/>
        <w:spacing w:line="480" w:lineRule="auto"/>
        <w:ind w:left="450" w:hanging="450"/>
        <w:rPr>
          <w:rFonts w:asciiTheme="majorBidi" w:hAnsiTheme="majorBidi" w:cstheme="majorBidi"/>
          <w:noProof/>
          <w:kern w:val="0"/>
          <w:sz w:val="24"/>
          <w:szCs w:val="24"/>
        </w:rPr>
      </w:pP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10</w:t>
      </w:r>
      <w:r w:rsidRPr="0092296A">
        <w:rPr>
          <w:rFonts w:asciiTheme="majorBidi" w:hAnsiTheme="majorBidi" w:cstheme="majorBidi"/>
          <w:noProof/>
          <w:kern w:val="0"/>
          <w:sz w:val="24"/>
          <w:szCs w:val="24"/>
        </w:rPr>
        <w:t>]</w:t>
      </w:r>
      <w:r w:rsidRPr="0092296A">
        <w:rPr>
          <w:rFonts w:asciiTheme="majorBidi" w:hAnsiTheme="majorBidi" w:cstheme="majorBidi"/>
          <w:noProof/>
          <w:kern w:val="0"/>
          <w:sz w:val="24"/>
          <w:szCs w:val="24"/>
        </w:rPr>
        <w:tab/>
        <w:t>Callaghan MJ, Oldham JA. Electric muscle stimulation of the quadriceps in the treatment of patellofemoral pain11A commercial party with a direct financial interest in the results of the research supporting this article has conferred or will confer a financial benefit on the autho. Arch Phys Med Rehabil 2004;85:956–62. https://doi.org/10.1016/j.apmr.2003.07.021.</w:t>
      </w:r>
    </w:p>
    <w:p w14:paraId="2E6FE7F1" w14:textId="6C48D3FA" w:rsidR="008937DD" w:rsidRPr="0092296A" w:rsidRDefault="008937DD" w:rsidP="0092296A">
      <w:pPr>
        <w:widowControl w:val="0"/>
        <w:autoSpaceDE w:val="0"/>
        <w:autoSpaceDN w:val="0"/>
        <w:bidi w:val="0"/>
        <w:adjustRightInd w:val="0"/>
        <w:spacing w:line="480" w:lineRule="auto"/>
        <w:ind w:left="450" w:hanging="450"/>
        <w:rPr>
          <w:rFonts w:asciiTheme="majorBidi" w:hAnsiTheme="majorBidi" w:cstheme="majorBidi"/>
          <w:noProof/>
          <w:kern w:val="0"/>
          <w:sz w:val="24"/>
          <w:szCs w:val="24"/>
        </w:rPr>
      </w:pP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11</w:t>
      </w:r>
      <w:r w:rsidRPr="0092296A">
        <w:rPr>
          <w:rFonts w:asciiTheme="majorBidi" w:hAnsiTheme="majorBidi" w:cstheme="majorBidi"/>
          <w:noProof/>
          <w:kern w:val="0"/>
          <w:sz w:val="24"/>
          <w:szCs w:val="24"/>
        </w:rPr>
        <w:t>]</w:t>
      </w:r>
      <w:r w:rsidRPr="0092296A">
        <w:rPr>
          <w:rFonts w:asciiTheme="majorBidi" w:hAnsiTheme="majorBidi" w:cstheme="majorBidi"/>
          <w:noProof/>
          <w:kern w:val="0"/>
          <w:sz w:val="24"/>
          <w:szCs w:val="24"/>
        </w:rPr>
        <w:tab/>
        <w:t>Kuru T. Comparison of efficiency of Kinesio® taping and electrical stimulation in patients with patellofemoral pain syndrome. Acta Orthop Traumatol Turc 2012;46:385–</w:t>
      </w:r>
      <w:r w:rsidRPr="0092296A">
        <w:rPr>
          <w:rFonts w:asciiTheme="majorBidi" w:hAnsiTheme="majorBidi" w:cstheme="majorBidi"/>
          <w:noProof/>
          <w:kern w:val="0"/>
          <w:sz w:val="24"/>
          <w:szCs w:val="24"/>
        </w:rPr>
        <w:lastRenderedPageBreak/>
        <w:t>92. https://doi.org/10.3944/AOTT.2012.2682.</w:t>
      </w:r>
    </w:p>
    <w:p w14:paraId="181EBB2C" w14:textId="7F499AD8" w:rsidR="008937DD" w:rsidRDefault="008937DD" w:rsidP="0092296A">
      <w:pPr>
        <w:widowControl w:val="0"/>
        <w:autoSpaceDE w:val="0"/>
        <w:autoSpaceDN w:val="0"/>
        <w:bidi w:val="0"/>
        <w:adjustRightInd w:val="0"/>
        <w:spacing w:line="480" w:lineRule="auto"/>
        <w:ind w:left="450" w:hanging="450"/>
        <w:rPr>
          <w:rFonts w:asciiTheme="majorBidi" w:hAnsiTheme="majorBidi" w:cstheme="majorBidi"/>
          <w:noProof/>
          <w:kern w:val="0"/>
          <w:sz w:val="24"/>
          <w:szCs w:val="24"/>
        </w:rPr>
      </w:pPr>
      <w:r w:rsidRPr="0092296A">
        <w:rPr>
          <w:rFonts w:asciiTheme="majorBidi" w:hAnsiTheme="majorBidi" w:cstheme="majorBidi"/>
          <w:noProof/>
          <w:kern w:val="0"/>
          <w:sz w:val="24"/>
          <w:szCs w:val="24"/>
        </w:rPr>
        <w:t>[</w:t>
      </w:r>
      <w:r w:rsidR="0092296A" w:rsidRPr="0092296A">
        <w:rPr>
          <w:rFonts w:asciiTheme="majorBidi" w:hAnsiTheme="majorBidi" w:cstheme="majorBidi"/>
          <w:noProof/>
          <w:kern w:val="0"/>
          <w:sz w:val="24"/>
          <w:szCs w:val="24"/>
        </w:rPr>
        <w:t>12</w:t>
      </w:r>
      <w:r w:rsidRPr="0092296A">
        <w:rPr>
          <w:rFonts w:asciiTheme="majorBidi" w:hAnsiTheme="majorBidi" w:cstheme="majorBidi"/>
          <w:noProof/>
          <w:kern w:val="0"/>
          <w:sz w:val="24"/>
          <w:szCs w:val="24"/>
        </w:rPr>
        <w:t>]</w:t>
      </w:r>
      <w:r w:rsidRPr="0092296A">
        <w:rPr>
          <w:rFonts w:asciiTheme="majorBidi" w:hAnsiTheme="majorBidi" w:cstheme="majorBidi"/>
          <w:noProof/>
          <w:kern w:val="0"/>
          <w:sz w:val="24"/>
          <w:szCs w:val="24"/>
        </w:rPr>
        <w:tab/>
        <w:t xml:space="preserve">Jing W, Yingce Y, Xiaowei Y, Boshi X, Jianbin Z, Chen Y, et al. Intervention of muscle strength training combined with neuromuscular electrical stimulation on lower limb function and biomechanical changes in patients with patellofemoral pain. Chinese J Tissue Eng Res 2024;28. </w:t>
      </w:r>
      <w:hyperlink r:id="rId4" w:history="1">
        <w:r w:rsidR="0092296A" w:rsidRPr="00CA5385">
          <w:rPr>
            <w:rStyle w:val="Hyperlink"/>
            <w:rFonts w:asciiTheme="majorBidi" w:hAnsiTheme="majorBidi" w:cstheme="majorBidi"/>
            <w:noProof/>
            <w:kern w:val="0"/>
            <w:sz w:val="24"/>
            <w:szCs w:val="24"/>
          </w:rPr>
          <w:t>https://doi.org/10.12307/2024.036</w:t>
        </w:r>
      </w:hyperlink>
      <w:r w:rsidRPr="0092296A">
        <w:rPr>
          <w:rFonts w:asciiTheme="majorBidi" w:hAnsiTheme="majorBidi" w:cstheme="majorBidi"/>
          <w:noProof/>
          <w:kern w:val="0"/>
          <w:sz w:val="24"/>
          <w:szCs w:val="24"/>
        </w:rPr>
        <w:t>.</w:t>
      </w:r>
    </w:p>
    <w:p w14:paraId="45C63E9D" w14:textId="495C49A2" w:rsidR="0092296A" w:rsidRPr="00F44022" w:rsidRDefault="0092296A" w:rsidP="0092296A">
      <w:pPr>
        <w:widowControl w:val="0"/>
        <w:autoSpaceDE w:val="0"/>
        <w:autoSpaceDN w:val="0"/>
        <w:bidi w:val="0"/>
        <w:adjustRightInd w:val="0"/>
        <w:spacing w:line="480" w:lineRule="auto"/>
        <w:ind w:left="450" w:hanging="450"/>
        <w:rPr>
          <w:rFonts w:ascii="Times New Roman" w:hAnsi="Times New Roman" w:cs="Times New Roman"/>
          <w:noProof/>
          <w:kern w:val="0"/>
          <w:sz w:val="24"/>
        </w:rPr>
      </w:pPr>
      <w:r w:rsidRPr="00F44022">
        <w:rPr>
          <w:rFonts w:ascii="Times New Roman" w:hAnsi="Times New Roman" w:cs="Times New Roman"/>
          <w:noProof/>
          <w:kern w:val="0"/>
          <w:sz w:val="24"/>
        </w:rPr>
        <w:t>[</w:t>
      </w:r>
      <w:r>
        <w:rPr>
          <w:rFonts w:ascii="Times New Roman" w:hAnsi="Times New Roman" w:cs="Times New Roman"/>
          <w:noProof/>
          <w:kern w:val="0"/>
          <w:sz w:val="24"/>
        </w:rPr>
        <w:t>13</w:t>
      </w:r>
      <w:r w:rsidRPr="00F44022">
        <w:rPr>
          <w:rFonts w:ascii="Times New Roman" w:hAnsi="Times New Roman" w:cs="Times New Roman"/>
          <w:noProof/>
          <w:kern w:val="0"/>
          <w:sz w:val="24"/>
        </w:rPr>
        <w:t>]</w:t>
      </w:r>
      <w:r w:rsidRPr="00F44022">
        <w:rPr>
          <w:rFonts w:ascii="Times New Roman" w:hAnsi="Times New Roman" w:cs="Times New Roman"/>
          <w:noProof/>
          <w:kern w:val="0"/>
          <w:sz w:val="24"/>
        </w:rPr>
        <w:tab/>
        <w:t>Mohammadi Nia Samakosh H, Oliveira R, Shahabi S, Sarvarifar B, Moddares Gorji S, Amirkhanloo A, et al. Effects of High-intensity Training and Electrical Stimulation on Pain, Disability, Knee Kinematic and Performance in Patellofemoral Pain: A Randomized Controlled Trial. Retos 2024;55:978–91. https://doi.org/10.47197/retos.v55.105913.</w:t>
      </w:r>
    </w:p>
    <w:p w14:paraId="304C7B5A" w14:textId="77777777" w:rsidR="0092296A" w:rsidRPr="0092296A" w:rsidRDefault="0092296A" w:rsidP="0092296A">
      <w:pPr>
        <w:widowControl w:val="0"/>
        <w:autoSpaceDE w:val="0"/>
        <w:autoSpaceDN w:val="0"/>
        <w:bidi w:val="0"/>
        <w:adjustRightInd w:val="0"/>
        <w:spacing w:line="480" w:lineRule="auto"/>
        <w:ind w:left="640" w:hanging="640"/>
        <w:rPr>
          <w:rFonts w:asciiTheme="majorBidi" w:hAnsiTheme="majorBidi" w:cstheme="majorBidi"/>
          <w:noProof/>
          <w:kern w:val="0"/>
          <w:sz w:val="24"/>
          <w:szCs w:val="24"/>
          <w:rtl/>
        </w:rPr>
      </w:pPr>
    </w:p>
    <w:sectPr w:rsidR="0092296A" w:rsidRPr="0092296A" w:rsidSect="00CC702E">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57"/>
    <w:rsid w:val="001079B8"/>
    <w:rsid w:val="00221945"/>
    <w:rsid w:val="00354697"/>
    <w:rsid w:val="00391164"/>
    <w:rsid w:val="00403079"/>
    <w:rsid w:val="004E6B24"/>
    <w:rsid w:val="00612F64"/>
    <w:rsid w:val="00752D90"/>
    <w:rsid w:val="008011FA"/>
    <w:rsid w:val="00810DD4"/>
    <w:rsid w:val="00864DF1"/>
    <w:rsid w:val="008937DD"/>
    <w:rsid w:val="008A208A"/>
    <w:rsid w:val="0092296A"/>
    <w:rsid w:val="00A87C99"/>
    <w:rsid w:val="00AA2AE6"/>
    <w:rsid w:val="00BB346B"/>
    <w:rsid w:val="00BC0D3E"/>
    <w:rsid w:val="00C55DAB"/>
    <w:rsid w:val="00C91935"/>
    <w:rsid w:val="00CC702E"/>
    <w:rsid w:val="00D05D03"/>
    <w:rsid w:val="00D55627"/>
    <w:rsid w:val="00DD3F63"/>
    <w:rsid w:val="00E30381"/>
    <w:rsid w:val="00F27BD4"/>
    <w:rsid w:val="00F5286E"/>
    <w:rsid w:val="00FA7ADC"/>
    <w:rsid w:val="00FE03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E785"/>
  <w15:chartTrackingRefBased/>
  <w15:docId w15:val="{DF13B245-3285-48F0-9CBE-BF9EA0C47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FE03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03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03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03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03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0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3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03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03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03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03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0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357"/>
    <w:rPr>
      <w:rFonts w:eastAsiaTheme="majorEastAsia" w:cstheme="majorBidi"/>
      <w:color w:val="272727" w:themeColor="text1" w:themeTint="D8"/>
    </w:rPr>
  </w:style>
  <w:style w:type="paragraph" w:styleId="Title">
    <w:name w:val="Title"/>
    <w:basedOn w:val="Normal"/>
    <w:next w:val="Normal"/>
    <w:link w:val="TitleChar"/>
    <w:uiPriority w:val="10"/>
    <w:qFormat/>
    <w:rsid w:val="00FE0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357"/>
    <w:pPr>
      <w:spacing w:before="160"/>
      <w:jc w:val="center"/>
    </w:pPr>
    <w:rPr>
      <w:i/>
      <w:iCs/>
      <w:color w:val="404040" w:themeColor="text1" w:themeTint="BF"/>
    </w:rPr>
  </w:style>
  <w:style w:type="character" w:customStyle="1" w:styleId="QuoteChar">
    <w:name w:val="Quote Char"/>
    <w:basedOn w:val="DefaultParagraphFont"/>
    <w:link w:val="Quote"/>
    <w:uiPriority w:val="29"/>
    <w:rsid w:val="00FE0357"/>
    <w:rPr>
      <w:i/>
      <w:iCs/>
      <w:color w:val="404040" w:themeColor="text1" w:themeTint="BF"/>
    </w:rPr>
  </w:style>
  <w:style w:type="paragraph" w:styleId="ListParagraph">
    <w:name w:val="List Paragraph"/>
    <w:basedOn w:val="Normal"/>
    <w:uiPriority w:val="34"/>
    <w:qFormat/>
    <w:rsid w:val="00FE0357"/>
    <w:pPr>
      <w:ind w:left="720"/>
      <w:contextualSpacing/>
    </w:pPr>
  </w:style>
  <w:style w:type="character" w:styleId="IntenseEmphasis">
    <w:name w:val="Intense Emphasis"/>
    <w:basedOn w:val="DefaultParagraphFont"/>
    <w:uiPriority w:val="21"/>
    <w:qFormat/>
    <w:rsid w:val="00FE0357"/>
    <w:rPr>
      <w:i/>
      <w:iCs/>
      <w:color w:val="2F5496" w:themeColor="accent1" w:themeShade="BF"/>
    </w:rPr>
  </w:style>
  <w:style w:type="paragraph" w:styleId="IntenseQuote">
    <w:name w:val="Intense Quote"/>
    <w:basedOn w:val="Normal"/>
    <w:next w:val="Normal"/>
    <w:link w:val="IntenseQuoteChar"/>
    <w:uiPriority w:val="30"/>
    <w:qFormat/>
    <w:rsid w:val="00FE03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0357"/>
    <w:rPr>
      <w:i/>
      <w:iCs/>
      <w:color w:val="2F5496" w:themeColor="accent1" w:themeShade="BF"/>
    </w:rPr>
  </w:style>
  <w:style w:type="character" w:styleId="IntenseReference">
    <w:name w:val="Intense Reference"/>
    <w:basedOn w:val="DefaultParagraphFont"/>
    <w:uiPriority w:val="32"/>
    <w:qFormat/>
    <w:rsid w:val="00FE0357"/>
    <w:rPr>
      <w:b/>
      <w:bCs/>
      <w:smallCaps/>
      <w:color w:val="2F5496" w:themeColor="accent1" w:themeShade="BF"/>
      <w:spacing w:val="5"/>
    </w:rPr>
  </w:style>
  <w:style w:type="table" w:styleId="TableGrid">
    <w:name w:val="Table Grid"/>
    <w:basedOn w:val="TableNormal"/>
    <w:uiPriority w:val="39"/>
    <w:rsid w:val="004E6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296A"/>
    <w:rPr>
      <w:color w:val="0563C1" w:themeColor="hyperlink"/>
      <w:u w:val="single"/>
    </w:rPr>
  </w:style>
  <w:style w:type="character" w:styleId="UnresolvedMention">
    <w:name w:val="Unresolved Mention"/>
    <w:basedOn w:val="DefaultParagraphFont"/>
    <w:uiPriority w:val="99"/>
    <w:semiHidden/>
    <w:unhideWhenUsed/>
    <w:rsid w:val="00922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301903">
      <w:bodyDiv w:val="1"/>
      <w:marLeft w:val="0"/>
      <w:marRight w:val="0"/>
      <w:marTop w:val="0"/>
      <w:marBottom w:val="0"/>
      <w:divBdr>
        <w:top w:val="none" w:sz="0" w:space="0" w:color="auto"/>
        <w:left w:val="none" w:sz="0" w:space="0" w:color="auto"/>
        <w:bottom w:val="none" w:sz="0" w:space="0" w:color="auto"/>
        <w:right w:val="none" w:sz="0" w:space="0" w:color="auto"/>
      </w:divBdr>
      <w:divsChild>
        <w:div w:id="1854997373">
          <w:marLeft w:val="0"/>
          <w:marRight w:val="0"/>
          <w:marTop w:val="0"/>
          <w:marBottom w:val="0"/>
          <w:divBdr>
            <w:top w:val="single" w:sz="2" w:space="0" w:color="auto"/>
            <w:left w:val="single" w:sz="2" w:space="0" w:color="auto"/>
            <w:bottom w:val="single" w:sz="24" w:space="0" w:color="auto"/>
            <w:right w:val="single" w:sz="2" w:space="0" w:color="auto"/>
          </w:divBdr>
          <w:divsChild>
            <w:div w:id="102577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73395200">
      <w:bodyDiv w:val="1"/>
      <w:marLeft w:val="0"/>
      <w:marRight w:val="0"/>
      <w:marTop w:val="0"/>
      <w:marBottom w:val="0"/>
      <w:divBdr>
        <w:top w:val="none" w:sz="0" w:space="0" w:color="auto"/>
        <w:left w:val="none" w:sz="0" w:space="0" w:color="auto"/>
        <w:bottom w:val="none" w:sz="0" w:space="0" w:color="auto"/>
        <w:right w:val="none" w:sz="0" w:space="0" w:color="auto"/>
      </w:divBdr>
      <w:divsChild>
        <w:div w:id="1261334603">
          <w:marLeft w:val="0"/>
          <w:marRight w:val="0"/>
          <w:marTop w:val="0"/>
          <w:marBottom w:val="0"/>
          <w:divBdr>
            <w:top w:val="single" w:sz="2" w:space="0" w:color="auto"/>
            <w:left w:val="single" w:sz="2" w:space="0" w:color="auto"/>
            <w:bottom w:val="single" w:sz="24" w:space="0" w:color="auto"/>
            <w:right w:val="single" w:sz="2" w:space="0" w:color="auto"/>
          </w:divBdr>
          <w:divsChild>
            <w:div w:id="5635663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9313708">
      <w:bodyDiv w:val="1"/>
      <w:marLeft w:val="0"/>
      <w:marRight w:val="0"/>
      <w:marTop w:val="0"/>
      <w:marBottom w:val="0"/>
      <w:divBdr>
        <w:top w:val="none" w:sz="0" w:space="0" w:color="auto"/>
        <w:left w:val="none" w:sz="0" w:space="0" w:color="auto"/>
        <w:bottom w:val="none" w:sz="0" w:space="0" w:color="auto"/>
        <w:right w:val="none" w:sz="0" w:space="0" w:color="auto"/>
      </w:divBdr>
      <w:divsChild>
        <w:div w:id="496575313">
          <w:marLeft w:val="0"/>
          <w:marRight w:val="0"/>
          <w:marTop w:val="0"/>
          <w:marBottom w:val="0"/>
          <w:divBdr>
            <w:top w:val="single" w:sz="2" w:space="0" w:color="auto"/>
            <w:left w:val="single" w:sz="2" w:space="0" w:color="auto"/>
            <w:bottom w:val="single" w:sz="24" w:space="0" w:color="auto"/>
            <w:right w:val="single" w:sz="2" w:space="0" w:color="auto"/>
          </w:divBdr>
          <w:divsChild>
            <w:div w:id="572662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7747665">
      <w:bodyDiv w:val="1"/>
      <w:marLeft w:val="0"/>
      <w:marRight w:val="0"/>
      <w:marTop w:val="0"/>
      <w:marBottom w:val="0"/>
      <w:divBdr>
        <w:top w:val="none" w:sz="0" w:space="0" w:color="auto"/>
        <w:left w:val="none" w:sz="0" w:space="0" w:color="auto"/>
        <w:bottom w:val="none" w:sz="0" w:space="0" w:color="auto"/>
        <w:right w:val="none" w:sz="0" w:space="0" w:color="auto"/>
      </w:divBdr>
      <w:divsChild>
        <w:div w:id="1140196489">
          <w:marLeft w:val="0"/>
          <w:marRight w:val="0"/>
          <w:marTop w:val="0"/>
          <w:marBottom w:val="0"/>
          <w:divBdr>
            <w:top w:val="single" w:sz="2" w:space="0" w:color="auto"/>
            <w:left w:val="single" w:sz="2" w:space="0" w:color="auto"/>
            <w:bottom w:val="single" w:sz="24" w:space="0" w:color="auto"/>
            <w:right w:val="single" w:sz="2" w:space="0" w:color="auto"/>
          </w:divBdr>
          <w:divsChild>
            <w:div w:id="1946185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4780558">
      <w:bodyDiv w:val="1"/>
      <w:marLeft w:val="0"/>
      <w:marRight w:val="0"/>
      <w:marTop w:val="0"/>
      <w:marBottom w:val="0"/>
      <w:divBdr>
        <w:top w:val="none" w:sz="0" w:space="0" w:color="auto"/>
        <w:left w:val="none" w:sz="0" w:space="0" w:color="auto"/>
        <w:bottom w:val="none" w:sz="0" w:space="0" w:color="auto"/>
        <w:right w:val="none" w:sz="0" w:space="0" w:color="auto"/>
      </w:divBdr>
      <w:divsChild>
        <w:div w:id="1263534888">
          <w:marLeft w:val="0"/>
          <w:marRight w:val="0"/>
          <w:marTop w:val="0"/>
          <w:marBottom w:val="0"/>
          <w:divBdr>
            <w:top w:val="single" w:sz="2" w:space="0" w:color="auto"/>
            <w:left w:val="single" w:sz="2" w:space="0" w:color="auto"/>
            <w:bottom w:val="single" w:sz="24" w:space="0" w:color="auto"/>
            <w:right w:val="single" w:sz="2" w:space="0" w:color="auto"/>
          </w:divBdr>
          <w:divsChild>
            <w:div w:id="17490360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06281083">
      <w:bodyDiv w:val="1"/>
      <w:marLeft w:val="0"/>
      <w:marRight w:val="0"/>
      <w:marTop w:val="0"/>
      <w:marBottom w:val="0"/>
      <w:divBdr>
        <w:top w:val="none" w:sz="0" w:space="0" w:color="auto"/>
        <w:left w:val="none" w:sz="0" w:space="0" w:color="auto"/>
        <w:bottom w:val="none" w:sz="0" w:space="0" w:color="auto"/>
        <w:right w:val="none" w:sz="0" w:space="0" w:color="auto"/>
      </w:divBdr>
      <w:divsChild>
        <w:div w:id="550923066">
          <w:marLeft w:val="0"/>
          <w:marRight w:val="0"/>
          <w:marTop w:val="0"/>
          <w:marBottom w:val="0"/>
          <w:divBdr>
            <w:top w:val="single" w:sz="2" w:space="0" w:color="auto"/>
            <w:left w:val="single" w:sz="2" w:space="0" w:color="auto"/>
            <w:bottom w:val="single" w:sz="24" w:space="0" w:color="auto"/>
            <w:right w:val="single" w:sz="2" w:space="0" w:color="auto"/>
          </w:divBdr>
          <w:divsChild>
            <w:div w:id="1339309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5629876">
      <w:bodyDiv w:val="1"/>
      <w:marLeft w:val="0"/>
      <w:marRight w:val="0"/>
      <w:marTop w:val="0"/>
      <w:marBottom w:val="0"/>
      <w:divBdr>
        <w:top w:val="none" w:sz="0" w:space="0" w:color="auto"/>
        <w:left w:val="none" w:sz="0" w:space="0" w:color="auto"/>
        <w:bottom w:val="none" w:sz="0" w:space="0" w:color="auto"/>
        <w:right w:val="none" w:sz="0" w:space="0" w:color="auto"/>
      </w:divBdr>
      <w:divsChild>
        <w:div w:id="262612475">
          <w:marLeft w:val="0"/>
          <w:marRight w:val="0"/>
          <w:marTop w:val="0"/>
          <w:marBottom w:val="0"/>
          <w:divBdr>
            <w:top w:val="single" w:sz="2" w:space="0" w:color="auto"/>
            <w:left w:val="single" w:sz="2" w:space="0" w:color="auto"/>
            <w:bottom w:val="single" w:sz="24" w:space="0" w:color="auto"/>
            <w:right w:val="single" w:sz="2" w:space="0" w:color="auto"/>
          </w:divBdr>
          <w:divsChild>
            <w:div w:id="16079553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23196453">
      <w:bodyDiv w:val="1"/>
      <w:marLeft w:val="0"/>
      <w:marRight w:val="0"/>
      <w:marTop w:val="0"/>
      <w:marBottom w:val="0"/>
      <w:divBdr>
        <w:top w:val="none" w:sz="0" w:space="0" w:color="auto"/>
        <w:left w:val="none" w:sz="0" w:space="0" w:color="auto"/>
        <w:bottom w:val="none" w:sz="0" w:space="0" w:color="auto"/>
        <w:right w:val="none" w:sz="0" w:space="0" w:color="auto"/>
      </w:divBdr>
      <w:divsChild>
        <w:div w:id="1198543664">
          <w:marLeft w:val="0"/>
          <w:marRight w:val="0"/>
          <w:marTop w:val="0"/>
          <w:marBottom w:val="0"/>
          <w:divBdr>
            <w:top w:val="single" w:sz="2" w:space="0" w:color="auto"/>
            <w:left w:val="single" w:sz="2" w:space="0" w:color="auto"/>
            <w:bottom w:val="single" w:sz="24" w:space="0" w:color="auto"/>
            <w:right w:val="single" w:sz="2" w:space="0" w:color="auto"/>
          </w:divBdr>
          <w:divsChild>
            <w:div w:id="13508328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1783244">
      <w:bodyDiv w:val="1"/>
      <w:marLeft w:val="0"/>
      <w:marRight w:val="0"/>
      <w:marTop w:val="0"/>
      <w:marBottom w:val="0"/>
      <w:divBdr>
        <w:top w:val="none" w:sz="0" w:space="0" w:color="auto"/>
        <w:left w:val="none" w:sz="0" w:space="0" w:color="auto"/>
        <w:bottom w:val="none" w:sz="0" w:space="0" w:color="auto"/>
        <w:right w:val="none" w:sz="0" w:space="0" w:color="auto"/>
      </w:divBdr>
      <w:divsChild>
        <w:div w:id="815219168">
          <w:marLeft w:val="0"/>
          <w:marRight w:val="0"/>
          <w:marTop w:val="0"/>
          <w:marBottom w:val="0"/>
          <w:divBdr>
            <w:top w:val="single" w:sz="2" w:space="0" w:color="auto"/>
            <w:left w:val="single" w:sz="2" w:space="0" w:color="auto"/>
            <w:bottom w:val="single" w:sz="24" w:space="0" w:color="auto"/>
            <w:right w:val="single" w:sz="2" w:space="0" w:color="auto"/>
          </w:divBdr>
          <w:divsChild>
            <w:div w:id="45956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88818576">
      <w:bodyDiv w:val="1"/>
      <w:marLeft w:val="0"/>
      <w:marRight w:val="0"/>
      <w:marTop w:val="0"/>
      <w:marBottom w:val="0"/>
      <w:divBdr>
        <w:top w:val="none" w:sz="0" w:space="0" w:color="auto"/>
        <w:left w:val="none" w:sz="0" w:space="0" w:color="auto"/>
        <w:bottom w:val="none" w:sz="0" w:space="0" w:color="auto"/>
        <w:right w:val="none" w:sz="0" w:space="0" w:color="auto"/>
      </w:divBdr>
      <w:divsChild>
        <w:div w:id="1507330277">
          <w:marLeft w:val="0"/>
          <w:marRight w:val="0"/>
          <w:marTop w:val="0"/>
          <w:marBottom w:val="0"/>
          <w:divBdr>
            <w:top w:val="single" w:sz="2" w:space="0" w:color="auto"/>
            <w:left w:val="single" w:sz="2" w:space="0" w:color="auto"/>
            <w:bottom w:val="single" w:sz="24" w:space="0" w:color="auto"/>
            <w:right w:val="single" w:sz="2" w:space="0" w:color="auto"/>
          </w:divBdr>
          <w:divsChild>
            <w:div w:id="21011728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2307/2024.036"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abdelhamied Ahmed</dc:creator>
  <cp:keywords/>
  <dc:description/>
  <cp:lastModifiedBy>Hossam Mortada (Galala University)</cp:lastModifiedBy>
  <cp:revision>8</cp:revision>
  <dcterms:created xsi:type="dcterms:W3CDTF">2024-08-05T13:42:00Z</dcterms:created>
  <dcterms:modified xsi:type="dcterms:W3CDTF">2024-10-21T13:23:00Z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93c4029344d51c97e3b1a40ccc6f95b14c130998cf7e4f08e579388aa3f9fbf6</vt:lpwstr>
  </property>
</Properties>
</file>