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horzAnchor="margin" w:tblpXSpec="center" w:tblpY="516"/>
        <w:tblW w:w="155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3"/>
        <w:gridCol w:w="3205"/>
        <w:gridCol w:w="2410"/>
        <w:gridCol w:w="7405"/>
      </w:tblGrid>
      <w:tr w14:paraId="67B68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D1B0B0">
            <w:pPr>
              <w:widowControl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24"/>
                <w:lang w:bidi="ar"/>
              </w:rPr>
              <w:t>Profile Group</w:t>
            </w:r>
          </w:p>
        </w:tc>
        <w:tc>
          <w:tcPr>
            <w:tcW w:w="3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0A9848">
            <w:p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24"/>
                <w:lang w:bidi="ar"/>
              </w:rPr>
              <w:t>Defining Characteristics &amp; Key Risk Factors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3646D">
            <w:p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24"/>
                <w:lang w:bidi="ar"/>
              </w:rPr>
              <w:t>Primary Intervention Goals</w:t>
            </w:r>
          </w:p>
        </w:tc>
        <w:tc>
          <w:tcPr>
            <w:tcW w:w="7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447B5">
            <w:p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24"/>
                <w:lang w:bidi="ar"/>
              </w:rPr>
              <w:t>Specific, Actionable Intervention Strategies</w:t>
            </w:r>
          </w:p>
        </w:tc>
      </w:tr>
      <w:tr w14:paraId="49CF2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8" w:hRule="atLeast"/>
        </w:trPr>
        <w:tc>
          <w:tcPr>
            <w:tcW w:w="2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4C72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915B7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6D87E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1E8B9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FD251C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16A262">
            <w:pPr>
              <w:spacing w:line="276" w:lineRule="auto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  <w:p w14:paraId="7A27902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Low Kinesiophobia-Active</w:t>
            </w:r>
          </w:p>
        </w:tc>
        <w:tc>
          <w:tcPr>
            <w:tcW w:w="3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265F6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1. Psychological: Low TSK scores. Positive beliefs about exercise benefits. High exercise self-efficacy. </w:t>
            </w:r>
          </w:p>
          <w:p w14:paraId="13D01C8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2. Clinical: Lower pain levels. Lower prevalence of osteoporosis and surgical history.</w:t>
            </w:r>
          </w:p>
          <w:p w14:paraId="196D160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3. Social: Higher education level.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3FD3A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 Maintain high motivation and exercise adherence.</w:t>
            </w:r>
          </w:p>
          <w:p w14:paraId="02A8ADE7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 Prevent overactivity and re-injury risk.</w:t>
            </w:r>
          </w:p>
          <w:p w14:paraId="4D669706">
            <w:pPr>
              <w:spacing w:line="480" w:lineRule="auto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 Leverage as a positive peer influence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8E58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 Maintaining Physical Positivity: Encourage the patient to sustain their current level of rehabilitation activities. Provide positive feedback to reinforce their constructive beliefs.</w:t>
            </w:r>
          </w:p>
          <w:p w14:paraId="4EFA6D3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 Differentiated Pain Education: Educate the patient on distinguishing between "benign pain" (e.g., muscle fatigue, stretching sensation) and "adverse pain" (e.g., sharp pain, catching/locking sensation, or radiating pain). Guide them to adjust activities based on the nature of the pain rather than its mere presence.</w:t>
            </w:r>
          </w:p>
          <w:p w14:paraId="67731320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 Peer Motivation: Encourage their participation as a "model patient" in peer support education, while cautioning against the risk of early overactivity due to overconfidence. Alternatively, suggest they share their positive experiences in patient education seminars.</w:t>
            </w:r>
          </w:p>
        </w:tc>
      </w:tr>
      <w:tr w14:paraId="3DE3F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279681">
            <w:pPr>
              <w:spacing w:after="160" w:line="480" w:lineRule="auto"/>
              <w:jc w:val="center"/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</w:pPr>
          </w:p>
          <w:p w14:paraId="1DEFE48D">
            <w:pPr>
              <w:spacing w:after="160" w:line="480" w:lineRule="auto"/>
              <w:jc w:val="center"/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</w:pPr>
          </w:p>
          <w:p w14:paraId="375ACCE3">
            <w:pPr>
              <w:spacing w:after="160" w:line="480" w:lineRule="auto"/>
              <w:jc w:val="center"/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</w:pPr>
          </w:p>
          <w:p w14:paraId="0149980E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Moderate Kinesiophobia-Stable</w:t>
            </w:r>
          </w:p>
        </w:tc>
        <w:tc>
          <w:tcPr>
            <w:tcW w:w="3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F0123">
            <w:pPr>
              <w:spacing w:after="160" w:line="480" w:lineRule="auto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1.Psychological: Moderate TSK score. Endorses the misconception "I should not exercise when in pain."</w:t>
            </w:r>
          </w:p>
          <w:p w14:paraId="76D139FD">
            <w:pPr>
              <w:spacing w:after="160" w:line="480" w:lineRule="auto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2.Clinical: Moderate pain levels. May have comorbidities like diabetes . Mix of partial and full-thickness tears.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4E49BD">
            <w:pPr>
              <w:spacing w:after="16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 Correct maladaptive beliefs about the relationship between pain and movement.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2. Build confidence through guided, successful movement experiences.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3. Prevent regression into avoidance patterns.</w:t>
            </w:r>
          </w:p>
        </w:tc>
        <w:tc>
          <w:tcPr>
            <w:tcW w:w="7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B2A1D">
            <w:pPr>
              <w:spacing w:after="16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Pain Neuroscience Education (PNE): Utilize metaphors and diagrams to explain central sensitization and how post-operative pain can become a "false alarm." Target and correct the specific maladaptive belief that "pain equals harm."</w:t>
            </w:r>
          </w:p>
          <w:p w14:paraId="2F6B8383">
            <w:pPr>
              <w:spacing w:after="16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 Supervised, Success-Oriented Movement: Begin with therapist-guided passive/active-assisted range of motion exercises. Employ phrasing such as, "Let's see if we can safely move your arm to 45 degrees," to reframe the goal from "pain-free" movement to "safe" movement.</w:t>
            </w:r>
          </w:p>
          <w:p w14:paraId="1926C020">
            <w:pPr>
              <w:spacing w:after="16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 Cognitive Reappraisal: Implement a simple thought record: "What goes through your mind when you feel this pain? Is there another, more helpful way to understand this sensation?"</w:t>
            </w:r>
          </w:p>
        </w:tc>
      </w:tr>
      <w:tr w14:paraId="38227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</w:trPr>
        <w:tc>
          <w:tcPr>
            <w:tcW w:w="2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570FB">
            <w:pPr>
              <w:spacing w:line="480" w:lineRule="auto"/>
              <w:jc w:val="center"/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</w:pPr>
          </w:p>
          <w:p w14:paraId="347CE1B4">
            <w:pPr>
              <w:spacing w:line="480" w:lineRule="auto"/>
              <w:jc w:val="center"/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</w:pPr>
          </w:p>
          <w:p w14:paraId="4C924AF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High Kinesiophobia-Avoidant</w:t>
            </w:r>
          </w:p>
        </w:tc>
        <w:tc>
          <w:tcPr>
            <w:tcW w:w="3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D8D56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1.Psychological : High TSK scores. Strong catastrophic thinking (e.g., high agreement with "I should not exercise when in pain"). Low  exercise self-efficacy.</w:t>
            </w:r>
          </w:p>
          <w:p w14:paraId="2AF2D432">
            <w:pPr>
              <w:spacing w:line="480" w:lineRule="auto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2.Clinical: High pain intensity. High prevalence of key risk factors: osteoporosis, full-thickness tears, previous surgical history, and diabetes .</w:t>
            </w:r>
          </w:p>
          <w:p w14:paraId="41FE21E7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3.Social: Lower education level.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A5E5F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 Break the maladaptive fear-avoidance cycle.</w:t>
            </w:r>
          </w:p>
          <w:p w14:paraId="091677C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 Build trust in the repaired shoulder and the rehabilitation process.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3. Manage high pain and address comorbidities to create a foundation for rehab.</w:t>
            </w:r>
          </w:p>
        </w:tc>
        <w:tc>
          <w:tcPr>
            <w:tcW w:w="7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77E31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Cognitive Behavioral Therapy (CBT):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Directly target catastrophic thinking and fear-avoidance beliefs. Regular communication between the therapist and the rehabilitation team is essential.</w:t>
            </w:r>
          </w:p>
          <w:p w14:paraId="4D18548B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Graded Exposure Therapy (GET):</w:t>
            </w:r>
          </w:p>
          <w:p w14:paraId="32EED97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Co-creation of a Fear Hierarchy: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Collaboratively develop a list of feared activities, ranked from the least anxiety-provoking (e.g., imagining moving the arm) to the most (e.g., raising the hand overhead).</w:t>
            </w:r>
          </w:p>
          <w:p w14:paraId="603540F0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Systematic Exposure: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Begin at the lowest level of the hierarchy. The patient repeatedly performs the activity until their subjective fear (SUDS rating) significantly decreases.</w:t>
            </w:r>
          </w:p>
          <w:p w14:paraId="6C54C1B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Multimodal Analgesia: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Coordinate with physicians to ensure effective pain management (e.g., scheduled NSAIDs, cryotherapy) prior to rehabilitation sessions to lower the initial barrier to participation.</w:t>
            </w:r>
          </w:p>
          <w:p w14:paraId="0C572A4D">
            <w:pPr>
              <w:spacing w:line="480" w:lineRule="auto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</w:rPr>
              <w:t>4.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Comorbidity Proactive Management: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Close collaboration with physicians is crucial. Optimize management of osteoporosis (e.g., calcium, vitamin D, pharmacotherapy) and diabetes (stabilize blood glucose) to reduce the patient's perceived biological risk of movement.</w:t>
            </w:r>
          </w:p>
        </w:tc>
      </w:tr>
    </w:tbl>
    <w:p w14:paraId="47A3FE4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6. Proposed Targeted Intervention Strategies Based on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Kinesiophobia Profiles</w:t>
      </w:r>
      <w:r>
        <w:rPr>
          <w:rFonts w:ascii="Times New Roman" w:hAnsi="Times New Roman" w:cs="Times New Roman"/>
          <w:b/>
          <w:bCs/>
          <w:sz w:val="28"/>
          <w:szCs w:val="28"/>
        </w:rPr>
        <w:cr/>
      </w:r>
    </w:p>
    <w:sectPr>
      <w:pgSz w:w="15840" w:h="12240" w:orient="landscape"/>
      <w:pgMar w:top="1800" w:right="1440" w:bottom="1800" w:left="144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F41"/>
    <w:rsid w:val="0000102A"/>
    <w:rsid w:val="00540EE4"/>
    <w:rsid w:val="005B5110"/>
    <w:rsid w:val="005D3F4F"/>
    <w:rsid w:val="00723F41"/>
    <w:rsid w:val="00975323"/>
    <w:rsid w:val="00F23594"/>
    <w:rsid w:val="00F363FB"/>
    <w:rsid w:val="51DC7960"/>
    <w:rsid w:val="78E4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7">
    <w:name w:val="页眉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C379D-09B8-479F-81D6-60CB133189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550</Words>
  <Characters>3596</Characters>
  <Lines>98</Lines>
  <Paragraphs>55</Paragraphs>
  <TotalTime>1346</TotalTime>
  <ScaleCrop>false</ScaleCrop>
  <LinksUpToDate>false</LinksUpToDate>
  <CharactersWithSpaces>4111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2025-08-29T01:49:00Z</dcterms:created>
  <dc:creator>86150</dc:creator>
  <cp:lastModifiedBy>_</cp:lastModifiedBy>
  <dcterms:modified xsi:type="dcterms:W3CDTF">2025-08-31T02:16:51Z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eyJoZGlkIjoiODYzM2Y4NGEzMTUzZTNmMGEwNjhmZDdiZmMyNDk5N2IiLCJ1c2VySWQiOiI2MDE1NjA3MTEifQ==</vt:lpwstr>
  </property>
  <property fmtid="{D5CDD505-2E9C-101B-9397-08002B2CF9AE}" pid="4" name="ICV">
    <vt:lpwstr>4B32C4E6ABAE43DF81A293C886FDF134_12</vt:lpwstr>
  </property>
</Properties>
</file>