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64FBD" w:rsidR="00664FBD" w:rsidP="00664FBD" w:rsidRDefault="00664FBD" w14:paraId="1A493FD6" w14:textId="61FAC90E">
      <w:r>
        <w:t xml:space="preserve">Additional File 5. </w:t>
      </w:r>
      <w:r w:rsidRPr="00664FBD">
        <w:t>Sensitivity analyses</w:t>
      </w:r>
      <w:r>
        <w:t>.</w:t>
      </w:r>
    </w:p>
    <w:p w:rsidRPr="00664FBD" w:rsidR="00664FBD" w:rsidP="00664FBD" w:rsidRDefault="00664FBD" w14:paraId="0722A932" w14:textId="08CF87F8">
      <w:r w:rsidR="00664FBD">
        <w:rPr/>
        <w:t>Two sensitivity analyses were conducted. In the first</w:t>
      </w:r>
      <w:r w:rsidR="00664FBD">
        <w:rPr/>
        <w:t>, we explored a different methodological approach by estimating effect sizes using post-intervention values only (Figures </w:t>
      </w:r>
      <w:r w:rsidR="00664FBD">
        <w:rPr/>
        <w:t>1.1 to 1.5</w:t>
      </w:r>
      <w:r w:rsidR="00664FBD">
        <w:rPr/>
        <w:t>). Please note that it is not possible for before</w:t>
      </w:r>
      <w:r w:rsidR="00664FBD">
        <w:rPr/>
        <w:t>-and-</w:t>
      </w:r>
      <w:r w:rsidR="00664FBD">
        <w:rPr/>
        <w:t xml:space="preserve">after studies since both studies only had one group. In the most cases, the trends were similar, though treatment effects derived from post-intervention values showed more conclusive effects, especially in functional outcomes, </w:t>
      </w:r>
      <w:r w:rsidR="00664FBD">
        <w:rPr/>
        <w:t>pain catastrophising</w:t>
      </w:r>
      <w:r w:rsidR="00664FBD">
        <w:rPr/>
        <w:t>, and pain self-efficacy scales. However, this reflects the issue of not accounting for baseline values as we have seen some difference among baseline values between groups in the included studies, which is common for small sample sizes.</w:t>
      </w:r>
    </w:p>
    <w:p w:rsidRPr="00664FBD" w:rsidR="00664FBD" w:rsidP="00664FBD" w:rsidRDefault="00664FBD" w14:paraId="57C19C55" w14:textId="769A78F0">
      <w:r w:rsidR="00664FBD">
        <w:rPr/>
        <w:t xml:space="preserve">In the second sensitivity analysis, we followed the conventional synthesis approach by combining </w:t>
      </w:r>
      <w:r w:rsidR="00664FBD">
        <w:rPr/>
        <w:t>different types</w:t>
      </w:r>
      <w:r w:rsidR="00664FBD">
        <w:rPr/>
        <w:t xml:space="preserve"> of PSE. </w:t>
      </w:r>
      <w:r w:rsidR="00664FBD">
        <w:rPr/>
        <w:t>W</w:t>
      </w:r>
      <w:r w:rsidR="00664FBD">
        <w:rPr/>
        <w:t>e used a network meta-analysis approach within random-effect models (Figures </w:t>
      </w:r>
      <w:r w:rsidR="00664FBD">
        <w:rPr/>
        <w:t>2.1 to 2.5)</w:t>
      </w:r>
      <w:r w:rsidR="00664FBD">
        <w:rPr/>
        <w:t xml:space="preserve">. Most results were </w:t>
      </w:r>
      <w:r w:rsidR="00664FBD">
        <w:rPr/>
        <w:t>similar to</w:t>
      </w:r>
      <w:r w:rsidR="00664FBD">
        <w:rPr/>
        <w:t xml:space="preserve"> the main analysis, </w:t>
      </w:r>
      <w:r w:rsidR="519DE971">
        <w:rPr/>
        <w:t>showing that PSE had general additive effects on exercise</w:t>
      </w:r>
      <w:r w:rsidR="519DE971">
        <w:rPr/>
        <w:t xml:space="preserve">, </w:t>
      </w:r>
      <w:r w:rsidR="00664FBD">
        <w:rPr/>
        <w:t xml:space="preserve">except for the </w:t>
      </w:r>
      <w:r w:rsidR="00664FBD">
        <w:rPr/>
        <w:t xml:space="preserve">pain catastrophising scale </w:t>
      </w:r>
      <w:r w:rsidR="00664FBD">
        <w:rPr/>
        <w:t>outcome, which showed high heterogeneity resulting in a wide confidence interval.</w:t>
      </w:r>
    </w:p>
    <w:p w:rsidRPr="00664FBD" w:rsidR="00664FBD" w:rsidP="00664FBD" w:rsidRDefault="00664FBD" w14:paraId="3997596C" w14:textId="690C5016">
      <w:r w:rsidRPr="00664FBD">
        <w:drawing>
          <wp:inline distT="0" distB="0" distL="0" distR="0" wp14:anchorId="24F07D00" wp14:editId="32371336">
            <wp:extent cx="5731510" cy="2865755"/>
            <wp:effectExtent l="0" t="0" r="2540" b="0"/>
            <wp:docPr id="293383714" name="Picture 10" descr="Sensitivity analysis: Forest plot (pain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sitivity analysis: Forest plot (pain outcom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7E4E5754" w14:textId="3D4303D6">
      <w:r w:rsidRPr="00664FBD">
        <w:t xml:space="preserve">Figure </w:t>
      </w:r>
      <w:r>
        <w:t>1</w:t>
      </w:r>
      <w:r w:rsidRPr="00664FBD">
        <w:t>.1: Sensitivity analysis: Forest plot (pain</w:t>
      </w:r>
      <w:r>
        <w:t xml:space="preserve"> - WOMAC pain sub-scale</w:t>
      </w:r>
      <w:r w:rsidRPr="00664FBD">
        <w:t>)</w:t>
      </w:r>
    </w:p>
    <w:p w:rsidRPr="00664FBD" w:rsidR="00664FBD" w:rsidP="00664FBD" w:rsidRDefault="00664FBD" w14:paraId="1E791C37" w14:textId="3CBD9EFE">
      <w:r w:rsidRPr="00664FBD">
        <w:lastRenderedPageBreak/>
        <w:drawing>
          <wp:inline distT="0" distB="0" distL="0" distR="0" wp14:anchorId="38F831E8" wp14:editId="248C376D">
            <wp:extent cx="5731510" cy="2865755"/>
            <wp:effectExtent l="0" t="0" r="2540" b="0"/>
            <wp:docPr id="1619668894" name="Picture 9" descr="Sensitivity analysis: Forest Plot (generalized functional outcome (WOMAC 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nsitivity analysis: Forest Plot (generalized functional outcome (WOMAC tot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273C36A2" w14:textId="4EF702E1">
      <w:r w:rsidRPr="00664FBD">
        <w:t xml:space="preserve">Figure </w:t>
      </w:r>
      <w:r>
        <w:t>1</w:t>
      </w:r>
      <w:r w:rsidRPr="00664FBD">
        <w:t>.2: Sensitivity analysis: Forest Plot (</w:t>
      </w:r>
      <w:r>
        <w:t>physical functioning - W</w:t>
      </w:r>
      <w:r w:rsidRPr="00664FBD">
        <w:t>OMAC total</w:t>
      </w:r>
      <w:r>
        <w:t xml:space="preserve"> score</w:t>
      </w:r>
      <w:r w:rsidRPr="00664FBD">
        <w:t>)</w:t>
      </w:r>
    </w:p>
    <w:p w:rsidRPr="00664FBD" w:rsidR="00664FBD" w:rsidP="00664FBD" w:rsidRDefault="00664FBD" w14:paraId="4C08B7B9" w14:textId="729E1DEB">
      <w:r w:rsidRPr="00664FBD">
        <w:drawing>
          <wp:inline distT="0" distB="0" distL="0" distR="0" wp14:anchorId="249F6102" wp14:editId="5196E2EB">
            <wp:extent cx="5731510" cy="2865755"/>
            <wp:effectExtent l="0" t="0" r="2540" b="0"/>
            <wp:docPr id="1819752834" name="Picture 8" descr="Sensitivity analysis: Forest plot (Pain catastrophizing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nsitivity analysis: Forest plot (Pain catastrophizing sc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057D0A01" w14:textId="0FD893E8">
      <w:r w:rsidRPr="00664FBD">
        <w:t xml:space="preserve">Figure </w:t>
      </w:r>
      <w:r>
        <w:t>1</w:t>
      </w:r>
      <w:r w:rsidRPr="00664FBD">
        <w:t xml:space="preserve">.3: Sensitivity analysis: Forest plot (Pain </w:t>
      </w:r>
      <w:r>
        <w:t>C</w:t>
      </w:r>
      <w:r w:rsidRPr="00664FBD">
        <w:t xml:space="preserve">atastrophizing </w:t>
      </w:r>
      <w:r>
        <w:t>S</w:t>
      </w:r>
      <w:r w:rsidRPr="00664FBD">
        <w:t>cale)</w:t>
      </w:r>
    </w:p>
    <w:p w:rsidRPr="00664FBD" w:rsidR="00664FBD" w:rsidP="00664FBD" w:rsidRDefault="00664FBD" w14:paraId="28F57B04" w14:textId="17529212">
      <w:r w:rsidRPr="00664FBD">
        <w:lastRenderedPageBreak/>
        <w:drawing>
          <wp:inline distT="0" distB="0" distL="0" distR="0" wp14:anchorId="11594765" wp14:editId="2F14F20F">
            <wp:extent cx="5731510" cy="2865755"/>
            <wp:effectExtent l="0" t="0" r="2540" b="0"/>
            <wp:docPr id="329212980" name="Picture 7" descr="Sensitivity analysis: Forest plot (tampa scale for kinesiopho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nsitivity analysis: Forest plot (tampa scale for kinesiophob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6C7D1A33" w14:textId="2ABBD9E6">
      <w:r w:rsidRPr="00664FBD">
        <w:t xml:space="preserve">Figure </w:t>
      </w:r>
      <w:r>
        <w:t>1</w:t>
      </w:r>
      <w:r w:rsidRPr="00664FBD">
        <w:t>.4: Sensitivity analysis: Forest plot (</w:t>
      </w:r>
      <w:r>
        <w:t>T</w:t>
      </w:r>
      <w:r w:rsidRPr="00664FBD">
        <w:t>ampa scale for kinesiophobia)</w:t>
      </w:r>
    </w:p>
    <w:p w:rsidRPr="00664FBD" w:rsidR="00664FBD" w:rsidP="00664FBD" w:rsidRDefault="00664FBD" w14:paraId="1662F6E3" w14:textId="7AF9DA79">
      <w:r w:rsidRPr="00664FBD">
        <w:drawing>
          <wp:inline distT="0" distB="0" distL="0" distR="0" wp14:anchorId="2914B3FA" wp14:editId="75A0A633">
            <wp:extent cx="5731510" cy="2865755"/>
            <wp:effectExtent l="0" t="0" r="2540" b="0"/>
            <wp:docPr id="1005576299" name="Picture 6" descr="Sensitivity analysis: Forest plot (pain self-effic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nsitivity analysis: Forest plot (pain self-efficac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00497EC0" w:rsidRDefault="00664FBD" w14:paraId="7EE0C935" w14:textId="14960F8C">
      <w:r w:rsidRPr="00664FBD">
        <w:t xml:space="preserve">Figure </w:t>
      </w:r>
      <w:r>
        <w:t>1</w:t>
      </w:r>
      <w:r w:rsidRPr="00664FBD">
        <w:t>.5: Sensitivity analysis: Forest plot (pain self-efficacy</w:t>
      </w:r>
      <w:r>
        <w:t xml:space="preserve"> - </w:t>
      </w:r>
      <w:r>
        <w:t>Chronic Pain Self-Efficacy Scale or Pain Self-Efficacy Questionnaire</w:t>
      </w:r>
      <w:r>
        <w:t>)</w:t>
      </w:r>
    </w:p>
    <w:p w:rsidRPr="00664FBD" w:rsidR="00664FBD" w:rsidP="00664FBD" w:rsidRDefault="00664FBD" w14:paraId="171AA07E" w14:textId="5BCFD492">
      <w:r w:rsidRPr="00664FBD">
        <w:lastRenderedPageBreak/>
        <w:drawing>
          <wp:inline distT="0" distB="0" distL="0" distR="0" wp14:anchorId="3B8FCC8D" wp14:editId="47FDFB5B">
            <wp:extent cx="5731510" cy="2865755"/>
            <wp:effectExtent l="0" t="0" r="2540" b="0"/>
            <wp:docPr id="1715389719" name="Picture 20" descr="Forest plot of pain: RCTs and observational studies by lumping different types of 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orest plot of pain: RCTs and observational studies by lumping different types of P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738BBC24" w14:textId="74BD9357">
      <w:r w:rsidRPr="00664FBD">
        <w:t xml:space="preserve">Figure </w:t>
      </w:r>
      <w:r>
        <w:t>2.1</w:t>
      </w:r>
      <w:r w:rsidRPr="00664FBD">
        <w:t>: Forest plot of pain</w:t>
      </w:r>
      <w:r>
        <w:t xml:space="preserve"> (WOMAC pain sub-scale)</w:t>
      </w:r>
      <w:r w:rsidRPr="00664FBD">
        <w:t>: RCTs and observational studies by lumping different types of PSE</w:t>
      </w:r>
    </w:p>
    <w:p w:rsidRPr="00664FBD" w:rsidR="00664FBD" w:rsidP="00664FBD" w:rsidRDefault="00664FBD" w14:paraId="52BD9E06" w14:textId="0651FEB0">
      <w:r w:rsidRPr="00664FBD">
        <w:drawing>
          <wp:inline distT="0" distB="0" distL="0" distR="0" wp14:anchorId="16A710EC" wp14:editId="76201622">
            <wp:extent cx="5731510" cy="2865755"/>
            <wp:effectExtent l="0" t="0" r="2540" b="0"/>
            <wp:docPr id="2090142332" name="Picture 19" descr="Forest Plot of generalized functional outcome (WOMAC total): RCTs and observational studies by lumping different types of 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orest Plot of generalized functional outcome (WOMAC total): RCTs and observational studies by lumping different types of P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4F642A37" w14:textId="15E29F61">
      <w:r w:rsidR="00664FBD">
        <w:rPr/>
        <w:t xml:space="preserve">Figure </w:t>
      </w:r>
      <w:r w:rsidR="11ACBCB4">
        <w:rPr/>
        <w:t>2.2</w:t>
      </w:r>
      <w:r w:rsidR="00664FBD">
        <w:rPr/>
        <w:t xml:space="preserve">: Forest Plot of </w:t>
      </w:r>
      <w:r w:rsidR="00664FBD">
        <w:rPr/>
        <w:t>physical functioning</w:t>
      </w:r>
      <w:r w:rsidR="00664FBD">
        <w:rPr/>
        <w:t xml:space="preserve"> (WOMAC total</w:t>
      </w:r>
      <w:r w:rsidR="00664FBD">
        <w:rPr/>
        <w:t xml:space="preserve"> score</w:t>
      </w:r>
      <w:r w:rsidR="00664FBD">
        <w:rPr/>
        <w:t xml:space="preserve">): RCTs and observational studies by lumping </w:t>
      </w:r>
      <w:r w:rsidR="00664FBD">
        <w:rPr/>
        <w:t>different types</w:t>
      </w:r>
      <w:r w:rsidR="00664FBD">
        <w:rPr/>
        <w:t xml:space="preserve"> of PSE</w:t>
      </w:r>
    </w:p>
    <w:p w:rsidRPr="00664FBD" w:rsidR="00664FBD" w:rsidP="00664FBD" w:rsidRDefault="00664FBD" w14:paraId="50B4583F" w14:textId="0C2ABF5D">
      <w:r w:rsidRPr="00664FBD">
        <w:lastRenderedPageBreak/>
        <w:drawing>
          <wp:inline distT="0" distB="0" distL="0" distR="0" wp14:anchorId="2240DD17" wp14:editId="03A543A0">
            <wp:extent cx="5731510" cy="2865755"/>
            <wp:effectExtent l="0" t="0" r="2540" b="0"/>
            <wp:docPr id="505879255" name="Picture 18" descr="Forest plot of pain catastrophizing scale: RCTs and observational studies by lumping different types of 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orest plot of pain catastrophizing scale: RCTs and observational studies by lumping different types of P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31AA41AE" w14:textId="09668F3D">
      <w:r w:rsidRPr="00664FBD">
        <w:t xml:space="preserve">Figure </w:t>
      </w:r>
      <w:r>
        <w:t>2.3</w:t>
      </w:r>
      <w:r w:rsidRPr="00664FBD">
        <w:t xml:space="preserve">: Forest plot of </w:t>
      </w:r>
      <w:r>
        <w:t>P</w:t>
      </w:r>
      <w:r w:rsidRPr="00664FBD">
        <w:t xml:space="preserve">ain </w:t>
      </w:r>
      <w:r>
        <w:t>C</w:t>
      </w:r>
      <w:r w:rsidRPr="00664FBD">
        <w:t xml:space="preserve">atastrophizing </w:t>
      </w:r>
      <w:r>
        <w:t>S</w:t>
      </w:r>
      <w:r w:rsidRPr="00664FBD">
        <w:t>cale: RCTs and observational studies by lumping different types of PSE</w:t>
      </w:r>
    </w:p>
    <w:p w:rsidRPr="00664FBD" w:rsidR="00664FBD" w:rsidP="00664FBD" w:rsidRDefault="00664FBD" w14:paraId="6BA66D0D" w14:textId="0E8E7028">
      <w:r w:rsidRPr="00664FBD">
        <w:drawing>
          <wp:inline distT="0" distB="0" distL="0" distR="0" wp14:anchorId="2D6E8D67" wp14:editId="1B28B49A">
            <wp:extent cx="5731510" cy="2865755"/>
            <wp:effectExtent l="0" t="0" r="2540" b="0"/>
            <wp:docPr id="1857062050" name="Picture 17" descr="Forest plot of tampa scale for kinesiophobia: RCTs and observational studies by lumping different types of 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Forest plot of tampa scale for kinesiophobia: RCTs and observational studies by lumping different types of PS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6AB27871" w14:textId="545FE808">
      <w:r w:rsidRPr="00664FBD">
        <w:t xml:space="preserve">Figure </w:t>
      </w:r>
      <w:r>
        <w:t>2.4</w:t>
      </w:r>
      <w:r w:rsidRPr="00664FBD">
        <w:t xml:space="preserve">: Forest plot of </w:t>
      </w:r>
      <w:r>
        <w:t>T</w:t>
      </w:r>
      <w:r w:rsidRPr="00664FBD">
        <w:t>ampa scale for kinesiophobia: RCTs and observational studies by lumping different types of PSE</w:t>
      </w:r>
    </w:p>
    <w:p w:rsidRPr="00664FBD" w:rsidR="00664FBD" w:rsidP="00664FBD" w:rsidRDefault="00664FBD" w14:paraId="5BC37678" w14:textId="007B93BD">
      <w:r w:rsidRPr="00664FBD">
        <w:lastRenderedPageBreak/>
        <w:drawing>
          <wp:inline distT="0" distB="0" distL="0" distR="0" wp14:anchorId="05337E4A" wp14:editId="27CA68F1">
            <wp:extent cx="5731510" cy="2865755"/>
            <wp:effectExtent l="0" t="0" r="2540" b="0"/>
            <wp:docPr id="1354987762" name="Picture 16" descr="Forest plot of pain self-efficacy: RCTs and observational studies by lumping different types of 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orest plot of pain self-efficacy: RCTs and observational studies by lumping different types of PS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Pr="00664FBD" w:rsidR="00664FBD" w:rsidP="00664FBD" w:rsidRDefault="00664FBD" w14:paraId="74A4B740" w14:textId="701B017D">
      <w:r w:rsidRPr="00664FBD">
        <w:t xml:space="preserve">Figure </w:t>
      </w:r>
      <w:r>
        <w:t>2.5</w:t>
      </w:r>
      <w:r w:rsidRPr="00664FBD">
        <w:t>: Forest plot of pain self-efficacy: RCTs and observational studies by lumping different types of PSE</w:t>
      </w:r>
    </w:p>
    <w:p w:rsidR="00664FBD" w:rsidRDefault="00664FBD" w14:paraId="00702BCC" w14:textId="77777777"/>
    <w:sectPr w:rsidR="00664FB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BD"/>
    <w:rsid w:val="000E343B"/>
    <w:rsid w:val="00497EC0"/>
    <w:rsid w:val="00664FBD"/>
    <w:rsid w:val="11ACBCB4"/>
    <w:rsid w:val="19D49030"/>
    <w:rsid w:val="208B3242"/>
    <w:rsid w:val="37A9EB20"/>
    <w:rsid w:val="49DB3C0B"/>
    <w:rsid w:val="519DE971"/>
    <w:rsid w:val="7FAFC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185E"/>
  <w15:chartTrackingRefBased/>
  <w15:docId w15:val="{1D7FE3B3-6500-48F6-B929-7EC82DC19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64FB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FB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FB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64FB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64FB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64FB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64FB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64FB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64FB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64FB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64FB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64FBD"/>
    <w:rPr>
      <w:rFonts w:eastAsiaTheme="majorEastAsia" w:cstheme="majorBidi"/>
      <w:color w:val="272727" w:themeColor="text1" w:themeTint="D8"/>
    </w:rPr>
  </w:style>
  <w:style w:type="paragraph" w:styleId="Title">
    <w:name w:val="Title"/>
    <w:basedOn w:val="Normal"/>
    <w:next w:val="Normal"/>
    <w:link w:val="TitleChar"/>
    <w:uiPriority w:val="10"/>
    <w:qFormat/>
    <w:rsid w:val="00664FB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64FB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64FB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64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FBD"/>
    <w:pPr>
      <w:spacing w:before="160"/>
      <w:jc w:val="center"/>
    </w:pPr>
    <w:rPr>
      <w:i/>
      <w:iCs/>
      <w:color w:val="404040" w:themeColor="text1" w:themeTint="BF"/>
    </w:rPr>
  </w:style>
  <w:style w:type="character" w:styleId="QuoteChar" w:customStyle="1">
    <w:name w:val="Quote Char"/>
    <w:basedOn w:val="DefaultParagraphFont"/>
    <w:link w:val="Quote"/>
    <w:uiPriority w:val="29"/>
    <w:rsid w:val="00664FBD"/>
    <w:rPr>
      <w:i/>
      <w:iCs/>
      <w:color w:val="404040" w:themeColor="text1" w:themeTint="BF"/>
    </w:rPr>
  </w:style>
  <w:style w:type="paragraph" w:styleId="ListParagraph">
    <w:name w:val="List Paragraph"/>
    <w:basedOn w:val="Normal"/>
    <w:uiPriority w:val="34"/>
    <w:qFormat/>
    <w:rsid w:val="00664FBD"/>
    <w:pPr>
      <w:ind w:left="720"/>
      <w:contextualSpacing/>
    </w:pPr>
  </w:style>
  <w:style w:type="character" w:styleId="IntenseEmphasis">
    <w:name w:val="Intense Emphasis"/>
    <w:basedOn w:val="DefaultParagraphFont"/>
    <w:uiPriority w:val="21"/>
    <w:qFormat/>
    <w:rsid w:val="00664FBD"/>
    <w:rPr>
      <w:i/>
      <w:iCs/>
      <w:color w:val="0F4761" w:themeColor="accent1" w:themeShade="BF"/>
    </w:rPr>
  </w:style>
  <w:style w:type="paragraph" w:styleId="IntenseQuote">
    <w:name w:val="Intense Quote"/>
    <w:basedOn w:val="Normal"/>
    <w:next w:val="Normal"/>
    <w:link w:val="IntenseQuoteChar"/>
    <w:uiPriority w:val="30"/>
    <w:qFormat/>
    <w:rsid w:val="00664FB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64FBD"/>
    <w:rPr>
      <w:i/>
      <w:iCs/>
      <w:color w:val="0F4761" w:themeColor="accent1" w:themeShade="BF"/>
    </w:rPr>
  </w:style>
  <w:style w:type="character" w:styleId="IntenseReference">
    <w:name w:val="Intense Reference"/>
    <w:basedOn w:val="DefaultParagraphFont"/>
    <w:uiPriority w:val="32"/>
    <w:qFormat/>
    <w:rsid w:val="00664FBD"/>
    <w:rPr>
      <w:b/>
      <w:bCs/>
      <w:smallCaps/>
      <w:color w:val="0F4761" w:themeColor="accent1" w:themeShade="BF"/>
      <w:spacing w:val="5"/>
    </w:rPr>
  </w:style>
  <w:style w:type="character" w:styleId="Hyperlink">
    <w:name w:val="Hyperlink"/>
    <w:basedOn w:val="DefaultParagraphFont"/>
    <w:uiPriority w:val="99"/>
    <w:unhideWhenUsed/>
    <w:rsid w:val="00664FBD"/>
    <w:rPr>
      <w:color w:val="467886" w:themeColor="hyperlink"/>
      <w:u w:val="single"/>
    </w:rPr>
  </w:style>
  <w:style w:type="character" w:styleId="UnresolvedMention">
    <w:name w:val="Unresolved Mention"/>
    <w:basedOn w:val="DefaultParagraphFont"/>
    <w:uiPriority w:val="99"/>
    <w:semiHidden/>
    <w:unhideWhenUsed/>
    <w:rsid w:val="00664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123600">
      <w:bodyDiv w:val="1"/>
      <w:marLeft w:val="0"/>
      <w:marRight w:val="0"/>
      <w:marTop w:val="0"/>
      <w:marBottom w:val="0"/>
      <w:divBdr>
        <w:top w:val="none" w:sz="0" w:space="0" w:color="auto"/>
        <w:left w:val="none" w:sz="0" w:space="0" w:color="auto"/>
        <w:bottom w:val="none" w:sz="0" w:space="0" w:color="auto"/>
        <w:right w:val="none" w:sz="0" w:space="0" w:color="auto"/>
      </w:divBdr>
      <w:divsChild>
        <w:div w:id="1454909634">
          <w:marLeft w:val="0"/>
          <w:marRight w:val="0"/>
          <w:marTop w:val="0"/>
          <w:marBottom w:val="0"/>
          <w:divBdr>
            <w:top w:val="none" w:sz="0" w:space="0" w:color="auto"/>
            <w:left w:val="none" w:sz="0" w:space="0" w:color="auto"/>
            <w:bottom w:val="none" w:sz="0" w:space="0" w:color="auto"/>
            <w:right w:val="none" w:sz="0" w:space="0" w:color="auto"/>
          </w:divBdr>
        </w:div>
        <w:div w:id="992873357">
          <w:marLeft w:val="0"/>
          <w:marRight w:val="0"/>
          <w:marTop w:val="0"/>
          <w:marBottom w:val="0"/>
          <w:divBdr>
            <w:top w:val="none" w:sz="0" w:space="0" w:color="auto"/>
            <w:left w:val="none" w:sz="0" w:space="0" w:color="auto"/>
            <w:bottom w:val="none" w:sz="0" w:space="0" w:color="auto"/>
            <w:right w:val="none" w:sz="0" w:space="0" w:color="auto"/>
          </w:divBdr>
        </w:div>
        <w:div w:id="1028140379">
          <w:marLeft w:val="0"/>
          <w:marRight w:val="0"/>
          <w:marTop w:val="0"/>
          <w:marBottom w:val="0"/>
          <w:divBdr>
            <w:top w:val="none" w:sz="0" w:space="0" w:color="auto"/>
            <w:left w:val="none" w:sz="0" w:space="0" w:color="auto"/>
            <w:bottom w:val="none" w:sz="0" w:space="0" w:color="auto"/>
            <w:right w:val="none" w:sz="0" w:space="0" w:color="auto"/>
          </w:divBdr>
        </w:div>
        <w:div w:id="419764411">
          <w:marLeft w:val="0"/>
          <w:marRight w:val="0"/>
          <w:marTop w:val="0"/>
          <w:marBottom w:val="0"/>
          <w:divBdr>
            <w:top w:val="none" w:sz="0" w:space="0" w:color="auto"/>
            <w:left w:val="none" w:sz="0" w:space="0" w:color="auto"/>
            <w:bottom w:val="none" w:sz="0" w:space="0" w:color="auto"/>
            <w:right w:val="none" w:sz="0" w:space="0" w:color="auto"/>
          </w:divBdr>
        </w:div>
        <w:div w:id="1179274664">
          <w:marLeft w:val="0"/>
          <w:marRight w:val="0"/>
          <w:marTop w:val="0"/>
          <w:marBottom w:val="0"/>
          <w:divBdr>
            <w:top w:val="none" w:sz="0" w:space="0" w:color="auto"/>
            <w:left w:val="none" w:sz="0" w:space="0" w:color="auto"/>
            <w:bottom w:val="none" w:sz="0" w:space="0" w:color="auto"/>
            <w:right w:val="none" w:sz="0" w:space="0" w:color="auto"/>
          </w:divBdr>
        </w:div>
      </w:divsChild>
    </w:div>
    <w:div w:id="1080831379">
      <w:bodyDiv w:val="1"/>
      <w:marLeft w:val="0"/>
      <w:marRight w:val="0"/>
      <w:marTop w:val="0"/>
      <w:marBottom w:val="0"/>
      <w:divBdr>
        <w:top w:val="none" w:sz="0" w:space="0" w:color="auto"/>
        <w:left w:val="none" w:sz="0" w:space="0" w:color="auto"/>
        <w:bottom w:val="none" w:sz="0" w:space="0" w:color="auto"/>
        <w:right w:val="none" w:sz="0" w:space="0" w:color="auto"/>
      </w:divBdr>
      <w:divsChild>
        <w:div w:id="1914314354">
          <w:marLeft w:val="0"/>
          <w:marRight w:val="0"/>
          <w:marTop w:val="0"/>
          <w:marBottom w:val="0"/>
          <w:divBdr>
            <w:top w:val="none" w:sz="0" w:space="0" w:color="auto"/>
            <w:left w:val="none" w:sz="0" w:space="0" w:color="auto"/>
            <w:bottom w:val="none" w:sz="0" w:space="0" w:color="auto"/>
            <w:right w:val="none" w:sz="0" w:space="0" w:color="auto"/>
          </w:divBdr>
        </w:div>
        <w:div w:id="2131436426">
          <w:marLeft w:val="0"/>
          <w:marRight w:val="0"/>
          <w:marTop w:val="0"/>
          <w:marBottom w:val="0"/>
          <w:divBdr>
            <w:top w:val="none" w:sz="0" w:space="0" w:color="auto"/>
            <w:left w:val="none" w:sz="0" w:space="0" w:color="auto"/>
            <w:bottom w:val="none" w:sz="0" w:space="0" w:color="auto"/>
            <w:right w:val="none" w:sz="0" w:space="0" w:color="auto"/>
          </w:divBdr>
        </w:div>
        <w:div w:id="1715620228">
          <w:marLeft w:val="0"/>
          <w:marRight w:val="0"/>
          <w:marTop w:val="0"/>
          <w:marBottom w:val="0"/>
          <w:divBdr>
            <w:top w:val="none" w:sz="0" w:space="0" w:color="auto"/>
            <w:left w:val="none" w:sz="0" w:space="0" w:color="auto"/>
            <w:bottom w:val="none" w:sz="0" w:space="0" w:color="auto"/>
            <w:right w:val="none" w:sz="0" w:space="0" w:color="auto"/>
          </w:divBdr>
        </w:div>
        <w:div w:id="1952280040">
          <w:marLeft w:val="0"/>
          <w:marRight w:val="0"/>
          <w:marTop w:val="0"/>
          <w:marBottom w:val="0"/>
          <w:divBdr>
            <w:top w:val="none" w:sz="0" w:space="0" w:color="auto"/>
            <w:left w:val="none" w:sz="0" w:space="0" w:color="auto"/>
            <w:bottom w:val="none" w:sz="0" w:space="0" w:color="auto"/>
            <w:right w:val="none" w:sz="0" w:space="0" w:color="auto"/>
          </w:divBdr>
        </w:div>
        <w:div w:id="177737140">
          <w:marLeft w:val="0"/>
          <w:marRight w:val="0"/>
          <w:marTop w:val="0"/>
          <w:marBottom w:val="0"/>
          <w:divBdr>
            <w:top w:val="none" w:sz="0" w:space="0" w:color="auto"/>
            <w:left w:val="none" w:sz="0" w:space="0" w:color="auto"/>
            <w:bottom w:val="none" w:sz="0" w:space="0" w:color="auto"/>
            <w:right w:val="none" w:sz="0" w:space="0" w:color="auto"/>
          </w:divBdr>
        </w:div>
      </w:divsChild>
    </w:div>
    <w:div w:id="1181894576">
      <w:bodyDiv w:val="1"/>
      <w:marLeft w:val="0"/>
      <w:marRight w:val="0"/>
      <w:marTop w:val="0"/>
      <w:marBottom w:val="0"/>
      <w:divBdr>
        <w:top w:val="none" w:sz="0" w:space="0" w:color="auto"/>
        <w:left w:val="none" w:sz="0" w:space="0" w:color="auto"/>
        <w:bottom w:val="none" w:sz="0" w:space="0" w:color="auto"/>
        <w:right w:val="none" w:sz="0" w:space="0" w:color="auto"/>
      </w:divBdr>
      <w:divsChild>
        <w:div w:id="877816031">
          <w:marLeft w:val="0"/>
          <w:marRight w:val="0"/>
          <w:marTop w:val="0"/>
          <w:marBottom w:val="0"/>
          <w:divBdr>
            <w:top w:val="none" w:sz="0" w:space="0" w:color="auto"/>
            <w:left w:val="none" w:sz="0" w:space="0" w:color="auto"/>
            <w:bottom w:val="none" w:sz="0" w:space="0" w:color="auto"/>
            <w:right w:val="none" w:sz="0" w:space="0" w:color="auto"/>
          </w:divBdr>
        </w:div>
        <w:div w:id="1675573823">
          <w:marLeft w:val="0"/>
          <w:marRight w:val="0"/>
          <w:marTop w:val="0"/>
          <w:marBottom w:val="0"/>
          <w:divBdr>
            <w:top w:val="none" w:sz="0" w:space="0" w:color="auto"/>
            <w:left w:val="none" w:sz="0" w:space="0" w:color="auto"/>
            <w:bottom w:val="none" w:sz="0" w:space="0" w:color="auto"/>
            <w:right w:val="none" w:sz="0" w:space="0" w:color="auto"/>
          </w:divBdr>
        </w:div>
        <w:div w:id="423958461">
          <w:marLeft w:val="0"/>
          <w:marRight w:val="0"/>
          <w:marTop w:val="0"/>
          <w:marBottom w:val="0"/>
          <w:divBdr>
            <w:top w:val="none" w:sz="0" w:space="0" w:color="auto"/>
            <w:left w:val="none" w:sz="0" w:space="0" w:color="auto"/>
            <w:bottom w:val="none" w:sz="0" w:space="0" w:color="auto"/>
            <w:right w:val="none" w:sz="0" w:space="0" w:color="auto"/>
          </w:divBdr>
        </w:div>
        <w:div w:id="852692577">
          <w:marLeft w:val="0"/>
          <w:marRight w:val="0"/>
          <w:marTop w:val="0"/>
          <w:marBottom w:val="0"/>
          <w:divBdr>
            <w:top w:val="none" w:sz="0" w:space="0" w:color="auto"/>
            <w:left w:val="none" w:sz="0" w:space="0" w:color="auto"/>
            <w:bottom w:val="none" w:sz="0" w:space="0" w:color="auto"/>
            <w:right w:val="none" w:sz="0" w:space="0" w:color="auto"/>
          </w:divBdr>
        </w:div>
        <w:div w:id="459615862">
          <w:marLeft w:val="0"/>
          <w:marRight w:val="0"/>
          <w:marTop w:val="0"/>
          <w:marBottom w:val="0"/>
          <w:divBdr>
            <w:top w:val="none" w:sz="0" w:space="0" w:color="auto"/>
            <w:left w:val="none" w:sz="0" w:space="0" w:color="auto"/>
            <w:bottom w:val="none" w:sz="0" w:space="0" w:color="auto"/>
            <w:right w:val="none" w:sz="0" w:space="0" w:color="auto"/>
          </w:divBdr>
        </w:div>
        <w:div w:id="1819616624">
          <w:marLeft w:val="0"/>
          <w:marRight w:val="0"/>
          <w:marTop w:val="0"/>
          <w:marBottom w:val="0"/>
          <w:divBdr>
            <w:top w:val="none" w:sz="0" w:space="0" w:color="auto"/>
            <w:left w:val="none" w:sz="0" w:space="0" w:color="auto"/>
            <w:bottom w:val="none" w:sz="0" w:space="0" w:color="auto"/>
            <w:right w:val="none" w:sz="0" w:space="0" w:color="auto"/>
          </w:divBdr>
        </w:div>
      </w:divsChild>
    </w:div>
    <w:div w:id="2004887878">
      <w:bodyDiv w:val="1"/>
      <w:marLeft w:val="0"/>
      <w:marRight w:val="0"/>
      <w:marTop w:val="0"/>
      <w:marBottom w:val="0"/>
      <w:divBdr>
        <w:top w:val="none" w:sz="0" w:space="0" w:color="auto"/>
        <w:left w:val="none" w:sz="0" w:space="0" w:color="auto"/>
        <w:bottom w:val="none" w:sz="0" w:space="0" w:color="auto"/>
        <w:right w:val="none" w:sz="0" w:space="0" w:color="auto"/>
      </w:divBdr>
      <w:divsChild>
        <w:div w:id="1288512125">
          <w:marLeft w:val="0"/>
          <w:marRight w:val="0"/>
          <w:marTop w:val="0"/>
          <w:marBottom w:val="0"/>
          <w:divBdr>
            <w:top w:val="none" w:sz="0" w:space="0" w:color="auto"/>
            <w:left w:val="none" w:sz="0" w:space="0" w:color="auto"/>
            <w:bottom w:val="none" w:sz="0" w:space="0" w:color="auto"/>
            <w:right w:val="none" w:sz="0" w:space="0" w:color="auto"/>
          </w:divBdr>
        </w:div>
        <w:div w:id="956526570">
          <w:marLeft w:val="0"/>
          <w:marRight w:val="0"/>
          <w:marTop w:val="0"/>
          <w:marBottom w:val="0"/>
          <w:divBdr>
            <w:top w:val="none" w:sz="0" w:space="0" w:color="auto"/>
            <w:left w:val="none" w:sz="0" w:space="0" w:color="auto"/>
            <w:bottom w:val="none" w:sz="0" w:space="0" w:color="auto"/>
            <w:right w:val="none" w:sz="0" w:space="0" w:color="auto"/>
          </w:divBdr>
        </w:div>
        <w:div w:id="2144276185">
          <w:marLeft w:val="0"/>
          <w:marRight w:val="0"/>
          <w:marTop w:val="0"/>
          <w:marBottom w:val="0"/>
          <w:divBdr>
            <w:top w:val="none" w:sz="0" w:space="0" w:color="auto"/>
            <w:left w:val="none" w:sz="0" w:space="0" w:color="auto"/>
            <w:bottom w:val="none" w:sz="0" w:space="0" w:color="auto"/>
            <w:right w:val="none" w:sz="0" w:space="0" w:color="auto"/>
          </w:divBdr>
        </w:div>
        <w:div w:id="386338468">
          <w:marLeft w:val="0"/>
          <w:marRight w:val="0"/>
          <w:marTop w:val="0"/>
          <w:marBottom w:val="0"/>
          <w:divBdr>
            <w:top w:val="none" w:sz="0" w:space="0" w:color="auto"/>
            <w:left w:val="none" w:sz="0" w:space="0" w:color="auto"/>
            <w:bottom w:val="none" w:sz="0" w:space="0" w:color="auto"/>
            <w:right w:val="none" w:sz="0" w:space="0" w:color="auto"/>
          </w:divBdr>
        </w:div>
        <w:div w:id="963386603">
          <w:marLeft w:val="0"/>
          <w:marRight w:val="0"/>
          <w:marTop w:val="0"/>
          <w:marBottom w:val="0"/>
          <w:divBdr>
            <w:top w:val="none" w:sz="0" w:space="0" w:color="auto"/>
            <w:left w:val="none" w:sz="0" w:space="0" w:color="auto"/>
            <w:bottom w:val="none" w:sz="0" w:space="0" w:color="auto"/>
            <w:right w:val="none" w:sz="0" w:space="0" w:color="auto"/>
          </w:divBdr>
        </w:div>
        <w:div w:id="2063138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image" Target="media/image7.jpe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image" Target="media/image6.jpe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image" Target="media/image10.jpeg"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5.jpeg" Id="rId11" /><Relationship Type="http://schemas.openxmlformats.org/officeDocument/2006/relationships/settings" Target="settings.xml" Id="rId5" /><Relationship Type="http://schemas.openxmlformats.org/officeDocument/2006/relationships/image" Target="media/image9.jpeg" Id="rId15" /><Relationship Type="http://schemas.openxmlformats.org/officeDocument/2006/relationships/image" Target="media/image4.jpeg" Id="rId10" /><Relationship Type="http://schemas.openxmlformats.org/officeDocument/2006/relationships/styles" Target="styles.xml" Id="rId4" /><Relationship Type="http://schemas.openxmlformats.org/officeDocument/2006/relationships/image" Target="media/image3.jpeg" Id="rId9" /><Relationship Type="http://schemas.openxmlformats.org/officeDocument/2006/relationships/image" Target="media/image8.jpe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9377787A7F94489E43ADF488C4C711" ma:contentTypeVersion="14" ma:contentTypeDescription="Create a new document." ma:contentTypeScope="" ma:versionID="0785acc148a8d7899148a68c9c22b10b">
  <xsd:schema xmlns:xsd="http://www.w3.org/2001/XMLSchema" xmlns:xs="http://www.w3.org/2001/XMLSchema" xmlns:p="http://schemas.microsoft.com/office/2006/metadata/properties" xmlns:ns2="015f258e-9bc0-4fc1-a490-fec2496cea09" xmlns:ns3="f7ac2657-544d-4639-9068-77b44170b057" targetNamespace="http://schemas.microsoft.com/office/2006/metadata/properties" ma:root="true" ma:fieldsID="a6b7fe7a790b343bd19d13da77416936" ns2:_="" ns3:_="">
    <xsd:import namespace="015f258e-9bc0-4fc1-a490-fec2496cea09"/>
    <xsd:import namespace="f7ac2657-544d-4639-9068-77b44170b0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f258e-9bc0-4fc1-a490-fec2496ce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ac2657-544d-4639-9068-77b44170b0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3d9e21-7c36-4002-881d-0cb04247a2d0}" ma:internalName="TaxCatchAll" ma:showField="CatchAllData" ma:web="f7ac2657-544d-4639-9068-77b44170b0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f258e-9bc0-4fc1-a490-fec2496cea09">
      <Terms xmlns="http://schemas.microsoft.com/office/infopath/2007/PartnerControls"/>
    </lcf76f155ced4ddcb4097134ff3c332f>
    <TaxCatchAll xmlns="f7ac2657-544d-4639-9068-77b44170b057" xsi:nil="true"/>
  </documentManagement>
</p:properties>
</file>

<file path=customXml/itemProps1.xml><?xml version="1.0" encoding="utf-8"?>
<ds:datastoreItem xmlns:ds="http://schemas.openxmlformats.org/officeDocument/2006/customXml" ds:itemID="{4AAF0A77-DF6A-428A-81EE-E71C09A2F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f258e-9bc0-4fc1-a490-fec2496cea09"/>
    <ds:schemaRef ds:uri="f7ac2657-544d-4639-9068-77b44170b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8266E3-51E0-4A76-A025-E4C60D20DAD1}">
  <ds:schemaRefs>
    <ds:schemaRef ds:uri="http://schemas.microsoft.com/sharepoint/v3/contenttype/forms"/>
  </ds:schemaRefs>
</ds:datastoreItem>
</file>

<file path=customXml/itemProps3.xml><?xml version="1.0" encoding="utf-8"?>
<ds:datastoreItem xmlns:ds="http://schemas.openxmlformats.org/officeDocument/2006/customXml" ds:itemID="{A9894BCE-EA5E-4459-AABF-B0A65CA598CF}">
  <ds:schemaRefs>
    <ds:schemaRef ds:uri="http://purl.org/dc/dcmitype/"/>
    <ds:schemaRef ds:uri="015f258e-9bc0-4fc1-a490-fec2496cea09"/>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f7ac2657-544d-4639-9068-77b44170b05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Hurley-Wallace</dc:creator>
  <keywords/>
  <dc:description/>
  <lastModifiedBy>Anna Hurley-Wallace</lastModifiedBy>
  <revision>4</revision>
  <dcterms:created xsi:type="dcterms:W3CDTF">2025-10-02T16:16:00.0000000Z</dcterms:created>
  <dcterms:modified xsi:type="dcterms:W3CDTF">2025-10-14T11:33:55.3340029Z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0x010100259377787A7F94489E43ADF488C4C711</vt:lpwstr>
  </property>
  <property fmtid="{D5CDD505-2E9C-101B-9397-08002B2CF9AE}" pid="3" name="MediaServiceImageTags">
    <vt:lpwstr/>
  </property>
</Properties>
</file>