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DD01E" w14:textId="77777777" w:rsidR="001679DD" w:rsidRPr="0048740D" w:rsidRDefault="001679DD" w:rsidP="001679DD">
      <w:pPr>
        <w:rPr>
          <w:rFonts w:eastAsia="Aptos"/>
          <w:b/>
          <w:bCs/>
          <w:color w:val="000000" w:themeColor="text1"/>
          <w:sz w:val="22"/>
          <w:szCs w:val="22"/>
        </w:rPr>
      </w:pPr>
      <w:r w:rsidRPr="0048740D">
        <w:rPr>
          <w:rFonts w:eastAsia="Aptos"/>
          <w:b/>
          <w:bCs/>
          <w:color w:val="000000" w:themeColor="text1"/>
          <w:sz w:val="22"/>
          <w:szCs w:val="22"/>
        </w:rPr>
        <w:t>Supplementary Table 1. Quality Assessment for Randomized Control Trials (RCTs) Based on Cochrane Risk of Bias Tool.</w:t>
      </w:r>
    </w:p>
    <w:tbl>
      <w:tblPr>
        <w:tblStyle w:val="TableGrid"/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3165"/>
        <w:gridCol w:w="3165"/>
        <w:gridCol w:w="3165"/>
      </w:tblGrid>
      <w:tr w:rsidR="001679DD" w:rsidRPr="0053126E" w14:paraId="26F3BEAB" w14:textId="77777777" w:rsidTr="002240E4">
        <w:trPr>
          <w:trHeight w:val="765"/>
          <w:jc w:val="center"/>
        </w:trPr>
        <w:tc>
          <w:tcPr>
            <w:tcW w:w="3165" w:type="dxa"/>
            <w:tcMar>
              <w:left w:w="105" w:type="dxa"/>
              <w:right w:w="105" w:type="dxa"/>
            </w:tcMar>
          </w:tcPr>
          <w:p w14:paraId="0385E299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  <w:t>Criteria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4252B6F0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  <w:t>Murphy (2014)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7A40E73B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  <w:t>Judgement</w:t>
            </w:r>
          </w:p>
        </w:tc>
      </w:tr>
      <w:tr w:rsidR="001679DD" w:rsidRPr="0053126E" w14:paraId="7D6F1BDD" w14:textId="77777777" w:rsidTr="002240E4">
        <w:trPr>
          <w:trHeight w:val="765"/>
          <w:jc w:val="center"/>
        </w:trPr>
        <w:tc>
          <w:tcPr>
            <w:tcW w:w="3165" w:type="dxa"/>
            <w:tcMar>
              <w:left w:w="105" w:type="dxa"/>
              <w:right w:w="105" w:type="dxa"/>
            </w:tcMar>
          </w:tcPr>
          <w:p w14:paraId="6FE65FBD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  <w:t>Was the allocation sequence generated adequately?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73F3C9A5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</w:p>
          <w:p w14:paraId="6A8BC609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color w:val="404040" w:themeColor="text1" w:themeTint="BF"/>
                <w:sz w:val="22"/>
                <w:szCs w:val="22"/>
              </w:rPr>
              <w:t>Yes (Randomized)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0F39344B" w14:textId="77777777" w:rsidR="001679DD" w:rsidRPr="0053126E" w:rsidRDefault="001679DD" w:rsidP="002240E4">
            <w:pPr>
              <w:jc w:val="center"/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</w:pPr>
          </w:p>
          <w:p w14:paraId="2097DFBD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  <w:t>Low risk</w:t>
            </w:r>
          </w:p>
        </w:tc>
      </w:tr>
      <w:tr w:rsidR="001679DD" w:rsidRPr="0053126E" w14:paraId="788CE325" w14:textId="77777777" w:rsidTr="002240E4">
        <w:trPr>
          <w:trHeight w:val="765"/>
          <w:jc w:val="center"/>
        </w:trPr>
        <w:tc>
          <w:tcPr>
            <w:tcW w:w="3165" w:type="dxa"/>
            <w:tcMar>
              <w:left w:w="105" w:type="dxa"/>
              <w:right w:w="105" w:type="dxa"/>
            </w:tcMar>
          </w:tcPr>
          <w:p w14:paraId="2A8CF50F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  <w:t>Was the allocation of treatment adequately concealed?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7CA1F904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</w:p>
          <w:p w14:paraId="6CDB13F9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color w:val="404040" w:themeColor="text1" w:themeTint="BF"/>
                <w:sz w:val="22"/>
                <w:szCs w:val="22"/>
              </w:rPr>
              <w:t>Yes (Concealed until enrollment)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2B9A2B86" w14:textId="77777777" w:rsidR="001679DD" w:rsidRPr="0053126E" w:rsidRDefault="001679DD" w:rsidP="002240E4">
            <w:pPr>
              <w:jc w:val="center"/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</w:pPr>
          </w:p>
          <w:p w14:paraId="54847517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  <w:t>Low risk</w:t>
            </w:r>
          </w:p>
        </w:tc>
      </w:tr>
      <w:tr w:rsidR="001679DD" w:rsidRPr="0053126E" w14:paraId="30A956A0" w14:textId="77777777" w:rsidTr="002240E4">
        <w:trPr>
          <w:trHeight w:val="765"/>
          <w:jc w:val="center"/>
        </w:trPr>
        <w:tc>
          <w:tcPr>
            <w:tcW w:w="3165" w:type="dxa"/>
            <w:tcMar>
              <w:left w:w="105" w:type="dxa"/>
              <w:right w:w="105" w:type="dxa"/>
            </w:tcMar>
          </w:tcPr>
          <w:p w14:paraId="4FF302F1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  <w:t>Did researchers rule out unintended exposure that might bias results?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38C4C52C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</w:p>
          <w:p w14:paraId="6FCCF8DB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color w:val="404040" w:themeColor="text1" w:themeTint="BF"/>
                <w:sz w:val="22"/>
                <w:szCs w:val="22"/>
              </w:rPr>
              <w:t>Yes (Standardized surgical protocol)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2573DB87" w14:textId="77777777" w:rsidR="001679DD" w:rsidRPr="0053126E" w:rsidRDefault="001679DD" w:rsidP="002240E4">
            <w:pPr>
              <w:jc w:val="center"/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</w:pPr>
          </w:p>
          <w:p w14:paraId="68B98828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  <w:t>Low risk</w:t>
            </w:r>
          </w:p>
        </w:tc>
      </w:tr>
      <w:tr w:rsidR="001679DD" w:rsidRPr="0053126E" w14:paraId="0E5F645D" w14:textId="77777777" w:rsidTr="002240E4">
        <w:trPr>
          <w:trHeight w:val="765"/>
          <w:jc w:val="center"/>
        </w:trPr>
        <w:tc>
          <w:tcPr>
            <w:tcW w:w="3165" w:type="dxa"/>
            <w:tcMar>
              <w:left w:w="105" w:type="dxa"/>
              <w:right w:w="105" w:type="dxa"/>
            </w:tcMar>
          </w:tcPr>
          <w:p w14:paraId="6B6D07C5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  <w:t>Were participants analyzed per original assignment (ITT)?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50D013FD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</w:p>
          <w:p w14:paraId="599BC1AD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color w:val="404040" w:themeColor="text1" w:themeTint="BF"/>
                <w:sz w:val="22"/>
                <w:szCs w:val="22"/>
              </w:rPr>
              <w:t>Yes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4761F1D9" w14:textId="77777777" w:rsidR="001679DD" w:rsidRPr="0053126E" w:rsidRDefault="001679DD" w:rsidP="002240E4">
            <w:pPr>
              <w:jc w:val="center"/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</w:pPr>
          </w:p>
          <w:p w14:paraId="1387F02B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  <w:t>Low risk</w:t>
            </w:r>
          </w:p>
          <w:p w14:paraId="61156F65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</w:p>
        </w:tc>
      </w:tr>
      <w:tr w:rsidR="001679DD" w:rsidRPr="0053126E" w14:paraId="613D47AB" w14:textId="77777777" w:rsidTr="002240E4">
        <w:trPr>
          <w:trHeight w:val="765"/>
          <w:jc w:val="center"/>
        </w:trPr>
        <w:tc>
          <w:tcPr>
            <w:tcW w:w="3165" w:type="dxa"/>
            <w:tcMar>
              <w:left w:w="105" w:type="dxa"/>
              <w:right w:w="105" w:type="dxa"/>
            </w:tcMar>
          </w:tcPr>
          <w:p w14:paraId="7C9A021F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  <w:t>Was the length of follow-up different between groups?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3B506443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</w:p>
          <w:p w14:paraId="162321B4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color w:val="404040" w:themeColor="text1" w:themeTint="BF"/>
                <w:sz w:val="22"/>
                <w:szCs w:val="22"/>
              </w:rPr>
              <w:t>No (1 year for all)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5CD0B52E" w14:textId="77777777" w:rsidR="001679DD" w:rsidRPr="0053126E" w:rsidRDefault="001679DD" w:rsidP="002240E4">
            <w:pPr>
              <w:jc w:val="center"/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</w:pPr>
          </w:p>
          <w:p w14:paraId="4DC387CB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  <w:t>Low risk</w:t>
            </w:r>
          </w:p>
        </w:tc>
      </w:tr>
      <w:tr w:rsidR="001679DD" w:rsidRPr="0053126E" w14:paraId="2B927484" w14:textId="77777777" w:rsidTr="002240E4">
        <w:trPr>
          <w:trHeight w:val="765"/>
          <w:jc w:val="center"/>
        </w:trPr>
        <w:tc>
          <w:tcPr>
            <w:tcW w:w="3165" w:type="dxa"/>
            <w:tcMar>
              <w:left w:w="105" w:type="dxa"/>
              <w:right w:w="105" w:type="dxa"/>
            </w:tcMar>
          </w:tcPr>
          <w:p w14:paraId="06F34B8F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  <w:t>Were outcome assessors blinded to intervention status?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3EA657A9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</w:p>
          <w:p w14:paraId="0E7DB667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color w:val="404040" w:themeColor="text1" w:themeTint="BF"/>
                <w:sz w:val="22"/>
                <w:szCs w:val="22"/>
              </w:rPr>
              <w:t>Yes (Blinded assessors)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07CB5641" w14:textId="77777777" w:rsidR="001679DD" w:rsidRPr="0053126E" w:rsidRDefault="001679DD" w:rsidP="002240E4">
            <w:pPr>
              <w:jc w:val="center"/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</w:pPr>
          </w:p>
          <w:p w14:paraId="1EB89E02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  <w:t>Low risk</w:t>
            </w:r>
          </w:p>
        </w:tc>
      </w:tr>
      <w:tr w:rsidR="001679DD" w:rsidRPr="0053126E" w14:paraId="092E9FFD" w14:textId="77777777" w:rsidTr="002240E4">
        <w:trPr>
          <w:trHeight w:val="765"/>
          <w:jc w:val="center"/>
        </w:trPr>
        <w:tc>
          <w:tcPr>
            <w:tcW w:w="3165" w:type="dxa"/>
            <w:tcMar>
              <w:left w:w="105" w:type="dxa"/>
              <w:right w:w="105" w:type="dxa"/>
            </w:tcMar>
          </w:tcPr>
          <w:p w14:paraId="2C8CB1DD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  <w:t>Were pre-specified outcomes reported?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2C9030D2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</w:p>
          <w:p w14:paraId="32ADB158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color w:val="404040" w:themeColor="text1" w:themeTint="BF"/>
                <w:sz w:val="22"/>
                <w:szCs w:val="22"/>
              </w:rPr>
              <w:t>Yes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4C795AA1" w14:textId="77777777" w:rsidR="001679DD" w:rsidRPr="0053126E" w:rsidRDefault="001679DD" w:rsidP="002240E4">
            <w:pPr>
              <w:jc w:val="center"/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</w:pPr>
          </w:p>
          <w:p w14:paraId="6696AE46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  <w:t>Low risk</w:t>
            </w:r>
          </w:p>
          <w:p w14:paraId="3DA8A0D3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</w:p>
        </w:tc>
      </w:tr>
      <w:tr w:rsidR="001679DD" w:rsidRPr="0053126E" w14:paraId="22D75C00" w14:textId="77777777" w:rsidTr="002240E4">
        <w:trPr>
          <w:trHeight w:val="765"/>
          <w:jc w:val="center"/>
        </w:trPr>
        <w:tc>
          <w:tcPr>
            <w:tcW w:w="3165" w:type="dxa"/>
            <w:tcMar>
              <w:left w:w="105" w:type="dxa"/>
              <w:right w:w="105" w:type="dxa"/>
            </w:tcMar>
          </w:tcPr>
          <w:p w14:paraId="5CBC5E83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proofErr w:type="spellStart"/>
            <w:r w:rsidRPr="0053126E"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  <w:t>Were</w:t>
            </w:r>
            <w:proofErr w:type="spellEnd"/>
            <w:r w:rsidRPr="0053126E"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  <w:t xml:space="preserve"> missing data handled appropriately?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4182AADF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</w:p>
          <w:p w14:paraId="4CE1FA56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color w:val="404040" w:themeColor="text1" w:themeTint="BF"/>
                <w:sz w:val="22"/>
                <w:szCs w:val="22"/>
              </w:rPr>
              <w:t>Yes (Linear mixed model used; attrition unlikely to bias results)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144DA078" w14:textId="77777777" w:rsidR="001679DD" w:rsidRPr="0053126E" w:rsidRDefault="001679DD" w:rsidP="002240E4">
            <w:pPr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</w:pPr>
          </w:p>
          <w:p w14:paraId="0111CC4D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  <w:t>Low risk</w:t>
            </w:r>
          </w:p>
        </w:tc>
      </w:tr>
      <w:tr w:rsidR="001679DD" w:rsidRPr="0053126E" w14:paraId="3C2004F8" w14:textId="77777777" w:rsidTr="002240E4">
        <w:trPr>
          <w:trHeight w:val="765"/>
          <w:jc w:val="center"/>
        </w:trPr>
        <w:tc>
          <w:tcPr>
            <w:tcW w:w="3165" w:type="dxa"/>
            <w:tcMar>
              <w:left w:w="105" w:type="dxa"/>
              <w:right w:w="105" w:type="dxa"/>
            </w:tcMar>
          </w:tcPr>
          <w:p w14:paraId="3AF11E0E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  <w:t>Were outcomes assessed using valid/reliable measures?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4F1ACAF3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</w:p>
          <w:p w14:paraId="51E8B5ED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color w:val="404040" w:themeColor="text1" w:themeTint="BF"/>
                <w:sz w:val="22"/>
                <w:szCs w:val="22"/>
              </w:rPr>
              <w:t>Yes (WOMAC, SF-12, ROM measured consistently)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67982348" w14:textId="77777777" w:rsidR="001679DD" w:rsidRPr="0053126E" w:rsidRDefault="001679DD" w:rsidP="002240E4">
            <w:pPr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</w:pPr>
          </w:p>
          <w:p w14:paraId="528E675C" w14:textId="77777777" w:rsidR="001679DD" w:rsidRPr="0053126E" w:rsidRDefault="001679DD" w:rsidP="002240E4">
            <w:pPr>
              <w:jc w:val="center"/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  <w:t>Low risk</w:t>
            </w:r>
          </w:p>
        </w:tc>
      </w:tr>
      <w:tr w:rsidR="001679DD" w:rsidRPr="0053126E" w14:paraId="3483F4A2" w14:textId="77777777" w:rsidTr="002240E4">
        <w:trPr>
          <w:trHeight w:val="765"/>
          <w:jc w:val="center"/>
        </w:trPr>
        <w:tc>
          <w:tcPr>
            <w:tcW w:w="3165" w:type="dxa"/>
            <w:tcMar>
              <w:left w:w="105" w:type="dxa"/>
              <w:right w:w="105" w:type="dxa"/>
            </w:tcMar>
          </w:tcPr>
          <w:p w14:paraId="336B820D" w14:textId="77777777" w:rsidR="001679DD" w:rsidRPr="0053126E" w:rsidRDefault="001679DD" w:rsidP="002240E4">
            <w:pPr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  <w:t>Overall risk of bias judgement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3E68EC0A" w14:textId="77777777" w:rsidR="001679DD" w:rsidRPr="0053126E" w:rsidRDefault="001679DD" w:rsidP="002240E4">
            <w:pPr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  <w:t>Low risk of bias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5A3401C4" w14:textId="77777777" w:rsidR="001679DD" w:rsidRPr="0053126E" w:rsidRDefault="001679DD" w:rsidP="002240E4">
            <w:pPr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  <w:r w:rsidRPr="0053126E">
              <w:rPr>
                <w:rFonts w:eastAsia="system-ui"/>
                <w:b/>
                <w:bCs/>
                <w:color w:val="404040" w:themeColor="text1" w:themeTint="BF"/>
                <w:sz w:val="22"/>
                <w:szCs w:val="22"/>
              </w:rPr>
              <w:t>Low risk</w:t>
            </w:r>
          </w:p>
          <w:p w14:paraId="183496A5" w14:textId="77777777" w:rsidR="001679DD" w:rsidRPr="0053126E" w:rsidRDefault="001679DD" w:rsidP="002240E4">
            <w:pPr>
              <w:rPr>
                <w:rFonts w:eastAsia="system-ui"/>
                <w:color w:val="404040" w:themeColor="text1" w:themeTint="BF"/>
                <w:sz w:val="22"/>
                <w:szCs w:val="22"/>
              </w:rPr>
            </w:pPr>
          </w:p>
        </w:tc>
      </w:tr>
    </w:tbl>
    <w:p w14:paraId="454CC9A3" w14:textId="77777777" w:rsidR="001679DD" w:rsidRPr="0053126E" w:rsidRDefault="001679DD" w:rsidP="001679DD">
      <w:pPr>
        <w:spacing w:before="240" w:after="240"/>
        <w:ind w:left="720"/>
        <w:rPr>
          <w:rFonts w:eastAsia="Aptos"/>
          <w:color w:val="000000" w:themeColor="text1"/>
          <w:sz w:val="22"/>
          <w:szCs w:val="22"/>
        </w:rPr>
      </w:pPr>
    </w:p>
    <w:p w14:paraId="325176D3" w14:textId="77777777" w:rsidR="00B33FC8" w:rsidRDefault="00B33FC8"/>
    <w:p w14:paraId="595B0EE4" w14:textId="77777777" w:rsidR="001679DD" w:rsidRDefault="001679DD"/>
    <w:p w14:paraId="4CC04019" w14:textId="79600018" w:rsidR="001679DD" w:rsidRDefault="001679DD">
      <w:pPr>
        <w:spacing w:after="160" w:line="278" w:lineRule="auto"/>
      </w:pPr>
      <w:r>
        <w:br w:type="page"/>
      </w:r>
    </w:p>
    <w:p w14:paraId="72F096E5" w14:textId="77777777" w:rsidR="001679DD" w:rsidRDefault="001679DD"/>
    <w:p w14:paraId="70741325" w14:textId="77777777" w:rsidR="001679DD" w:rsidRPr="0048740D" w:rsidRDefault="001679DD" w:rsidP="001679DD">
      <w:pPr>
        <w:spacing w:before="240" w:after="240" w:line="230" w:lineRule="auto"/>
        <w:rPr>
          <w:rFonts w:eastAsia="Aptos"/>
          <w:b/>
          <w:bCs/>
          <w:color w:val="000000" w:themeColor="text1"/>
          <w:sz w:val="22"/>
          <w:szCs w:val="22"/>
        </w:rPr>
      </w:pPr>
      <w:r w:rsidRPr="0048740D">
        <w:rPr>
          <w:rFonts w:eastAsia="Aptos"/>
          <w:b/>
          <w:bCs/>
          <w:color w:val="000000" w:themeColor="text1"/>
          <w:sz w:val="22"/>
          <w:szCs w:val="22"/>
        </w:rPr>
        <w:t>Supplementary Table 2. Newcastle-Ottawa Scale Criteria for Observational Studies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  <w:gridCol w:w="745"/>
      </w:tblGrid>
      <w:tr w:rsidR="001679DD" w:rsidRPr="0053126E" w14:paraId="70C9809D" w14:textId="77777777" w:rsidTr="002240E4">
        <w:trPr>
          <w:trHeight w:val="1455"/>
        </w:trPr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0F5B7E" w14:textId="77777777" w:rsidR="001679DD" w:rsidRPr="0053126E" w:rsidRDefault="001679DD" w:rsidP="002240E4">
            <w:pPr>
              <w:jc w:val="center"/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b/>
                <w:bCs/>
                <w:sz w:val="22"/>
                <w:szCs w:val="22"/>
              </w:rPr>
              <w:t>NOS Criterion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35BD93" w14:textId="77777777" w:rsidR="001679DD" w:rsidRPr="0053126E" w:rsidRDefault="001679DD" w:rsidP="002240E4">
            <w:pPr>
              <w:jc w:val="center"/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b/>
                <w:bCs/>
                <w:sz w:val="22"/>
                <w:szCs w:val="22"/>
              </w:rPr>
              <w:t>Guruprasad (2023)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B69136" w14:textId="77777777" w:rsidR="001679DD" w:rsidRPr="0053126E" w:rsidRDefault="001679DD" w:rsidP="002240E4">
            <w:pPr>
              <w:jc w:val="center"/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b/>
                <w:bCs/>
                <w:sz w:val="22"/>
                <w:szCs w:val="22"/>
              </w:rPr>
              <w:t>Haikal (2025)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ED922C" w14:textId="77777777" w:rsidR="001679DD" w:rsidRPr="0053126E" w:rsidRDefault="001679DD" w:rsidP="002240E4">
            <w:pPr>
              <w:jc w:val="center"/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b/>
                <w:bCs/>
                <w:sz w:val="22"/>
                <w:szCs w:val="22"/>
              </w:rPr>
              <w:t>Kim (2014)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0D5563" w14:textId="77777777" w:rsidR="001679DD" w:rsidRPr="0053126E" w:rsidRDefault="001679DD" w:rsidP="002240E4">
            <w:pPr>
              <w:jc w:val="center"/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b/>
                <w:bCs/>
                <w:sz w:val="22"/>
                <w:szCs w:val="22"/>
              </w:rPr>
              <w:t>Li (2023)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9181AC" w14:textId="77777777" w:rsidR="001679DD" w:rsidRPr="0053126E" w:rsidRDefault="001679DD" w:rsidP="002240E4">
            <w:pPr>
              <w:jc w:val="center"/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b/>
                <w:bCs/>
                <w:sz w:val="22"/>
                <w:szCs w:val="22"/>
              </w:rPr>
              <w:t>Nishitani (2020)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285AA1" w14:textId="77777777" w:rsidR="001679DD" w:rsidRPr="0053126E" w:rsidRDefault="001679DD" w:rsidP="002240E4">
            <w:pPr>
              <w:jc w:val="center"/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b/>
                <w:bCs/>
                <w:sz w:val="22"/>
                <w:szCs w:val="22"/>
              </w:rPr>
              <w:t>Okamoto (2019)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29C6B4" w14:textId="77777777" w:rsidR="001679DD" w:rsidRPr="0053126E" w:rsidRDefault="001679DD" w:rsidP="002240E4">
            <w:pPr>
              <w:jc w:val="center"/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b/>
                <w:bCs/>
                <w:sz w:val="22"/>
                <w:szCs w:val="22"/>
              </w:rPr>
              <w:t>Scott (2019)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B8B6AB" w14:textId="77777777" w:rsidR="001679DD" w:rsidRPr="0053126E" w:rsidRDefault="001679DD" w:rsidP="002240E4">
            <w:pPr>
              <w:jc w:val="center"/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b/>
                <w:bCs/>
                <w:sz w:val="22"/>
                <w:szCs w:val="22"/>
              </w:rPr>
              <w:t>Zhou (2023)</w:t>
            </w:r>
          </w:p>
        </w:tc>
        <w:tc>
          <w:tcPr>
            <w:tcW w:w="7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447857" w14:textId="77777777" w:rsidR="001679DD" w:rsidRPr="0053126E" w:rsidRDefault="001679DD" w:rsidP="002240E4">
            <w:pPr>
              <w:jc w:val="center"/>
              <w:rPr>
                <w:rFonts w:eastAsia="Aptos"/>
                <w:sz w:val="22"/>
                <w:szCs w:val="22"/>
              </w:rPr>
            </w:pPr>
            <w:proofErr w:type="spellStart"/>
            <w:r w:rsidRPr="0053126E">
              <w:rPr>
                <w:rFonts w:eastAsia="Aptos"/>
                <w:b/>
                <w:bCs/>
                <w:sz w:val="22"/>
                <w:szCs w:val="22"/>
              </w:rPr>
              <w:t>Mulpur</w:t>
            </w:r>
            <w:proofErr w:type="spellEnd"/>
            <w:r w:rsidRPr="0053126E">
              <w:rPr>
                <w:rFonts w:eastAsia="Aptos"/>
                <w:b/>
                <w:bCs/>
                <w:sz w:val="22"/>
                <w:szCs w:val="22"/>
              </w:rPr>
              <w:t xml:space="preserve"> (2025)</w:t>
            </w:r>
          </w:p>
        </w:tc>
      </w:tr>
      <w:tr w:rsidR="001679DD" w:rsidRPr="0053126E" w14:paraId="2E40DDFE" w14:textId="77777777" w:rsidTr="002240E4">
        <w:trPr>
          <w:trHeight w:val="1455"/>
        </w:trPr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57ED29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Representativeness of Exposed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322DEA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1832C3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604AFD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29B82F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8BA89C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D031BA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108A3A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93D539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7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67B2BE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</w:tr>
      <w:tr w:rsidR="001679DD" w:rsidRPr="0053126E" w14:paraId="57FED7BB" w14:textId="77777777" w:rsidTr="002240E4">
        <w:trPr>
          <w:trHeight w:val="1455"/>
        </w:trPr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91313E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 xml:space="preserve">Selection of </w:t>
            </w:r>
            <w:proofErr w:type="gramStart"/>
            <w:r w:rsidRPr="0053126E">
              <w:rPr>
                <w:rFonts w:eastAsia="Aptos"/>
                <w:sz w:val="22"/>
                <w:szCs w:val="22"/>
              </w:rPr>
              <w:t>Non-Exposed</w:t>
            </w:r>
            <w:proofErr w:type="gramEnd"/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1AD471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54C060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650E1A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DAAC39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0DEA0F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D93C1C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E3BEE9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1FC816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7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4BCCDB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</w:tr>
      <w:tr w:rsidR="001679DD" w:rsidRPr="0053126E" w14:paraId="0275744F" w14:textId="77777777" w:rsidTr="002240E4">
        <w:trPr>
          <w:trHeight w:val="1455"/>
        </w:trPr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A70988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Ascertainment of Exposure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259620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FD1CCD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468969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12700B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6102E0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B84404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16026E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67F98C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7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DD438E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</w:tr>
      <w:tr w:rsidR="001679DD" w:rsidRPr="0053126E" w14:paraId="587F3AB2" w14:textId="77777777" w:rsidTr="002240E4">
        <w:trPr>
          <w:trHeight w:val="1455"/>
        </w:trPr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FBA661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Outcome Absent at Start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2AD379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FF9981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B0CDD1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D4B09B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0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87F084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22D95C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F97D5B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0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4AEB37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7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2E910C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</w:tr>
      <w:tr w:rsidR="001679DD" w:rsidRPr="0053126E" w14:paraId="1CB316E2" w14:textId="77777777" w:rsidTr="002240E4">
        <w:trPr>
          <w:trHeight w:val="1455"/>
        </w:trPr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FBA77E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Comparability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5544AC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0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38414B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0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2DA6AC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2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5FF8D0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0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D925CB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0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8BBB9B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2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A9017F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0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AB5D53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0</w:t>
            </w:r>
          </w:p>
        </w:tc>
        <w:tc>
          <w:tcPr>
            <w:tcW w:w="7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27FA1D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0</w:t>
            </w:r>
          </w:p>
        </w:tc>
      </w:tr>
      <w:tr w:rsidR="001679DD" w:rsidRPr="0053126E" w14:paraId="148184B0" w14:textId="77777777" w:rsidTr="002240E4">
        <w:trPr>
          <w:trHeight w:val="1455"/>
        </w:trPr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81A89B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lastRenderedPageBreak/>
              <w:t>Assessment of Outcome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2E073F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2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D8B390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2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6D4D37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3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380FC6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2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C1DBC5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190149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0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533CF0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2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55A0EC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3</w:t>
            </w:r>
          </w:p>
        </w:tc>
        <w:tc>
          <w:tcPr>
            <w:tcW w:w="7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0B607E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</w:tr>
      <w:tr w:rsidR="001679DD" w:rsidRPr="0053126E" w14:paraId="3B5B74F5" w14:textId="77777777" w:rsidTr="002240E4">
        <w:trPr>
          <w:trHeight w:val="1455"/>
        </w:trPr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CC0F48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Follow-up Length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731199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770F9F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9F15F7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1A57FC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AE1B50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5AB1D1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646C07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911EDD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7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59C15B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</w:tr>
      <w:tr w:rsidR="001679DD" w:rsidRPr="0053126E" w14:paraId="3E272D16" w14:textId="77777777" w:rsidTr="002240E4">
        <w:trPr>
          <w:trHeight w:val="1455"/>
        </w:trPr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A2BDFC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Adequacy of Follow-up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5F445E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CE7921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09BC8E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937E10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0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57E3A3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0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C4A40E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D67DA2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9E93CE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1</w:t>
            </w:r>
          </w:p>
        </w:tc>
        <w:tc>
          <w:tcPr>
            <w:tcW w:w="7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992B83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sz w:val="22"/>
                <w:szCs w:val="22"/>
              </w:rPr>
              <w:t>0</w:t>
            </w:r>
          </w:p>
        </w:tc>
      </w:tr>
      <w:tr w:rsidR="001679DD" w:rsidRPr="0053126E" w14:paraId="786F473F" w14:textId="77777777" w:rsidTr="002240E4">
        <w:trPr>
          <w:trHeight w:val="1455"/>
        </w:trPr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F97F6D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b/>
                <w:bCs/>
                <w:sz w:val="22"/>
                <w:szCs w:val="22"/>
              </w:rPr>
              <w:t>Total NOS Score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9A8205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7AB23D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149F61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33488B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72E373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8C7C48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88B744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9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EB6EC4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7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051E7B" w14:textId="77777777" w:rsidR="001679DD" w:rsidRPr="0053126E" w:rsidRDefault="001679DD" w:rsidP="002240E4">
            <w:pPr>
              <w:rPr>
                <w:rFonts w:eastAsia="Aptos"/>
                <w:sz w:val="22"/>
                <w:szCs w:val="22"/>
              </w:rPr>
            </w:pPr>
            <w:r w:rsidRPr="0053126E">
              <w:rPr>
                <w:rFonts w:eastAsia="Aptos"/>
                <w:b/>
                <w:bCs/>
                <w:sz w:val="22"/>
                <w:szCs w:val="22"/>
              </w:rPr>
              <w:t>5</w:t>
            </w:r>
          </w:p>
        </w:tc>
      </w:tr>
    </w:tbl>
    <w:p w14:paraId="600D31BF" w14:textId="77777777" w:rsidR="001679DD" w:rsidRPr="0053126E" w:rsidRDefault="001679DD" w:rsidP="001679DD">
      <w:pPr>
        <w:spacing w:line="230" w:lineRule="auto"/>
        <w:rPr>
          <w:sz w:val="22"/>
          <w:szCs w:val="22"/>
        </w:rPr>
      </w:pPr>
    </w:p>
    <w:p w14:paraId="753A61F2" w14:textId="77777777" w:rsidR="001679DD" w:rsidRPr="0053126E" w:rsidRDefault="001679DD" w:rsidP="001679DD">
      <w:pPr>
        <w:rPr>
          <w:rFonts w:eastAsia="Aptos"/>
          <w:color w:val="000000" w:themeColor="text1"/>
          <w:sz w:val="22"/>
          <w:szCs w:val="22"/>
        </w:rPr>
      </w:pPr>
      <w:r w:rsidRPr="0053126E">
        <w:rPr>
          <w:rFonts w:eastAsia="Aptos"/>
          <w:color w:val="000000" w:themeColor="text1"/>
          <w:sz w:val="22"/>
          <w:szCs w:val="22"/>
        </w:rPr>
        <w:br w:type="page"/>
      </w:r>
    </w:p>
    <w:p w14:paraId="5AEDD0E7" w14:textId="33620725" w:rsidR="001679DD" w:rsidRDefault="001679DD">
      <w:pPr>
        <w:rPr>
          <w:rFonts w:eastAsia="Aptos"/>
          <w:b/>
          <w:bCs/>
          <w:color w:val="000000" w:themeColor="text1"/>
          <w:sz w:val="22"/>
          <w:szCs w:val="22"/>
        </w:rPr>
      </w:pPr>
      <w:r w:rsidRPr="0048740D">
        <w:rPr>
          <w:rFonts w:eastAsia="Aptos"/>
          <w:b/>
          <w:bCs/>
          <w:color w:val="000000" w:themeColor="text1"/>
          <w:sz w:val="22"/>
          <w:szCs w:val="22"/>
        </w:rPr>
        <w:lastRenderedPageBreak/>
        <w:t>Supplementary Table 3. GRADE Domains Across Included Studies.</w:t>
      </w:r>
    </w:p>
    <w:tbl>
      <w:tblPr>
        <w:tblpPr w:leftFromText="180" w:rightFromText="180" w:vertAnchor="page" w:horzAnchor="margin" w:tblpXSpec="center" w:tblpY="2299"/>
        <w:tblW w:w="10890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1152"/>
        <w:gridCol w:w="864"/>
        <w:gridCol w:w="1296"/>
        <w:gridCol w:w="1440"/>
        <w:gridCol w:w="1350"/>
        <w:gridCol w:w="1350"/>
        <w:gridCol w:w="1170"/>
        <w:gridCol w:w="1260"/>
      </w:tblGrid>
      <w:tr w:rsidR="001679DD" w:rsidRPr="0053126E" w14:paraId="75A52199" w14:textId="77777777" w:rsidTr="002240E4">
        <w:tc>
          <w:tcPr>
            <w:tcW w:w="100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CD1BB26" w14:textId="77777777" w:rsidR="001679DD" w:rsidRPr="0053126E" w:rsidRDefault="001679DD" w:rsidP="002240E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53126E">
              <w:rPr>
                <w:b/>
                <w:bCs/>
                <w:sz w:val="22"/>
                <w:szCs w:val="22"/>
              </w:rPr>
              <w:t>Outcome</w:t>
            </w:r>
          </w:p>
        </w:tc>
        <w:tc>
          <w:tcPr>
            <w:tcW w:w="115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5056DFB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53126E">
              <w:rPr>
                <w:b/>
                <w:bCs/>
                <w:sz w:val="22"/>
                <w:szCs w:val="22"/>
              </w:rPr>
              <w:t>Studies contributing (N knees)</w:t>
            </w:r>
          </w:p>
        </w:tc>
        <w:tc>
          <w:tcPr>
            <w:tcW w:w="8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C591379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53126E">
              <w:rPr>
                <w:b/>
                <w:bCs/>
                <w:sz w:val="22"/>
                <w:szCs w:val="22"/>
              </w:rPr>
              <w:t>Risk of Bias</w:t>
            </w:r>
          </w:p>
        </w:tc>
        <w:tc>
          <w:tcPr>
            <w:tcW w:w="129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04CC1E6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53126E">
              <w:rPr>
                <w:b/>
                <w:bCs/>
                <w:sz w:val="22"/>
                <w:szCs w:val="22"/>
              </w:rPr>
              <w:t>Inconsistency</w:t>
            </w: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BB7968E" w14:textId="77777777" w:rsidR="001679DD" w:rsidRPr="0053126E" w:rsidRDefault="001679DD" w:rsidP="002240E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53126E">
              <w:rPr>
                <w:b/>
                <w:bCs/>
                <w:sz w:val="22"/>
                <w:szCs w:val="22"/>
              </w:rPr>
              <w:t>Indirectness</w:t>
            </w:r>
          </w:p>
        </w:tc>
        <w:tc>
          <w:tcPr>
            <w:tcW w:w="13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D17A51E" w14:textId="77777777" w:rsidR="001679DD" w:rsidRPr="0053126E" w:rsidRDefault="001679DD" w:rsidP="002240E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53126E">
              <w:rPr>
                <w:b/>
                <w:bCs/>
                <w:sz w:val="22"/>
                <w:szCs w:val="22"/>
              </w:rPr>
              <w:t>Imprecision</w:t>
            </w:r>
          </w:p>
        </w:tc>
        <w:tc>
          <w:tcPr>
            <w:tcW w:w="13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F266070" w14:textId="77777777" w:rsidR="001679DD" w:rsidRPr="0053126E" w:rsidRDefault="001679DD" w:rsidP="002240E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53126E">
              <w:rPr>
                <w:b/>
                <w:bCs/>
                <w:sz w:val="22"/>
                <w:szCs w:val="22"/>
              </w:rPr>
              <w:t>Publication Bias</w:t>
            </w:r>
          </w:p>
        </w:tc>
        <w:tc>
          <w:tcPr>
            <w:tcW w:w="11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E4EA226" w14:textId="77777777" w:rsidR="001679DD" w:rsidRPr="0053126E" w:rsidRDefault="001679DD" w:rsidP="002240E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53126E">
              <w:rPr>
                <w:b/>
                <w:bCs/>
                <w:sz w:val="22"/>
                <w:szCs w:val="22"/>
              </w:rPr>
              <w:t>Upgrades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9AF5038" w14:textId="77777777" w:rsidR="001679DD" w:rsidRPr="0053126E" w:rsidRDefault="001679DD" w:rsidP="002240E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53126E">
              <w:rPr>
                <w:b/>
                <w:bCs/>
                <w:sz w:val="22"/>
                <w:szCs w:val="22"/>
              </w:rPr>
              <w:t>Certainty of Evidence (GRADE)</w:t>
            </w:r>
          </w:p>
        </w:tc>
      </w:tr>
      <w:tr w:rsidR="001679DD" w:rsidRPr="0053126E" w14:paraId="0D0837A2" w14:textId="77777777" w:rsidTr="002240E4">
        <w:tc>
          <w:tcPr>
            <w:tcW w:w="100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B06DFB2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b/>
                <w:bCs/>
                <w:sz w:val="22"/>
                <w:szCs w:val="22"/>
              </w:rPr>
              <w:t>Range of Motion (ROM, 1–2 yrs)</w:t>
            </w:r>
          </w:p>
        </w:tc>
        <w:tc>
          <w:tcPr>
            <w:tcW w:w="115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1C085E8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 xml:space="preserve">Haikal 2025 (976), Li 2023 (89), Nishitani 2020 (156), Okamoto 2019 (120), Zhou 2023 (113), </w:t>
            </w:r>
            <w:proofErr w:type="spellStart"/>
            <w:r w:rsidRPr="0053126E">
              <w:rPr>
                <w:sz w:val="22"/>
                <w:szCs w:val="22"/>
              </w:rPr>
              <w:t>Malpur</w:t>
            </w:r>
            <w:proofErr w:type="spellEnd"/>
            <w:r w:rsidRPr="0053126E">
              <w:rPr>
                <w:sz w:val="22"/>
                <w:szCs w:val="22"/>
              </w:rPr>
              <w:t xml:space="preserve"> 2025 (285), Murphy 2014 (40) = 1,779 knees</w:t>
            </w:r>
          </w:p>
        </w:tc>
        <w:tc>
          <w:tcPr>
            <w:tcW w:w="8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1DDF1BE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>Serious (retrospective majority, variable measurement)</w:t>
            </w:r>
          </w:p>
        </w:tc>
        <w:tc>
          <w:tcPr>
            <w:tcW w:w="129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A8FE567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>Not serious</w:t>
            </w: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D60A962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>Not serious</w:t>
            </w:r>
          </w:p>
        </w:tc>
        <w:tc>
          <w:tcPr>
            <w:tcW w:w="13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04F164F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>Serious (small cohorts, wide CIs)</w:t>
            </w:r>
          </w:p>
        </w:tc>
        <w:tc>
          <w:tcPr>
            <w:tcW w:w="13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51771FE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>Not detected</w:t>
            </w:r>
          </w:p>
        </w:tc>
        <w:tc>
          <w:tcPr>
            <w:tcW w:w="11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F7D1E4E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>None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E004FF5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b/>
                <w:bCs/>
                <w:sz w:val="22"/>
                <w:szCs w:val="22"/>
              </w:rPr>
              <w:t>Low</w:t>
            </w:r>
          </w:p>
        </w:tc>
      </w:tr>
      <w:tr w:rsidR="001679DD" w:rsidRPr="0053126E" w14:paraId="47FB7A6E" w14:textId="77777777" w:rsidTr="002240E4">
        <w:tc>
          <w:tcPr>
            <w:tcW w:w="100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F4AFC39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b/>
                <w:bCs/>
                <w:sz w:val="22"/>
                <w:szCs w:val="22"/>
              </w:rPr>
              <w:t>Functional Scores (KSS, OKS, AKSS, JOA, SF-12)</w:t>
            </w:r>
          </w:p>
        </w:tc>
        <w:tc>
          <w:tcPr>
            <w:tcW w:w="115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ABADD4A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 xml:space="preserve">Guruprasad 2023 (81), Haikal 2025 (976), Li 2023 (89), Nishitani 2020 (156), Okamoto 2019 (120), Scott 2019 (297), Zhou 2023 (113), </w:t>
            </w:r>
            <w:proofErr w:type="spellStart"/>
            <w:r w:rsidRPr="0053126E">
              <w:rPr>
                <w:sz w:val="22"/>
                <w:szCs w:val="22"/>
              </w:rPr>
              <w:t>Malpur</w:t>
            </w:r>
            <w:proofErr w:type="spellEnd"/>
            <w:r w:rsidRPr="0053126E">
              <w:rPr>
                <w:sz w:val="22"/>
                <w:szCs w:val="22"/>
              </w:rPr>
              <w:t xml:space="preserve"> 2025 (285), Murphy </w:t>
            </w:r>
            <w:r w:rsidRPr="0053126E">
              <w:rPr>
                <w:sz w:val="22"/>
                <w:szCs w:val="22"/>
              </w:rPr>
              <w:lastRenderedPageBreak/>
              <w:t>2014 (40) = 2,157 knees</w:t>
            </w:r>
          </w:p>
        </w:tc>
        <w:tc>
          <w:tcPr>
            <w:tcW w:w="8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DC83DC4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lastRenderedPageBreak/>
              <w:t>Serious (retrospective designs, some unclear blinding)</w:t>
            </w:r>
          </w:p>
        </w:tc>
        <w:tc>
          <w:tcPr>
            <w:tcW w:w="129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5F678E6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>Not serious</w:t>
            </w: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B88CA39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>Minor indirectness (heterogeneous scoring systems)</w:t>
            </w:r>
          </w:p>
        </w:tc>
        <w:tc>
          <w:tcPr>
            <w:tcW w:w="13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9C2CF2A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>Serious (small sample size in several studies)</w:t>
            </w:r>
          </w:p>
        </w:tc>
        <w:tc>
          <w:tcPr>
            <w:tcW w:w="13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1924BA9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>Not detected</w:t>
            </w:r>
          </w:p>
        </w:tc>
        <w:tc>
          <w:tcPr>
            <w:tcW w:w="11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46D5E39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>None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2C483A8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b/>
                <w:bCs/>
                <w:sz w:val="22"/>
                <w:szCs w:val="22"/>
              </w:rPr>
              <w:t>Very low</w:t>
            </w:r>
          </w:p>
        </w:tc>
      </w:tr>
      <w:tr w:rsidR="001679DD" w:rsidRPr="0053126E" w14:paraId="7B4414AE" w14:textId="77777777" w:rsidTr="002240E4">
        <w:tc>
          <w:tcPr>
            <w:tcW w:w="100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594A2DC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b/>
                <w:bCs/>
                <w:sz w:val="22"/>
                <w:szCs w:val="22"/>
              </w:rPr>
              <w:t>Survivorship / Revision Outcomes (≥10 yrs)</w:t>
            </w:r>
          </w:p>
        </w:tc>
        <w:tc>
          <w:tcPr>
            <w:tcW w:w="115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23894B0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>Kim 2014 (3,048), Scott 2019 (297) = 3,345 knees</w:t>
            </w:r>
          </w:p>
        </w:tc>
        <w:tc>
          <w:tcPr>
            <w:tcW w:w="8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FACD158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>Not serious (large sample sizes, long follow-up)</w:t>
            </w:r>
          </w:p>
        </w:tc>
        <w:tc>
          <w:tcPr>
            <w:tcW w:w="129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3E7F9A9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>Not serious</w:t>
            </w: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56186F5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>Not serious</w:t>
            </w:r>
          </w:p>
        </w:tc>
        <w:tc>
          <w:tcPr>
            <w:tcW w:w="13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983588B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>Not serious</w:t>
            </w:r>
          </w:p>
        </w:tc>
        <w:tc>
          <w:tcPr>
            <w:tcW w:w="13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EE8A9C7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>Not detected</w:t>
            </w:r>
          </w:p>
        </w:tc>
        <w:tc>
          <w:tcPr>
            <w:tcW w:w="11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EC63CF6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>+1 (large magnitud</w:t>
            </w:r>
            <w:r>
              <w:rPr>
                <w:sz w:val="22"/>
                <w:szCs w:val="22"/>
              </w:rPr>
              <w:t>e</w:t>
            </w:r>
            <w:r w:rsidRPr="0053126E">
              <w:rPr>
                <w:sz w:val="22"/>
                <w:szCs w:val="22"/>
              </w:rPr>
              <w:t>, Kim 2014)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61DAB5E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b/>
                <w:bCs/>
                <w:sz w:val="22"/>
                <w:szCs w:val="22"/>
              </w:rPr>
              <w:t>Moderate</w:t>
            </w:r>
          </w:p>
        </w:tc>
      </w:tr>
      <w:tr w:rsidR="001679DD" w:rsidRPr="0053126E" w14:paraId="23941AE3" w14:textId="77777777" w:rsidTr="002240E4">
        <w:tc>
          <w:tcPr>
            <w:tcW w:w="100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DDA47C0" w14:textId="77777777" w:rsidR="001679DD" w:rsidRPr="0053126E" w:rsidRDefault="001679DD" w:rsidP="002240E4">
            <w:pPr>
              <w:rPr>
                <w:sz w:val="22"/>
                <w:szCs w:val="22"/>
              </w:rPr>
            </w:pPr>
            <w:r w:rsidRPr="0053126E">
              <w:rPr>
                <w:b/>
                <w:bCs/>
                <w:sz w:val="22"/>
                <w:szCs w:val="22"/>
              </w:rPr>
              <w:t>Anterior Knee Pain (AKP)</w:t>
            </w:r>
          </w:p>
        </w:tc>
        <w:tc>
          <w:tcPr>
            <w:tcW w:w="115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9FF8A36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>Scott 2019 (297) = 297 knees</w:t>
            </w:r>
          </w:p>
        </w:tc>
        <w:tc>
          <w:tcPr>
            <w:tcW w:w="8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B65FE07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>Serious (small single study)</w:t>
            </w:r>
          </w:p>
        </w:tc>
        <w:tc>
          <w:tcPr>
            <w:tcW w:w="129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2CF262A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>Not serious</w:t>
            </w:r>
          </w:p>
        </w:tc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FF7E802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>Not serious</w:t>
            </w:r>
          </w:p>
        </w:tc>
        <w:tc>
          <w:tcPr>
            <w:tcW w:w="13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48C6AE4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>Serious (wide CI, small cohort)</w:t>
            </w:r>
          </w:p>
        </w:tc>
        <w:tc>
          <w:tcPr>
            <w:tcW w:w="13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9EDA8AF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>Not detected</w:t>
            </w:r>
          </w:p>
        </w:tc>
        <w:tc>
          <w:tcPr>
            <w:tcW w:w="117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D6D2528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>None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F37325F" w14:textId="77777777" w:rsidR="001679DD" w:rsidRPr="0053126E" w:rsidRDefault="001679DD" w:rsidP="002240E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3126E">
              <w:rPr>
                <w:b/>
                <w:bCs/>
                <w:sz w:val="22"/>
                <w:szCs w:val="22"/>
              </w:rPr>
              <w:t>Low</w:t>
            </w:r>
          </w:p>
        </w:tc>
      </w:tr>
    </w:tbl>
    <w:p w14:paraId="0D875B99" w14:textId="5BD123CE" w:rsidR="001679DD" w:rsidRDefault="001679DD"/>
    <w:p w14:paraId="01577D3E" w14:textId="77777777" w:rsidR="001679DD" w:rsidRDefault="001679DD">
      <w:pPr>
        <w:spacing w:after="160" w:line="278" w:lineRule="auto"/>
      </w:pPr>
      <w:r>
        <w:br w:type="page"/>
      </w:r>
    </w:p>
    <w:p w14:paraId="650B286F" w14:textId="77777777" w:rsidR="001679DD" w:rsidRPr="0053126E" w:rsidRDefault="001679DD" w:rsidP="001679DD">
      <w:pPr>
        <w:spacing w:before="240" w:after="240"/>
        <w:rPr>
          <w:rFonts w:eastAsia="Aptos"/>
          <w:b/>
          <w:bCs/>
          <w:color w:val="000000" w:themeColor="text1"/>
          <w:sz w:val="22"/>
          <w:szCs w:val="22"/>
        </w:rPr>
      </w:pPr>
      <w:r w:rsidRPr="0053126E">
        <w:rPr>
          <w:rFonts w:eastAsia="Aptos"/>
          <w:b/>
          <w:bCs/>
          <w:color w:val="000000" w:themeColor="text1"/>
          <w:sz w:val="22"/>
          <w:szCs w:val="22"/>
        </w:rPr>
        <w:lastRenderedPageBreak/>
        <w:t>Supplementary Table 4. Definitions of Femoral Flexion Angle (FFA) Across Included Studies and Potential Impact.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3"/>
        <w:gridCol w:w="3842"/>
        <w:gridCol w:w="4245"/>
      </w:tblGrid>
      <w:tr w:rsidR="001679DD" w:rsidRPr="00615FB1" w14:paraId="04BC648E" w14:textId="77777777" w:rsidTr="002240E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81B1D56" w14:textId="77777777" w:rsidR="001679DD" w:rsidRPr="00615FB1" w:rsidRDefault="001679DD" w:rsidP="002240E4">
            <w:pPr>
              <w:spacing w:before="100" w:beforeAutospacing="1" w:after="100" w:afterAutospacing="1"/>
              <w:jc w:val="center"/>
              <w:rPr>
                <w:b/>
                <w:bCs/>
                <w:sz w:val="22"/>
                <w:szCs w:val="22"/>
              </w:rPr>
            </w:pPr>
            <w:r w:rsidRPr="00615FB1">
              <w:rPr>
                <w:b/>
                <w:bCs/>
                <w:sz w:val="22"/>
                <w:szCs w:val="22"/>
              </w:rPr>
              <w:t>Study</w:t>
            </w:r>
          </w:p>
        </w:tc>
        <w:tc>
          <w:tcPr>
            <w:tcW w:w="0" w:type="auto"/>
            <w:vAlign w:val="center"/>
            <w:hideMark/>
          </w:tcPr>
          <w:p w14:paraId="4341657A" w14:textId="77777777" w:rsidR="001679DD" w:rsidRPr="00615FB1" w:rsidRDefault="001679DD" w:rsidP="002240E4">
            <w:pPr>
              <w:spacing w:before="100" w:beforeAutospacing="1" w:after="100" w:afterAutospacing="1"/>
              <w:jc w:val="center"/>
              <w:rPr>
                <w:b/>
                <w:bCs/>
                <w:sz w:val="22"/>
                <w:szCs w:val="22"/>
              </w:rPr>
            </w:pPr>
            <w:r w:rsidRPr="00615FB1">
              <w:rPr>
                <w:b/>
                <w:bCs/>
                <w:sz w:val="22"/>
                <w:szCs w:val="22"/>
              </w:rPr>
              <w:t>FFA Definition</w:t>
            </w:r>
          </w:p>
        </w:tc>
        <w:tc>
          <w:tcPr>
            <w:tcW w:w="0" w:type="auto"/>
            <w:vAlign w:val="center"/>
            <w:hideMark/>
          </w:tcPr>
          <w:p w14:paraId="3EDECF1D" w14:textId="77777777" w:rsidR="001679DD" w:rsidRPr="00615FB1" w:rsidRDefault="001679DD" w:rsidP="002240E4">
            <w:pPr>
              <w:spacing w:before="100" w:beforeAutospacing="1" w:after="100" w:afterAutospacing="1"/>
              <w:jc w:val="center"/>
              <w:rPr>
                <w:b/>
                <w:bCs/>
                <w:sz w:val="22"/>
                <w:szCs w:val="22"/>
              </w:rPr>
            </w:pPr>
            <w:r w:rsidRPr="00615FB1">
              <w:rPr>
                <w:b/>
                <w:bCs/>
                <w:sz w:val="22"/>
                <w:szCs w:val="22"/>
              </w:rPr>
              <w:t>Potential Impact on Outcomes</w:t>
            </w:r>
          </w:p>
        </w:tc>
      </w:tr>
      <w:tr w:rsidR="001679DD" w:rsidRPr="00615FB1" w14:paraId="5E037103" w14:textId="77777777" w:rsidTr="002240E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6A46F8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>Guruprasad 2023</w:t>
            </w:r>
          </w:p>
        </w:tc>
        <w:tc>
          <w:tcPr>
            <w:tcW w:w="0" w:type="auto"/>
            <w:vAlign w:val="center"/>
            <w:hideMark/>
          </w:tcPr>
          <w:p w14:paraId="6A317873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>Angle between implant’s distal surface and anatomical femoral axis.</w:t>
            </w:r>
          </w:p>
        </w:tc>
        <w:tc>
          <w:tcPr>
            <w:tcW w:w="0" w:type="auto"/>
            <w:vAlign w:val="center"/>
            <w:hideMark/>
          </w:tcPr>
          <w:p w14:paraId="06E6C440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>May underestimate true flexion depending on implant geometry; weaker correlation with symptoms.</w:t>
            </w:r>
          </w:p>
        </w:tc>
      </w:tr>
      <w:tr w:rsidR="001679DD" w:rsidRPr="00615FB1" w14:paraId="3071A606" w14:textId="77777777" w:rsidTr="002240E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136EE9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>Haikal 2025</w:t>
            </w:r>
          </w:p>
        </w:tc>
        <w:tc>
          <w:tcPr>
            <w:tcW w:w="0" w:type="auto"/>
            <w:vAlign w:val="center"/>
            <w:hideMark/>
          </w:tcPr>
          <w:p w14:paraId="1592ACED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>Angle between distal anatomical axis and line perpendicular to posterior condyles.</w:t>
            </w:r>
          </w:p>
        </w:tc>
        <w:tc>
          <w:tcPr>
            <w:tcW w:w="0" w:type="auto"/>
            <w:vAlign w:val="center"/>
            <w:hideMark/>
          </w:tcPr>
          <w:p w14:paraId="3700B021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>Sensitive to rotational error or condylar asymmetry; may shift grouping.</w:t>
            </w:r>
          </w:p>
        </w:tc>
      </w:tr>
      <w:tr w:rsidR="001679DD" w:rsidRPr="00615FB1" w14:paraId="2B6C2266" w14:textId="77777777" w:rsidTr="002240E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FB0B53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>Kim 2014</w:t>
            </w:r>
          </w:p>
        </w:tc>
        <w:tc>
          <w:tcPr>
            <w:tcW w:w="0" w:type="auto"/>
            <w:vAlign w:val="center"/>
            <w:hideMark/>
          </w:tcPr>
          <w:p w14:paraId="43EE2C25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>Angle between distal anatomical axis and component sagittal axis on lateral X-ray.</w:t>
            </w:r>
          </w:p>
        </w:tc>
        <w:tc>
          <w:tcPr>
            <w:tcW w:w="0" w:type="auto"/>
            <w:vAlign w:val="center"/>
            <w:hideMark/>
          </w:tcPr>
          <w:p w14:paraId="23205BBD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>Observer-dependent axis estimation; small errors may inflate measured flexion affecting survival analysis.</w:t>
            </w:r>
          </w:p>
        </w:tc>
      </w:tr>
      <w:tr w:rsidR="001679DD" w:rsidRPr="00615FB1" w14:paraId="23278DA9" w14:textId="77777777" w:rsidTr="002240E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707A7E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>Li 2023</w:t>
            </w:r>
          </w:p>
        </w:tc>
        <w:tc>
          <w:tcPr>
            <w:tcW w:w="0" w:type="auto"/>
            <w:vAlign w:val="center"/>
            <w:hideMark/>
          </w:tcPr>
          <w:p w14:paraId="6C183300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>Angle between mechanical axis and component long axis.</w:t>
            </w:r>
          </w:p>
        </w:tc>
        <w:tc>
          <w:tcPr>
            <w:tcW w:w="0" w:type="auto"/>
            <w:vAlign w:val="center"/>
            <w:hideMark/>
          </w:tcPr>
          <w:p w14:paraId="7769712C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>Mechanical axis ignores femoral bowing, often underestimating flexion in bowed femurs.</w:t>
            </w:r>
          </w:p>
        </w:tc>
      </w:tr>
      <w:tr w:rsidR="001679DD" w:rsidRPr="00615FB1" w14:paraId="672CA139" w14:textId="77777777" w:rsidTr="002240E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725CCB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>Murphy 2014</w:t>
            </w:r>
          </w:p>
        </w:tc>
        <w:tc>
          <w:tcPr>
            <w:tcW w:w="0" w:type="auto"/>
            <w:vAlign w:val="center"/>
            <w:hideMark/>
          </w:tcPr>
          <w:p w14:paraId="215EADC4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>Software-derived angle between femoral flange and a parallel reference on true lateral radiograph.</w:t>
            </w:r>
          </w:p>
        </w:tc>
        <w:tc>
          <w:tcPr>
            <w:tcW w:w="0" w:type="auto"/>
            <w:vAlign w:val="center"/>
            <w:hideMark/>
          </w:tcPr>
          <w:p w14:paraId="483CFFC2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>True lateral requirement improves reproducibility and lowers measurement variability.</w:t>
            </w:r>
          </w:p>
        </w:tc>
      </w:tr>
      <w:tr w:rsidR="001679DD" w:rsidRPr="00615FB1" w14:paraId="2427F805" w14:textId="77777777" w:rsidTr="002240E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31E931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>Nishitani 2020</w:t>
            </w:r>
          </w:p>
        </w:tc>
        <w:tc>
          <w:tcPr>
            <w:tcW w:w="0" w:type="auto"/>
            <w:vAlign w:val="center"/>
            <w:hideMark/>
          </w:tcPr>
          <w:p w14:paraId="33CBBC57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53126E">
              <w:rPr>
                <w:sz w:val="22"/>
                <w:szCs w:val="22"/>
              </w:rPr>
              <w:t xml:space="preserve">Angle between </w:t>
            </w:r>
            <w:r w:rsidRPr="00615FB1">
              <w:rPr>
                <w:sz w:val="22"/>
                <w:szCs w:val="22"/>
              </w:rPr>
              <w:t xml:space="preserve">distal anatomical axis </w:t>
            </w:r>
            <w:r w:rsidRPr="0053126E">
              <w:rPr>
                <w:sz w:val="22"/>
                <w:szCs w:val="22"/>
              </w:rPr>
              <w:t xml:space="preserve">and </w:t>
            </w:r>
            <w:r w:rsidRPr="00615FB1">
              <w:rPr>
                <w:sz w:val="22"/>
                <w:szCs w:val="22"/>
              </w:rPr>
              <w:t>line perpendicular to posterior condyles.</w:t>
            </w:r>
          </w:p>
        </w:tc>
        <w:tc>
          <w:tcPr>
            <w:tcW w:w="0" w:type="auto"/>
            <w:vAlign w:val="center"/>
            <w:hideMark/>
          </w:tcPr>
          <w:p w14:paraId="2A0530A5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>Same limitations: rotation-sensitive; may alter flexion category assignment.</w:t>
            </w:r>
          </w:p>
        </w:tc>
      </w:tr>
      <w:tr w:rsidR="001679DD" w:rsidRPr="00615FB1" w14:paraId="4AE0C80C" w14:textId="77777777" w:rsidTr="002240E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6295A2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>Okamoto 2019</w:t>
            </w:r>
          </w:p>
        </w:tc>
        <w:tc>
          <w:tcPr>
            <w:tcW w:w="0" w:type="auto"/>
            <w:vAlign w:val="center"/>
            <w:hideMark/>
          </w:tcPr>
          <w:p w14:paraId="5D133C12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 xml:space="preserve">Angle between anterior cortex </w:t>
            </w:r>
            <w:r w:rsidRPr="0053126E">
              <w:rPr>
                <w:sz w:val="22"/>
                <w:szCs w:val="22"/>
              </w:rPr>
              <w:t>line and</w:t>
            </w:r>
            <w:r w:rsidRPr="00615FB1">
              <w:rPr>
                <w:sz w:val="22"/>
                <w:szCs w:val="22"/>
              </w:rPr>
              <w:t xml:space="preserve"> line perpendicular to distal articular surface.</w:t>
            </w:r>
          </w:p>
        </w:tc>
        <w:tc>
          <w:tcPr>
            <w:tcW w:w="0" w:type="auto"/>
            <w:vAlign w:val="center"/>
            <w:hideMark/>
          </w:tcPr>
          <w:p w14:paraId="45F45EAC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>Anterior cortex influenced by femoral bowing, often overestimating flexion.</w:t>
            </w:r>
          </w:p>
        </w:tc>
      </w:tr>
      <w:tr w:rsidR="001679DD" w:rsidRPr="00615FB1" w14:paraId="05F4F6F3" w14:textId="77777777" w:rsidTr="002240E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674CDA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>Scott 2019</w:t>
            </w:r>
          </w:p>
        </w:tc>
        <w:tc>
          <w:tcPr>
            <w:tcW w:w="0" w:type="auto"/>
            <w:vAlign w:val="center"/>
            <w:hideMark/>
          </w:tcPr>
          <w:p w14:paraId="11FC0E88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>Flexion measured on true lateral radiograph using anatomical axis vs component axis.</w:t>
            </w:r>
          </w:p>
        </w:tc>
        <w:tc>
          <w:tcPr>
            <w:tcW w:w="0" w:type="auto"/>
            <w:vAlign w:val="center"/>
            <w:hideMark/>
          </w:tcPr>
          <w:p w14:paraId="0DC627E3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>Strict radiograph criteria reduce error; improves reliability of AKP associations.</w:t>
            </w:r>
          </w:p>
        </w:tc>
      </w:tr>
      <w:tr w:rsidR="001679DD" w:rsidRPr="00615FB1" w14:paraId="5CF12BF9" w14:textId="77777777" w:rsidTr="002240E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B286B2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>Zhou 2023</w:t>
            </w:r>
          </w:p>
        </w:tc>
        <w:tc>
          <w:tcPr>
            <w:tcW w:w="0" w:type="auto"/>
            <w:vAlign w:val="center"/>
            <w:hideMark/>
          </w:tcPr>
          <w:p w14:paraId="58E619E7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>Angle between distal anatomical axis and component longitudinal axis.</w:t>
            </w:r>
          </w:p>
        </w:tc>
        <w:tc>
          <w:tcPr>
            <w:tcW w:w="0" w:type="auto"/>
            <w:vAlign w:val="center"/>
            <w:hideMark/>
          </w:tcPr>
          <w:p w14:paraId="0E7C9873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>Small tracing variations can shift knees between angle groups.</w:t>
            </w:r>
          </w:p>
        </w:tc>
      </w:tr>
      <w:tr w:rsidR="001679DD" w:rsidRPr="00615FB1" w14:paraId="4A358203" w14:textId="77777777" w:rsidTr="002240E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30D224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proofErr w:type="spellStart"/>
            <w:r w:rsidRPr="00615FB1">
              <w:rPr>
                <w:sz w:val="22"/>
                <w:szCs w:val="22"/>
              </w:rPr>
              <w:t>Mulpur</w:t>
            </w:r>
            <w:proofErr w:type="spellEnd"/>
            <w:r w:rsidRPr="00615FB1">
              <w:rPr>
                <w:sz w:val="22"/>
                <w:szCs w:val="22"/>
              </w:rPr>
              <w:t xml:space="preserve"> 2025</w:t>
            </w:r>
          </w:p>
        </w:tc>
        <w:tc>
          <w:tcPr>
            <w:tcW w:w="0" w:type="auto"/>
            <w:vAlign w:val="center"/>
            <w:hideMark/>
          </w:tcPr>
          <w:p w14:paraId="0AFA6B06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>Values obtained directly from MAKO robotic planning software.</w:t>
            </w:r>
          </w:p>
        </w:tc>
        <w:tc>
          <w:tcPr>
            <w:tcW w:w="0" w:type="auto"/>
            <w:vAlign w:val="center"/>
            <w:hideMark/>
          </w:tcPr>
          <w:p w14:paraId="43E884A5" w14:textId="77777777" w:rsidR="001679DD" w:rsidRPr="00615FB1" w:rsidRDefault="001679DD" w:rsidP="002240E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615FB1">
              <w:rPr>
                <w:sz w:val="22"/>
                <w:szCs w:val="22"/>
              </w:rPr>
              <w:t xml:space="preserve">Highest </w:t>
            </w:r>
            <w:proofErr w:type="gramStart"/>
            <w:r w:rsidRPr="00615FB1">
              <w:rPr>
                <w:sz w:val="22"/>
                <w:szCs w:val="22"/>
              </w:rPr>
              <w:t>precision;</w:t>
            </w:r>
            <w:proofErr w:type="gramEnd"/>
            <w:r w:rsidRPr="00615FB1">
              <w:rPr>
                <w:sz w:val="22"/>
                <w:szCs w:val="22"/>
              </w:rPr>
              <w:t xml:space="preserve"> minimal measurement error enhances detection of subtle angle–outcome relationships.</w:t>
            </w:r>
          </w:p>
        </w:tc>
      </w:tr>
    </w:tbl>
    <w:p w14:paraId="01C97F4A" w14:textId="77777777" w:rsidR="001679DD" w:rsidRPr="0053126E" w:rsidRDefault="001679DD" w:rsidP="001679DD">
      <w:pPr>
        <w:spacing w:before="240" w:after="240"/>
        <w:rPr>
          <w:rFonts w:eastAsia="Aptos"/>
          <w:color w:val="000000" w:themeColor="text1"/>
          <w:sz w:val="22"/>
          <w:szCs w:val="22"/>
        </w:rPr>
      </w:pPr>
    </w:p>
    <w:p w14:paraId="5C4EF31A" w14:textId="77777777" w:rsidR="001679DD" w:rsidRDefault="001679DD"/>
    <w:sectPr w:rsidR="001679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stem-ui">
    <w:altName w:val="Cambria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DD"/>
    <w:rsid w:val="00030983"/>
    <w:rsid w:val="000741A4"/>
    <w:rsid w:val="000C2406"/>
    <w:rsid w:val="000C4F0E"/>
    <w:rsid w:val="000D35BF"/>
    <w:rsid w:val="00107C7A"/>
    <w:rsid w:val="00132E23"/>
    <w:rsid w:val="001679DD"/>
    <w:rsid w:val="00187CBC"/>
    <w:rsid w:val="00272831"/>
    <w:rsid w:val="00296F98"/>
    <w:rsid w:val="002A16CA"/>
    <w:rsid w:val="002A7742"/>
    <w:rsid w:val="002E3E60"/>
    <w:rsid w:val="00331FC9"/>
    <w:rsid w:val="0038320C"/>
    <w:rsid w:val="00392963"/>
    <w:rsid w:val="003E4CE7"/>
    <w:rsid w:val="00412B01"/>
    <w:rsid w:val="004503B7"/>
    <w:rsid w:val="00485368"/>
    <w:rsid w:val="004B3D4F"/>
    <w:rsid w:val="004C69C3"/>
    <w:rsid w:val="005054B4"/>
    <w:rsid w:val="00510408"/>
    <w:rsid w:val="00517AFA"/>
    <w:rsid w:val="00552E04"/>
    <w:rsid w:val="00613561"/>
    <w:rsid w:val="006779AA"/>
    <w:rsid w:val="0069133B"/>
    <w:rsid w:val="006B6B39"/>
    <w:rsid w:val="006C4CF7"/>
    <w:rsid w:val="006E4530"/>
    <w:rsid w:val="007008F3"/>
    <w:rsid w:val="00820091"/>
    <w:rsid w:val="008214A4"/>
    <w:rsid w:val="00824810"/>
    <w:rsid w:val="008701C6"/>
    <w:rsid w:val="00880B3A"/>
    <w:rsid w:val="008827DB"/>
    <w:rsid w:val="008B25D3"/>
    <w:rsid w:val="008B26A6"/>
    <w:rsid w:val="00927A5F"/>
    <w:rsid w:val="009D1FDA"/>
    <w:rsid w:val="009F4241"/>
    <w:rsid w:val="009F5CA0"/>
    <w:rsid w:val="00A22D83"/>
    <w:rsid w:val="00A33931"/>
    <w:rsid w:val="00A42A84"/>
    <w:rsid w:val="00A73319"/>
    <w:rsid w:val="00A8662B"/>
    <w:rsid w:val="00A9222C"/>
    <w:rsid w:val="00B31AE1"/>
    <w:rsid w:val="00B33FC8"/>
    <w:rsid w:val="00B3666C"/>
    <w:rsid w:val="00B42920"/>
    <w:rsid w:val="00B7659E"/>
    <w:rsid w:val="00BA48C8"/>
    <w:rsid w:val="00BD3886"/>
    <w:rsid w:val="00BD52C6"/>
    <w:rsid w:val="00C1202B"/>
    <w:rsid w:val="00C31A0A"/>
    <w:rsid w:val="00C324D6"/>
    <w:rsid w:val="00C41EBB"/>
    <w:rsid w:val="00C66E9D"/>
    <w:rsid w:val="00C76812"/>
    <w:rsid w:val="00C939D8"/>
    <w:rsid w:val="00CD5509"/>
    <w:rsid w:val="00D25048"/>
    <w:rsid w:val="00DA2A2A"/>
    <w:rsid w:val="00DD6CD4"/>
    <w:rsid w:val="00DD74CC"/>
    <w:rsid w:val="00E0296B"/>
    <w:rsid w:val="00E03CD1"/>
    <w:rsid w:val="00E35EC5"/>
    <w:rsid w:val="00E42D32"/>
    <w:rsid w:val="00E446AA"/>
    <w:rsid w:val="00E46B1C"/>
    <w:rsid w:val="00E54062"/>
    <w:rsid w:val="00E838F7"/>
    <w:rsid w:val="00E85569"/>
    <w:rsid w:val="00EE1569"/>
    <w:rsid w:val="00EF0BA9"/>
    <w:rsid w:val="00F45322"/>
    <w:rsid w:val="00F46CFF"/>
    <w:rsid w:val="00F6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0DA70"/>
  <w15:chartTrackingRefBased/>
  <w15:docId w15:val="{7821B393-8849-B744-A1C7-454380174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9D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79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79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79D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79D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79D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79D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79D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79D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79D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79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79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79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79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79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79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79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79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79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79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679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79D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679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79D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679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79D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679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9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9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79D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679DD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730</Words>
  <Characters>4166</Characters>
  <Application>Microsoft Office Word</Application>
  <DocSecurity>0</DocSecurity>
  <Lines>34</Lines>
  <Paragraphs>9</Paragraphs>
  <ScaleCrop>false</ScaleCrop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Burbelo, Alexander</dc:creator>
  <cp:keywords/>
  <dc:description/>
  <cp:lastModifiedBy>Burbelo, Alexander</cp:lastModifiedBy>
  <cp:revision>1</cp:revision>
  <dcterms:created xsi:type="dcterms:W3CDTF">2025-11-28T20:00:00Z</dcterms:created>
  <dcterms:modified xsi:type="dcterms:W3CDTF">2025-11-28T20:09:00Z</dcterms:modified>
</cp:coreProperties>
</file>