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E18F44">
      <w:pPr>
        <w:pStyle w:val="6"/>
        <w:keepNext w:val="0"/>
        <w:keepLines w:val="0"/>
        <w:widowControl/>
        <w:suppressLineNumbers w:val="0"/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eastAsia="宋体" w:cs="Times New Roman"/>
          <w:sz w:val="24"/>
          <w:szCs w:val="32"/>
          <w:lang w:bidi="ar"/>
        </w:rPr>
        <w:t xml:space="preserve">upplementary Table </w:t>
      </w:r>
      <w:r>
        <w:rPr>
          <w:rFonts w:ascii="Times New Roman" w:hAnsi="Times New Roman" w:eastAsia="宋体" w:cs="Times New Roman"/>
          <w:sz w:val="24"/>
          <w:szCs w:val="32"/>
          <w:lang w:bidi="ar"/>
        </w:rPr>
        <w:fldChar w:fldCharType="begin"/>
      </w:r>
      <w:r>
        <w:rPr>
          <w:rFonts w:ascii="Times New Roman" w:hAnsi="Times New Roman" w:eastAsia="宋体" w:cs="Times New Roman"/>
          <w:sz w:val="24"/>
          <w:szCs w:val="32"/>
          <w:lang w:bidi="ar"/>
        </w:rPr>
        <w:instrText xml:space="preserve"> SEQ Supplementary_Table \* ARABIC </w:instrText>
      </w:r>
      <w:r>
        <w:rPr>
          <w:rFonts w:ascii="Times New Roman" w:hAnsi="Times New Roman" w:eastAsia="宋体" w:cs="Times New Roman"/>
          <w:sz w:val="24"/>
          <w:szCs w:val="32"/>
          <w:lang w:bidi="ar"/>
        </w:rPr>
        <w:fldChar w:fldCharType="separate"/>
      </w:r>
      <w:r>
        <w:rPr>
          <w:rFonts w:ascii="Times New Roman" w:hAnsi="Times New Roman" w:eastAsia="宋体" w:cs="Times New Roman"/>
          <w:sz w:val="24"/>
          <w:szCs w:val="32"/>
          <w:lang w:bidi="ar"/>
        </w:rPr>
        <w:t>1</w:t>
      </w:r>
      <w:r>
        <w:rPr>
          <w:rFonts w:ascii="Times New Roman" w:hAnsi="Times New Roman" w:eastAsia="宋体" w:cs="Times New Roman"/>
          <w:sz w:val="24"/>
          <w:szCs w:val="32"/>
          <w:lang w:bidi="ar"/>
        </w:rPr>
        <w:fldChar w:fldCharType="end"/>
      </w:r>
      <w:r>
        <w:rPr>
          <w:rFonts w:ascii="Times New Roman" w:hAnsi="Times New Roman" w:eastAsia="宋体" w:cs="Times New Roman"/>
          <w:sz w:val="24"/>
          <w:szCs w:val="32"/>
          <w:lang w:bidi="ar"/>
        </w:rPr>
        <w:t xml:space="preserve">. </w:t>
      </w:r>
      <w:r>
        <w:rPr>
          <w:rFonts w:hint="default" w:ascii="Times New Roman" w:hAnsi="Times New Roman" w:cs="Times New Roman"/>
        </w:rPr>
        <w:t>Association between metabolic-obesity phenotypes and the risk of knee and hand osteoarthritis after multiple imputation for missing covariates.</w:t>
      </w:r>
    </w:p>
    <w:tbl>
      <w:tblPr>
        <w:tblStyle w:val="8"/>
        <w:tblW w:w="867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0"/>
        <w:gridCol w:w="1939"/>
        <w:gridCol w:w="1164"/>
        <w:gridCol w:w="240"/>
        <w:gridCol w:w="2022"/>
        <w:gridCol w:w="1274"/>
      </w:tblGrid>
      <w:tr w14:paraId="1B800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D215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Group</w:t>
            </w:r>
          </w:p>
        </w:tc>
        <w:tc>
          <w:tcPr>
            <w:tcW w:w="310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4506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 1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CAB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29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CC41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 2</w:t>
            </w:r>
          </w:p>
        </w:tc>
      </w:tr>
      <w:tr w14:paraId="6FF2E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10AE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FD39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Time Ratio</w:t>
            </w:r>
            <w:r>
              <w:rPr>
                <w:rFonts w:hint="eastAsia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(95% CI)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4A7D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7B0D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01A7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Time Ratio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(95% CI)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A5C9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value</w:t>
            </w:r>
          </w:p>
        </w:tc>
      </w:tr>
      <w:tr w14:paraId="64255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D53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Knee osteoarthritis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67A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FA0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E89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8EF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139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BA39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853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MHN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CE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9F5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B7A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0D6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7FD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B6F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574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MHO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93F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0.59 (0.56, 0.62)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157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&lt;0.001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E4A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D40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0.59 (0.56, 0.63)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8F4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4FEA4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25C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MUN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64B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0.92(0.89, 0.94)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293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&lt;0.001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258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4AA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0.92 (0.89, 0.94)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973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34D68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AEC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MUO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681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0.60 (0.58, 0.61)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B40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&lt;0.001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AB8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F5B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0.60 (0.58, 0.61)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496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19C87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693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Hand osteoarthritis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FAB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03D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285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C1E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0C7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1B1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2AA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MHN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CE6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AAA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388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C94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B91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DC0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779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MHO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78D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0.89 (0.70, 1.13)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A38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0.354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099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79B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0.90 (0.60, 1.34)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A77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0.602</w:t>
            </w:r>
          </w:p>
        </w:tc>
      </w:tr>
      <w:tr w14:paraId="04704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4A4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MUN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119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0.93 (0.86, 1.01)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250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1F9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93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0.91 (0.80, 1.03)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537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0.126</w:t>
            </w:r>
          </w:p>
        </w:tc>
      </w:tr>
      <w:tr w14:paraId="0566B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B8F2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MUO</w:t>
            </w:r>
          </w:p>
        </w:tc>
        <w:tc>
          <w:tcPr>
            <w:tcW w:w="193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E730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0.87 (0.80, 0.95)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C120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0.002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408B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4714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0.83 (0.72, 0.96)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1E1E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0.013</w:t>
            </w:r>
          </w:p>
        </w:tc>
      </w:tr>
      <w:tr w14:paraId="1DCE6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6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1742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textAlignment w:val="center"/>
              <w:rPr>
                <w:rFonts w:hint="default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Note: Bold denotes statistically significant results. CI, confidence interval; OA, osteoarthritis; Ref, reference; MHN, metabolically healthy non-obesity; MHO, metabolically healthy obesity; MUN, metabolically unhealthy non-obesity; MUO, metabolically unhealthy obesity.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Time Ratio of&lt;l indicates a detrimental effect of metabolic-obesity phenotypes on the risk of osteoarthritis.</w:t>
            </w:r>
          </w:p>
          <w:p w14:paraId="0F530E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Model 1: adjusted for age, sex. Mode 2: further adjusted for race, TDI, smoking status, drinking status, and physical activity.</w:t>
            </w:r>
          </w:p>
        </w:tc>
      </w:tr>
    </w:tbl>
    <w:p w14:paraId="67FB40FD">
      <w:pPr>
        <w:jc w:val="left"/>
      </w:pPr>
    </w:p>
    <w:p w14:paraId="2CF92818">
      <w:pPr>
        <w:ind w:firstLine="331"/>
        <w:jc w:val="left"/>
      </w:pPr>
    </w:p>
    <w:p w14:paraId="720BDD5A">
      <w:pPr>
        <w:bidi w:val="0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28686C0F">
      <w:pPr>
        <w:bidi w:val="0"/>
        <w:rPr>
          <w:lang w:val="en-US" w:eastAsia="zh-CN"/>
        </w:rPr>
      </w:pPr>
    </w:p>
    <w:p w14:paraId="3BB6E35F">
      <w:pPr>
        <w:bidi w:val="0"/>
        <w:rPr>
          <w:lang w:val="en-US" w:eastAsia="zh-CN"/>
        </w:rPr>
      </w:pPr>
    </w:p>
    <w:p w14:paraId="3C9E3A6C">
      <w:pPr>
        <w:bidi w:val="0"/>
        <w:rPr>
          <w:lang w:val="en-US" w:eastAsia="zh-CN"/>
        </w:rPr>
      </w:pPr>
    </w:p>
    <w:p w14:paraId="0F277D04">
      <w:pPr>
        <w:bidi w:val="0"/>
        <w:rPr>
          <w:lang w:val="en-US" w:eastAsia="zh-CN"/>
        </w:rPr>
      </w:pPr>
    </w:p>
    <w:p w14:paraId="1181D288">
      <w:pPr>
        <w:bidi w:val="0"/>
        <w:rPr>
          <w:lang w:val="en-US" w:eastAsia="zh-CN"/>
        </w:rPr>
      </w:pPr>
    </w:p>
    <w:p w14:paraId="35D2D5DE">
      <w:pPr>
        <w:bidi w:val="0"/>
        <w:rPr>
          <w:lang w:val="en-US" w:eastAsia="zh-CN"/>
        </w:rPr>
      </w:pPr>
    </w:p>
    <w:p w14:paraId="1C73BA70">
      <w:pPr>
        <w:bidi w:val="0"/>
        <w:rPr>
          <w:lang w:val="en-US" w:eastAsia="zh-CN"/>
        </w:rPr>
      </w:pPr>
    </w:p>
    <w:p w14:paraId="38442D8C">
      <w:pPr>
        <w:bidi w:val="0"/>
        <w:rPr>
          <w:lang w:val="en-US" w:eastAsia="zh-CN"/>
        </w:rPr>
      </w:pPr>
    </w:p>
    <w:p w14:paraId="232A65B3">
      <w:pPr>
        <w:bidi w:val="0"/>
        <w:rPr>
          <w:lang w:val="en-US" w:eastAsia="zh-CN"/>
        </w:rPr>
      </w:pPr>
    </w:p>
    <w:p w14:paraId="619BEEF8">
      <w:pPr>
        <w:bidi w:val="0"/>
        <w:rPr>
          <w:lang w:val="en-US" w:eastAsia="zh-CN"/>
        </w:rPr>
      </w:pPr>
    </w:p>
    <w:p w14:paraId="5C5AF6C9">
      <w:pPr>
        <w:bidi w:val="0"/>
        <w:rPr>
          <w:lang w:val="en-US" w:eastAsia="zh-CN"/>
        </w:rPr>
      </w:pPr>
    </w:p>
    <w:p w14:paraId="212513EB">
      <w:pPr>
        <w:bidi w:val="0"/>
        <w:rPr>
          <w:lang w:val="en-US" w:eastAsia="zh-CN"/>
        </w:rPr>
      </w:pPr>
    </w:p>
    <w:p w14:paraId="62C7F43E">
      <w:pPr>
        <w:bidi w:val="0"/>
        <w:rPr>
          <w:lang w:val="en-US" w:eastAsia="zh-CN"/>
        </w:rPr>
      </w:pPr>
    </w:p>
    <w:p w14:paraId="108C6C72">
      <w:pPr>
        <w:bidi w:val="0"/>
        <w:rPr>
          <w:lang w:val="en-US" w:eastAsia="zh-CN"/>
        </w:rPr>
      </w:pPr>
    </w:p>
    <w:p w14:paraId="1C0811A0">
      <w:pPr>
        <w:bidi w:val="0"/>
        <w:rPr>
          <w:lang w:val="en-US" w:eastAsia="zh-CN"/>
        </w:rPr>
      </w:pPr>
    </w:p>
    <w:p w14:paraId="4CD96B7D">
      <w:pPr>
        <w:bidi w:val="0"/>
        <w:rPr>
          <w:lang w:val="en-US" w:eastAsia="zh-CN"/>
        </w:rPr>
      </w:pPr>
    </w:p>
    <w:p w14:paraId="5D962619">
      <w:pPr>
        <w:bidi w:val="0"/>
        <w:rPr>
          <w:lang w:val="en-US" w:eastAsia="zh-CN"/>
        </w:rPr>
      </w:pPr>
    </w:p>
    <w:p w14:paraId="1002AA71">
      <w:pPr>
        <w:ind w:firstLine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Table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</w:rPr>
        <w:t>Association between metabolic-obesity phenotypes and the risk of knee and hand osteoarthritis after excluding patients who developed osteoarthritis  within the first 4 years.</w:t>
      </w:r>
    </w:p>
    <w:tbl>
      <w:tblPr>
        <w:tblStyle w:val="8"/>
        <w:tblpPr w:leftFromText="180" w:rightFromText="180" w:vertAnchor="text" w:horzAnchor="page" w:tblpX="1923" w:tblpY="86"/>
        <w:tblOverlap w:val="never"/>
        <w:tblW w:w="86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0"/>
        <w:gridCol w:w="1939"/>
        <w:gridCol w:w="1164"/>
        <w:gridCol w:w="240"/>
        <w:gridCol w:w="2022"/>
        <w:gridCol w:w="1274"/>
      </w:tblGrid>
      <w:tr w14:paraId="2C627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F466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Group</w:t>
            </w:r>
          </w:p>
        </w:tc>
        <w:tc>
          <w:tcPr>
            <w:tcW w:w="310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B580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 1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AED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29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98AB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 2</w:t>
            </w:r>
          </w:p>
        </w:tc>
      </w:tr>
      <w:tr w14:paraId="2DD5A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7855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12EF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Time Ratio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(95% CI)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4415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58790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DAE2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Time Ratio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(95% CI)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BA98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value</w:t>
            </w:r>
          </w:p>
        </w:tc>
      </w:tr>
      <w:tr w14:paraId="27475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0C1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Knee osteoarthritis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AF3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4D7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8B9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BD7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B1A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3FA1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54D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MHN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730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064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270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C6D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292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5569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D60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MHO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9F0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0.36 (0.33, 0.40)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718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&lt;0.001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60B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407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0.37 (0.33, 0.40)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8B2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28F1F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E80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MUN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45C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0.87(0.83, 0.90)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294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&lt;0.001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444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7AA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0.87 (0.83, 0.90)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A9D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705E3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CDB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MUO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945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0.37 (0.35, 0.38)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7BD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&lt;0.001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5F8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838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0.37 (0.35, 0.38)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D85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14CB0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A02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Hand osteoarthritis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9E0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87C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748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4A6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B3D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C592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03C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MHN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64F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3FE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42D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245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2A3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245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03C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MHO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ADE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0.82 (0.57, 1.19)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4EF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0.302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2D2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F75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0.83 (0.57, 1.20)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EE5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0.326</w:t>
            </w:r>
          </w:p>
        </w:tc>
      </w:tr>
      <w:tr w14:paraId="28210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E97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MUN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18A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0.89 (0.79, 1.01)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483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C17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B2A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0.89 (0.78, 1.00)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F80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0.059</w:t>
            </w:r>
          </w:p>
        </w:tc>
      </w:tr>
      <w:tr w14:paraId="48372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F7A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MUO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305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0.78 (0.68, 0.89)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9C6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&lt;0.001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6D1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752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0.80 (0.69, 0.92)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AC3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0.001</w:t>
            </w:r>
          </w:p>
        </w:tc>
      </w:tr>
      <w:tr w14:paraId="4DFD0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679" w:type="dxa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30A5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textAlignment w:val="center"/>
              <w:rPr>
                <w:rFonts w:hint="default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Note: Bold denotes statistically significant results. CI, confidence interval; OA, osteoarthritis; Ref, reference; MHN, metabolically healthy non-obesity; MHO, metabolically healthy obesity; MUN, metabolically unhealthy non-obesity; MUO, metabolically unhealthy obesity.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Time Ratio of&lt;l indicates a detrimental effect of metabolic-obesity phenotypes on the risk of osteoarthritis.</w:t>
            </w:r>
          </w:p>
          <w:p w14:paraId="3F03AC2D">
            <w:pPr>
              <w:keepNext w:val="0"/>
              <w:keepLines w:val="0"/>
              <w:widowControl/>
              <w:suppressLineNumbers w:val="0"/>
              <w:tabs>
                <w:tab w:val="left" w:pos="2755"/>
              </w:tabs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Model 1: adjusted for age, sex. Mode 2: further adjusted for race, TDI, smoking status, drinking status, and physical activity.</w:t>
            </w:r>
          </w:p>
        </w:tc>
      </w:tr>
    </w:tbl>
    <w:p w14:paraId="493CEB15">
      <w:pPr>
        <w:ind w:firstLine="0"/>
        <w:jc w:val="left"/>
        <w:rPr>
          <w:rFonts w:hint="default" w:ascii="Times New Roman" w:hAnsi="Times New Roman" w:cs="Times New Roman"/>
          <w:sz w:val="24"/>
          <w:szCs w:val="24"/>
        </w:rPr>
        <w:sectPr>
          <w:pgSz w:w="12240" w:h="15840"/>
          <w:pgMar w:top="1440" w:right="1800" w:bottom="1440" w:left="1800" w:header="720" w:footer="720" w:gutter="0"/>
          <w:cols w:space="425" w:num="1"/>
          <w:docGrid w:type="lines" w:linePitch="312" w:charSpace="0"/>
        </w:sectPr>
      </w:pPr>
    </w:p>
    <w:p w14:paraId="409CAA3E">
      <w:pPr>
        <w:ind w:firstLine="0"/>
        <w:jc w:val="left"/>
        <w:rPr>
          <w:rFonts w:hint="default" w:ascii="Times New Roman" w:hAnsi="Times New Roman" w:eastAsia="宋体" w:cs="Times New Roman"/>
          <w:kern w:val="0"/>
          <w:sz w:val="24"/>
          <w:szCs w:val="32"/>
          <w:lang w:val="en-US" w:eastAsia="zh-CN" w:bidi="ar"/>
        </w:rPr>
      </w:pPr>
      <w:r>
        <w:rPr>
          <w:rFonts w:ascii="Times New Roman" w:hAnsi="Times New Roman" w:eastAsia="宋体" w:cs="Times New Roman"/>
          <w:kern w:val="0"/>
          <w:sz w:val="24"/>
          <w:szCs w:val="32"/>
          <w:lang w:val="en-US" w:eastAsia="zh-CN" w:bidi="ar"/>
        </w:rPr>
        <w:t xml:space="preserve">Supplementary Table </w:t>
      </w:r>
      <w:r>
        <w:rPr>
          <w:rFonts w:hint="eastAsia" w:ascii="Times New Roman" w:hAnsi="Times New Roman" w:eastAsia="宋体" w:cs="Times New Roman"/>
          <w:kern w:val="0"/>
          <w:sz w:val="24"/>
          <w:szCs w:val="32"/>
          <w:lang w:val="en-US" w:eastAsia="zh-CN" w:bidi="ar"/>
        </w:rPr>
        <w:t>3</w:t>
      </w:r>
      <w:r>
        <w:rPr>
          <w:rFonts w:ascii="Times New Roman" w:hAnsi="Times New Roman" w:eastAsia="宋体" w:cs="Times New Roman"/>
          <w:kern w:val="0"/>
          <w:sz w:val="24"/>
          <w:szCs w:val="32"/>
          <w:lang w:val="en-US" w:eastAsia="zh-CN" w:bidi="ar"/>
        </w:rPr>
        <w:t xml:space="preserve">. </w:t>
      </w:r>
      <w:r>
        <w:rPr>
          <w:rFonts w:hint="default" w:ascii="Times New Roman" w:hAnsi="Times New Roman" w:eastAsia="宋体" w:cs="Times New Roman"/>
          <w:kern w:val="0"/>
          <w:sz w:val="24"/>
          <w:szCs w:val="32"/>
          <w:lang w:val="en-US" w:eastAsia="zh-CN" w:bidi="ar"/>
        </w:rPr>
        <w:t>Association between metabolic-obesity phenotypes and the risk of knee and hand osteoarthritis under a less stringent definition of metabolic abnormality.</w:t>
      </w:r>
    </w:p>
    <w:tbl>
      <w:tblPr>
        <w:tblStyle w:val="8"/>
        <w:tblW w:w="867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0"/>
        <w:gridCol w:w="1939"/>
        <w:gridCol w:w="1164"/>
        <w:gridCol w:w="240"/>
        <w:gridCol w:w="2022"/>
        <w:gridCol w:w="1274"/>
      </w:tblGrid>
      <w:tr w14:paraId="2F4F3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B45A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Group</w:t>
            </w:r>
          </w:p>
        </w:tc>
        <w:tc>
          <w:tcPr>
            <w:tcW w:w="310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96C1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 1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535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29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E49B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 2</w:t>
            </w:r>
          </w:p>
        </w:tc>
      </w:tr>
      <w:tr w14:paraId="4D572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52BF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5162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Time Ratio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(95% CI)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47B9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ECFA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D2C9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Time Ratio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(95% CI)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3933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value</w:t>
            </w:r>
          </w:p>
        </w:tc>
      </w:tr>
      <w:tr w14:paraId="685A9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C21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Knee osteoarthritis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544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F35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D28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385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D4F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E6D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8F5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MHN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BED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A2F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789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182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76B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837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E03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MHO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498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0.60 (0.57, 0.62)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CD2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&lt;0.001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BDD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0C8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0.38 (0.35, 0.40)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F2B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44AFF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AA0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MUN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DA7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0.91(0.89, 0.93)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D9F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&lt;0.001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9E5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E6A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0.84 (0.81, 0.87)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90C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1BF4E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AE9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MUO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560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0.59 (0.58, 0.61)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D99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&lt;0.001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45A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88E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0.36 (0.35, 0.38)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F0D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2392B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4CD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Hand osteoarthritis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667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6C6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F19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6C8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F25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BBB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97A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MHN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D01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2A1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011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AD5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971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CBF9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F39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MHO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FE6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0.84 (0.72, 1.00)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C30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73E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F56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0.76(0.58, 0.98)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A7E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0.033</w:t>
            </w:r>
          </w:p>
        </w:tc>
      </w:tr>
      <w:tr w14:paraId="2A4CF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44E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MUN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CB5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0.95 (0.89, 1.02)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F16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B2A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4FA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0.95(0.85, 1.05)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699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0.315</w:t>
            </w:r>
          </w:p>
        </w:tc>
      </w:tr>
      <w:tr w14:paraId="36935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A63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MUO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1F6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0.90 (0.83, 0.97)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0AF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E79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64E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0.85 (0.75, 0.96)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660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0.009</w:t>
            </w:r>
          </w:p>
        </w:tc>
      </w:tr>
      <w:tr w14:paraId="02A82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679" w:type="dxa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FAABA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textAlignment w:val="center"/>
              <w:rPr>
                <w:rFonts w:hint="default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Note: Bold denotes statistically significant results. CI, confidence interval; OA, osteoarthritis; Ref, reference; MHN, metabolically healthy non-obesity; MHO, metabolically healthy obesity; MUN, metabolically unhealthy non-obesity; MUO, metabolically unhealthy obesity.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Time Ratio of&lt;l indicates a detrimental effect of metabolic-obesity phenotypes on the risk of osteoarthritis.</w:t>
            </w:r>
          </w:p>
          <w:p w14:paraId="7969C7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Model 1: adjusted for age, sex. Mode 2: further adjusted for race, TDI, smoking status, drinking status, and physical activity.</w:t>
            </w:r>
          </w:p>
        </w:tc>
      </w:tr>
    </w:tbl>
    <w:p w14:paraId="01875E63">
      <w:pPr>
        <w:ind w:firstLine="0"/>
        <w:jc w:val="left"/>
        <w:rPr>
          <w:rFonts w:hint="default" w:ascii="Times New Roman" w:hAnsi="Times New Roman" w:eastAsia="宋体" w:cs="Times New Roman"/>
          <w:kern w:val="0"/>
          <w:sz w:val="24"/>
          <w:szCs w:val="32"/>
          <w:lang w:val="en-US" w:eastAsia="zh-CN" w:bidi="ar"/>
        </w:rPr>
        <w:sectPr>
          <w:pgSz w:w="12240" w:h="15840"/>
          <w:pgMar w:top="1440" w:right="1800" w:bottom="1440" w:left="1800" w:header="720" w:footer="720" w:gutter="0"/>
          <w:cols w:space="425" w:num="1"/>
          <w:docGrid w:type="lines" w:linePitch="312" w:charSpace="0"/>
        </w:sectPr>
      </w:pPr>
    </w:p>
    <w:p w14:paraId="63EAB241">
      <w:pPr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4688840"/>
            <wp:effectExtent l="0" t="0" r="0" b="0"/>
            <wp:docPr id="1" name="图片 1" descr="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森林图"/>
                    <pic:cNvPicPr>
                      <a:picLocks noChangeAspect="1"/>
                    </pic:cNvPicPr>
                  </pic:nvPicPr>
                  <pic:blipFill>
                    <a:blip r:embed="rId4"/>
                    <a:srcRect l="1597" t="1736" r="2338" b="330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68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BA7CE">
      <w:pPr>
        <w:pStyle w:val="2"/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SEQ Supplementary_Figure \* ARABIC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hint="eastAsia"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Subgroup analysis </w:t>
      </w:r>
      <w:r>
        <w:rPr>
          <w:rFonts w:hint="eastAsia"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hint="eastAsia" w:ascii="Times New Roman" w:hAnsi="Times New Roman" w:cs="Times New Roman"/>
          <w:sz w:val="24"/>
          <w:szCs w:val="24"/>
        </w:rPr>
        <w:t xml:space="preserve"> association </w:t>
      </w:r>
      <w:r>
        <w:rPr>
          <w:rFonts w:ascii="Times New Roman" w:hAnsi="Times New Roman" w:cs="Times New Roman"/>
          <w:sz w:val="24"/>
          <w:szCs w:val="24"/>
        </w:rPr>
        <w:t>between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metabolic-obesity phenotypes and the</w:t>
      </w:r>
      <w:r>
        <w:rPr>
          <w:rFonts w:ascii="Times New Roman" w:hAnsi="Times New Roman" w:cs="Times New Roman"/>
          <w:sz w:val="24"/>
          <w:szCs w:val="24"/>
        </w:rPr>
        <w:t xml:space="preserve"> risk of</w:t>
      </w:r>
      <w:r>
        <w:rPr>
          <w:rFonts w:hint="eastAsia" w:ascii="Times New Roman" w:hAnsi="Times New Roman" w:cs="Times New Roman"/>
          <w:sz w:val="24"/>
          <w:szCs w:val="24"/>
        </w:rPr>
        <w:t xml:space="preserve"> knee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osteoarthritis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OA, </w:t>
      </w:r>
      <w:bookmarkStart w:id="0" w:name="_GoBack"/>
      <w:bookmarkEnd w:id="0"/>
      <w:r>
        <w:rPr>
          <w:rFonts w:hint="eastAsia" w:ascii="Times New Roman" w:hAnsi="Times New Roman" w:cs="Times New Roman"/>
          <w:sz w:val="24"/>
          <w:szCs w:val="24"/>
        </w:rPr>
        <w:t>osteoarthritis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; </w:t>
      </w:r>
      <w:r>
        <w:rPr>
          <w:rFonts w:hint="eastAsia" w:ascii="Times New Roman" w:hAnsi="Times New Roman" w:cs="Times New Roman"/>
          <w:sz w:val="24"/>
          <w:szCs w:val="24"/>
        </w:rPr>
        <w:t>TR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,</w:t>
      </w:r>
      <w:r>
        <w:rPr>
          <w:rFonts w:hint="eastAsia" w:ascii="Times New Roman" w:hAnsi="Times New Roman" w:cs="Times New Roman"/>
          <w:sz w:val="24"/>
          <w:szCs w:val="24"/>
        </w:rPr>
        <w:t xml:space="preserve"> Time ratio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; </w:t>
      </w:r>
      <w:r>
        <w:rPr>
          <w:rFonts w:hint="eastAsia" w:ascii="Times New Roman" w:hAnsi="Times New Roman" w:cs="Times New Roman"/>
          <w:sz w:val="24"/>
          <w:szCs w:val="24"/>
        </w:rPr>
        <w:t>TR of&lt;l indicates a detrimental effect of metabolic-obesity phenotypes on the risk of osteoarthritis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</w:t>
      </w:r>
    </w:p>
    <w:p w14:paraId="67797361"/>
    <w:p w14:paraId="394C3099"/>
    <w:p w14:paraId="3AF13327"/>
    <w:p w14:paraId="52442347"/>
    <w:p w14:paraId="1B0A38E8">
      <w:r>
        <w:rPr>
          <w:rFonts w:hint="eastAsia"/>
        </w:rPr>
        <w:tab/>
      </w:r>
      <w:r>
        <w:rPr>
          <w:rFonts w:hint="eastAsia"/>
        </w:rPr>
        <w:drawing>
          <wp:inline distT="0" distB="0" distL="114300" distR="114300">
            <wp:extent cx="5486400" cy="3291840"/>
            <wp:effectExtent l="0" t="0" r="0" b="0"/>
            <wp:docPr id="3" name="图片 3" descr="RCS超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RCS超清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7235D526"/>
    <w:p w14:paraId="163F0DD7">
      <w:pPr>
        <w:pStyle w:val="2"/>
      </w:pPr>
      <w:r>
        <w:rPr>
          <w:rFonts w:ascii="Times New Roman" w:hAnsi="Times New Roman" w:cs="Times New Roman"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SEQ Supplementary_Figure \* ARABIC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sz w:val="24"/>
          <w:lang w:bidi="ar"/>
        </w:rPr>
        <w:t xml:space="preserve">The nonlinear </w:t>
      </w:r>
      <w:r>
        <w:rPr>
          <w:rFonts w:hint="eastAsia" w:ascii="Times New Roman" w:hAnsi="Times New Roman" w:eastAsia="宋体" w:cs="Times New Roman"/>
          <w:sz w:val="24"/>
          <w:lang w:bidi="ar"/>
        </w:rPr>
        <w:t>association</w:t>
      </w:r>
      <w:r>
        <w:rPr>
          <w:rFonts w:ascii="Times New Roman" w:hAnsi="Times New Roman" w:eastAsia="宋体" w:cs="Times New Roman"/>
          <w:sz w:val="24"/>
          <w:lang w:bidi="ar"/>
        </w:rPr>
        <w:t xml:space="preserve"> between </w:t>
      </w:r>
      <w:r>
        <w:rPr>
          <w:rFonts w:hint="eastAsia" w:ascii="Times New Roman" w:hAnsi="Times New Roman" w:eastAsia="宋体" w:cs="Times New Roman"/>
          <w:sz w:val="24"/>
          <w:lang w:bidi="ar"/>
        </w:rPr>
        <w:t xml:space="preserve">body mass index (BMI) </w:t>
      </w:r>
      <w:r>
        <w:rPr>
          <w:rFonts w:ascii="Times New Roman" w:hAnsi="Times New Roman" w:eastAsia="宋体" w:cs="Times New Roman"/>
          <w:sz w:val="24"/>
          <w:lang w:bidi="ar"/>
        </w:rPr>
        <w:t>and the risk of</w:t>
      </w:r>
      <w:r>
        <w:rPr>
          <w:rFonts w:hint="eastAsia" w:ascii="Times New Roman" w:hAnsi="Times New Roman" w:eastAsia="宋体" w:cs="Times New Roman"/>
          <w:sz w:val="24"/>
          <w:lang w:bidi="ar"/>
        </w:rPr>
        <w:t xml:space="preserve"> (A)</w:t>
      </w:r>
      <w:r>
        <w:rPr>
          <w:rFonts w:ascii="Times New Roman" w:hAnsi="Times New Roman" w:eastAsia="宋体" w:cs="Times New Roman"/>
          <w:sz w:val="24"/>
          <w:lang w:bidi="ar"/>
        </w:rPr>
        <w:t xml:space="preserve"> knee </w:t>
      </w:r>
      <w:r>
        <w:rPr>
          <w:rFonts w:hint="eastAsia" w:ascii="Times New Roman" w:hAnsi="Times New Roman" w:eastAsia="宋体" w:cs="Times New Roman"/>
          <w:sz w:val="24"/>
          <w:lang w:bidi="ar"/>
        </w:rPr>
        <w:t>and (B) hand osteoarthritis.</w:t>
      </w:r>
      <w:r>
        <w:rPr>
          <w:rFonts w:ascii="Times New Roman" w:hAnsi="Times New Roman" w:eastAsia="宋体" w:cs="Times New Roman"/>
          <w:sz w:val="24"/>
          <w:lang w:bidi="ar"/>
        </w:rPr>
        <w:t xml:space="preserve"> Red</w:t>
      </w:r>
      <w:r>
        <w:rPr>
          <w:rFonts w:hint="eastAsia" w:ascii="Times New Roman" w:hAnsi="Times New Roman" w:eastAsia="宋体" w:cs="Times New Roman"/>
          <w:sz w:val="24"/>
          <w:lang w:bidi="ar"/>
        </w:rPr>
        <w:t xml:space="preserve"> and blue</w:t>
      </w:r>
      <w:r>
        <w:rPr>
          <w:rFonts w:ascii="Times New Roman" w:hAnsi="Times New Roman" w:eastAsia="宋体" w:cs="Times New Roman"/>
          <w:sz w:val="24"/>
          <w:lang w:bidi="ar"/>
        </w:rPr>
        <w:t xml:space="preserve"> lines are estimated effects from restricted cubic spline and accelerated failure time models, and shadows indicates 95% confidence interval.</w:t>
      </w:r>
    </w:p>
    <w:p w14:paraId="5461229B"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2sDQwNzE0NTUztTCzsDRU0lEKTi0uzszPAykwrgUA6SVQPiwAAAA="/>
  </w:docVars>
  <w:rsids>
    <w:rsidRoot w:val="7D6A5AA7"/>
    <w:rsid w:val="00033CB1"/>
    <w:rsid w:val="00080B4A"/>
    <w:rsid w:val="000B3E8F"/>
    <w:rsid w:val="000E7166"/>
    <w:rsid w:val="000F0B2E"/>
    <w:rsid w:val="001163A2"/>
    <w:rsid w:val="00175272"/>
    <w:rsid w:val="001D487F"/>
    <w:rsid w:val="001D7D3F"/>
    <w:rsid w:val="001F536E"/>
    <w:rsid w:val="0024288E"/>
    <w:rsid w:val="002B3C2A"/>
    <w:rsid w:val="002C34FB"/>
    <w:rsid w:val="003C06CA"/>
    <w:rsid w:val="003F0209"/>
    <w:rsid w:val="00417783"/>
    <w:rsid w:val="00483BDD"/>
    <w:rsid w:val="004C520D"/>
    <w:rsid w:val="004D336B"/>
    <w:rsid w:val="00511BC5"/>
    <w:rsid w:val="005A2ADB"/>
    <w:rsid w:val="005F1973"/>
    <w:rsid w:val="00637995"/>
    <w:rsid w:val="00646105"/>
    <w:rsid w:val="006552F7"/>
    <w:rsid w:val="00664E6B"/>
    <w:rsid w:val="00687552"/>
    <w:rsid w:val="006A2EE5"/>
    <w:rsid w:val="006F7A21"/>
    <w:rsid w:val="00744E90"/>
    <w:rsid w:val="00766EB5"/>
    <w:rsid w:val="007B20D8"/>
    <w:rsid w:val="007B2F16"/>
    <w:rsid w:val="00866822"/>
    <w:rsid w:val="00887050"/>
    <w:rsid w:val="008D6AE3"/>
    <w:rsid w:val="0090048C"/>
    <w:rsid w:val="00910EF3"/>
    <w:rsid w:val="00912972"/>
    <w:rsid w:val="009256E4"/>
    <w:rsid w:val="00983CE0"/>
    <w:rsid w:val="009A0204"/>
    <w:rsid w:val="00A107E3"/>
    <w:rsid w:val="00A375C8"/>
    <w:rsid w:val="00A97848"/>
    <w:rsid w:val="00AE401F"/>
    <w:rsid w:val="00AF731F"/>
    <w:rsid w:val="00B10081"/>
    <w:rsid w:val="00B14227"/>
    <w:rsid w:val="00B26872"/>
    <w:rsid w:val="00B44DF8"/>
    <w:rsid w:val="00B77217"/>
    <w:rsid w:val="00BD7987"/>
    <w:rsid w:val="00C0174F"/>
    <w:rsid w:val="00C36338"/>
    <w:rsid w:val="00CA5145"/>
    <w:rsid w:val="00CE27B7"/>
    <w:rsid w:val="00D02CD1"/>
    <w:rsid w:val="00D037A5"/>
    <w:rsid w:val="00D04933"/>
    <w:rsid w:val="00D80F0F"/>
    <w:rsid w:val="00DB465C"/>
    <w:rsid w:val="00E13C88"/>
    <w:rsid w:val="00E97092"/>
    <w:rsid w:val="00EB2664"/>
    <w:rsid w:val="00EF7183"/>
    <w:rsid w:val="00F117EC"/>
    <w:rsid w:val="00F56923"/>
    <w:rsid w:val="00FB50B8"/>
    <w:rsid w:val="036D57B3"/>
    <w:rsid w:val="0F5A34B7"/>
    <w:rsid w:val="0F841BAC"/>
    <w:rsid w:val="153D4CD7"/>
    <w:rsid w:val="1EAF0275"/>
    <w:rsid w:val="236415F6"/>
    <w:rsid w:val="31903F88"/>
    <w:rsid w:val="3222688E"/>
    <w:rsid w:val="33484B1B"/>
    <w:rsid w:val="3632572F"/>
    <w:rsid w:val="36CA4C2A"/>
    <w:rsid w:val="37EB3CC7"/>
    <w:rsid w:val="37FA7069"/>
    <w:rsid w:val="38752886"/>
    <w:rsid w:val="38975BFC"/>
    <w:rsid w:val="3BA460F1"/>
    <w:rsid w:val="3CE17BD2"/>
    <w:rsid w:val="400247BB"/>
    <w:rsid w:val="42C053C5"/>
    <w:rsid w:val="42FC147E"/>
    <w:rsid w:val="43BB5E19"/>
    <w:rsid w:val="474A4205"/>
    <w:rsid w:val="4B0E61F2"/>
    <w:rsid w:val="4D214025"/>
    <w:rsid w:val="4EC22BAC"/>
    <w:rsid w:val="51EE28D9"/>
    <w:rsid w:val="546319C0"/>
    <w:rsid w:val="58CE285E"/>
    <w:rsid w:val="5B2F4ED4"/>
    <w:rsid w:val="60C01EE6"/>
    <w:rsid w:val="62BA56A1"/>
    <w:rsid w:val="63E21241"/>
    <w:rsid w:val="64167220"/>
    <w:rsid w:val="67583EAC"/>
    <w:rsid w:val="68A3026B"/>
    <w:rsid w:val="696F20E1"/>
    <w:rsid w:val="6CF90446"/>
    <w:rsid w:val="6D95170F"/>
    <w:rsid w:val="6DE31375"/>
    <w:rsid w:val="6E113780"/>
    <w:rsid w:val="6E151FDD"/>
    <w:rsid w:val="70CC61FB"/>
    <w:rsid w:val="71FE401B"/>
    <w:rsid w:val="72216FE3"/>
    <w:rsid w:val="73EE3F97"/>
    <w:rsid w:val="73FC53C4"/>
    <w:rsid w:val="769B452E"/>
    <w:rsid w:val="76F679B7"/>
    <w:rsid w:val="7D6A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0"/>
    <w:rPr>
      <w:rFonts w:eastAsia="黑体" w:asciiTheme="majorHAnsi" w:hAnsiTheme="majorHAnsi" w:cstheme="majorBidi"/>
      <w:sz w:val="20"/>
      <w:szCs w:val="20"/>
    </w:rPr>
  </w:style>
  <w:style w:type="paragraph" w:styleId="3">
    <w:name w:val="annotation text"/>
    <w:basedOn w:val="1"/>
    <w:link w:val="14"/>
    <w:qFormat/>
    <w:uiPriority w:val="0"/>
    <w:rPr>
      <w:sz w:val="20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annotation subject"/>
    <w:basedOn w:val="3"/>
    <w:next w:val="3"/>
    <w:link w:val="15"/>
    <w:qFormat/>
    <w:uiPriority w:val="0"/>
    <w:rPr>
      <w:b/>
      <w:bCs/>
    </w:rPr>
  </w:style>
  <w:style w:type="character" w:styleId="10">
    <w:name w:val="annotation reference"/>
    <w:basedOn w:val="9"/>
    <w:qFormat/>
    <w:uiPriority w:val="0"/>
    <w:rPr>
      <w:sz w:val="16"/>
      <w:szCs w:val="16"/>
    </w:rPr>
  </w:style>
  <w:style w:type="character" w:customStyle="1" w:styleId="11">
    <w:name w:val="font21"/>
    <w:basedOn w:val="9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12">
    <w:name w:val="font11"/>
    <w:basedOn w:val="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paragraph" w:customStyle="1" w:styleId="13">
    <w:name w:val="Revision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4">
    <w:name w:val="批注文字 字符"/>
    <w:basedOn w:val="9"/>
    <w:link w:val="3"/>
    <w:qFormat/>
    <w:uiPriority w:val="0"/>
    <w:rPr>
      <w:rFonts w:asciiTheme="minorHAnsi" w:hAnsiTheme="minorHAnsi" w:eastAsiaTheme="minorEastAsia" w:cstheme="minorBidi"/>
      <w:kern w:val="2"/>
      <w:lang w:eastAsia="zh-CN"/>
    </w:rPr>
  </w:style>
  <w:style w:type="character" w:customStyle="1" w:styleId="15">
    <w:name w:val="批注主题 字符"/>
    <w:basedOn w:val="14"/>
    <w:link w:val="7"/>
    <w:qFormat/>
    <w:uiPriority w:val="0"/>
    <w:rPr>
      <w:rFonts w:asciiTheme="minorHAnsi" w:hAnsiTheme="minorHAnsi" w:eastAsiaTheme="minorEastAsia" w:cstheme="minorBidi"/>
      <w:b/>
      <w:bCs/>
      <w:kern w:val="2"/>
      <w:lang w:eastAsia="zh-CN"/>
    </w:rPr>
  </w:style>
  <w:style w:type="character" w:customStyle="1" w:styleId="16">
    <w:name w:val="font41"/>
    <w:basedOn w:val="9"/>
    <w:qFormat/>
    <w:uiPriority w:val="0"/>
    <w:rPr>
      <w:rFonts w:hint="default" w:ascii="Times New Roman" w:hAnsi="Times New Roman" w:cs="Times New Roman"/>
      <w:b/>
      <w:bCs/>
      <w:color w:val="000000"/>
      <w:sz w:val="18"/>
      <w:szCs w:val="18"/>
      <w:u w:val="none"/>
      <w:vertAlign w:val="superscript"/>
    </w:rPr>
  </w:style>
  <w:style w:type="character" w:customStyle="1" w:styleId="17">
    <w:name w:val="font51"/>
    <w:basedOn w:val="9"/>
    <w:qFormat/>
    <w:uiPriority w:val="0"/>
    <w:rPr>
      <w:rFonts w:hint="eastAsia" w:ascii="宋体" w:hAnsi="宋体" w:eastAsia="宋体" w:cs="宋体"/>
      <w:color w:val="000000"/>
      <w:sz w:val="12"/>
      <w:szCs w:val="12"/>
      <w:u w:val="none"/>
    </w:rPr>
  </w:style>
  <w:style w:type="paragraph" w:customStyle="1" w:styleId="18">
    <w:name w:val="Revision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9">
    <w:name w:val="Revision3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0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1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1E993-548F-4FB9-8895-6A82E23351C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560</Words>
  <Characters>3308</Characters>
  <Lines>116</Lines>
  <Paragraphs>61</Paragraphs>
  <TotalTime>4</TotalTime>
  <ScaleCrop>false</ScaleCrop>
  <LinksUpToDate>false</LinksUpToDate>
  <CharactersWithSpaces>3735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2025-03-14T01:46:00Z</dcterms:created>
  <dc:creator>怒而飞</dc:creator>
  <cp:lastModifiedBy>15696110372</cp:lastModifiedBy>
  <dcterms:modified xsi:type="dcterms:W3CDTF">2025-07-13T03:36:17Z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DA3F60B825A94701ABC731D9C3CD1711_13</vt:lpwstr>
  </property>
  <property fmtid="{D5CDD505-2E9C-101B-9397-08002B2CF9AE}" pid="4" name="KSOTemplateDocerSaveRecord">
    <vt:lpwstr>eyJoZGlkIjoiMTk3OTcwMmRkNTI4ZGQ2OTI5M2E1YTRlOTY1ZGVhNGUiLCJ1c2VySWQiOiIxNzE5MTkwNTU4In0=</vt:lpwstr>
  </property>
</Properties>
</file>