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65AC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sz w:val="24"/>
          <w:szCs w:val="24"/>
        </w:rPr>
        <w:t>Summary of Findings table</w:t>
      </w:r>
    </w:p>
    <w:bookmarkEnd w:id="0"/>
    <w:tbl>
      <w:tblPr>
        <w:tblStyle w:val="2"/>
        <w:tblW w:w="5476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17"/>
        <w:gridCol w:w="551"/>
        <w:gridCol w:w="963"/>
        <w:gridCol w:w="825"/>
        <w:gridCol w:w="972"/>
        <w:gridCol w:w="902"/>
        <w:gridCol w:w="832"/>
        <w:gridCol w:w="832"/>
        <w:gridCol w:w="691"/>
        <w:gridCol w:w="1710"/>
      </w:tblGrid>
      <w:tr w14:paraId="55922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474" w:type="pct"/>
            <w:shd w:val="clear" w:color="auto" w:fill="auto"/>
            <w:vAlign w:val="center"/>
          </w:tcPr>
          <w:p w14:paraId="6BC12A8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Outcome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79A7F73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No. of studies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F02D6A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Study design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F6E69D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Risk of bias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6D1A129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Inconsistency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20EA2C4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Indirectness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A9D3CD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Imprecision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5616A83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Publication bias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737E48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Overall certainty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44D41E0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Summary of findings</w:t>
            </w:r>
          </w:p>
        </w:tc>
      </w:tr>
      <w:tr w14:paraId="5A8D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74" w:type="pct"/>
            <w:shd w:val="clear" w:color="auto" w:fill="auto"/>
            <w:vAlign w:val="center"/>
          </w:tcPr>
          <w:p w14:paraId="00DC137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Nonunion / secondary displacement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2DD3C46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C8FA7A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D157E5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 (selection bias, incomplete follow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up)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03AADD5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 (I² &gt; 60%)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5FA993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5A1925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 (low event rate)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5AF2AF6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Possible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F3081B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6C017B0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Conservative treatment associated with higher displacement risk, but causality cannot be established.</w:t>
            </w:r>
          </w:p>
        </w:tc>
      </w:tr>
      <w:tr w14:paraId="7CDE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74" w:type="pct"/>
            <w:shd w:val="clear" w:color="auto" w:fill="auto"/>
            <w:vAlign w:val="center"/>
          </w:tcPr>
          <w:p w14:paraId="4F0CED1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Malunion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2A849B8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7EE26C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2CF433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448A3B5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A11675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D56D6B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5110C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Possible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A3EF25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656E9CC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Malunion occurred more frequently in conservative treatment, but absolute risk remained low.</w:t>
            </w:r>
          </w:p>
        </w:tc>
      </w:tr>
      <w:tr w14:paraId="54D5D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74" w:type="pct"/>
            <w:shd w:val="clear" w:color="auto" w:fill="auto"/>
            <w:vAlign w:val="center"/>
          </w:tcPr>
          <w:p w14:paraId="75735D6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Delayed healing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29B0E24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688BCB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E07417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22E96E0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322F9FA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C2648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6BF0B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Possible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1C26A7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Very low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4F36EDF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Evidence insufficient to determine whether conservative treatment increases delayed healing.</w:t>
            </w:r>
          </w:p>
        </w:tc>
      </w:tr>
      <w:tr w14:paraId="6197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74" w:type="pct"/>
            <w:shd w:val="clear" w:color="auto" w:fill="auto"/>
            <w:vAlign w:val="center"/>
          </w:tcPr>
          <w:p w14:paraId="6BD6944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Fracture healing rate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600070B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650EA72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25FD22C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40EC78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E5F25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FA24BA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F721EB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Possible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B97B1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Low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4A4CB15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Healing rate generally high (&gt;90%) with conservative treatment.</w:t>
            </w:r>
          </w:p>
        </w:tc>
      </w:tr>
      <w:tr w14:paraId="34AC3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74" w:type="pct"/>
            <w:shd w:val="clear" w:color="auto" w:fill="auto"/>
            <w:vAlign w:val="center"/>
          </w:tcPr>
          <w:p w14:paraId="1D44D5A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Nerve injury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5A7F99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F2C79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5EBCD9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Serious</w:t>
            </w:r>
          </w:p>
        </w:tc>
        <w:tc>
          <w:tcPr>
            <w:tcW w:w="512" w:type="pct"/>
            <w:shd w:val="clear" w:color="auto" w:fill="auto"/>
            <w:vAlign w:val="center"/>
          </w:tcPr>
          <w:p w14:paraId="674F5ED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74" w:type="pct"/>
            <w:shd w:val="clear" w:color="auto" w:fill="auto"/>
            <w:vAlign w:val="center"/>
          </w:tcPr>
          <w:p w14:paraId="4263A81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serious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A6F99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Very serious (rare events)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AFA1ED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Possible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766225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Very low</w:t>
            </w:r>
          </w:p>
        </w:tc>
        <w:tc>
          <w:tcPr>
            <w:tcW w:w="905" w:type="pct"/>
            <w:shd w:val="clear" w:color="auto" w:fill="auto"/>
            <w:vAlign w:val="center"/>
          </w:tcPr>
          <w:p w14:paraId="3F08EFC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 clear difference between treatments; evidence highly uncertain.</w:t>
            </w:r>
          </w:p>
        </w:tc>
      </w:tr>
    </w:tbl>
    <w:p w14:paraId="0926C4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1865CFCE-27AA-452A-8A52-E6E7FAE85B34}"/>
    <w:docVar w:name="KY_MEDREF_VERSION" w:val="3"/>
  </w:docVars>
  <w:rsids>
    <w:rsidRoot w:val="00000000"/>
    <w:rsid w:val="20D942E0"/>
    <w:rsid w:val="496C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976</Characters>
  <Lines>0</Lines>
  <Paragraphs>0</Paragraphs>
  <TotalTime>0</TotalTime>
  <ScaleCrop>false</ScaleCrop>
  <LinksUpToDate>false</LinksUpToDate>
  <CharactersWithSpaces>1065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2026-01-05T06:39:00Z</dcterms:created>
  <dc:creator>lcc12</dc:creator>
  <cp:lastModifiedBy>Li</cp:lastModifiedBy>
  <dcterms:modified xsi:type="dcterms:W3CDTF">2026-01-05T06:44:57Z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eyJoZGlkIjoiMmVjMDE2MDNjOGFjNmQ4M2QzYTlhMmUyZmI0MmI2NDAiLCJ1c2VySWQiOiIyNDcwODY4NzIifQ==</vt:lpwstr>
  </property>
  <property fmtid="{D5CDD505-2E9C-101B-9397-08002B2CF9AE}" pid="4" name="ICV">
    <vt:lpwstr>CDE8FA3B70B646F6868BE49C01EA8387_12</vt:lpwstr>
  </property>
</Properties>
</file>