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71" w:tblpY="204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1508"/>
        <w:gridCol w:w="1932"/>
        <w:gridCol w:w="1325"/>
        <w:gridCol w:w="1325"/>
      </w:tblGrid>
      <w:tr w14:paraId="60D1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387" w:type="dxa"/>
            <w:vMerge w:val="restart"/>
            <w:vAlign w:val="center"/>
          </w:tcPr>
          <w:p w14:paraId="439926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b/>
                <w:vertAlign w:val="baseline"/>
                <w:lang w:val="en-US" w:eastAsia="zh-CN"/>
              </w:rPr>
              <w:t>Indicators</w:t>
            </w:r>
          </w:p>
        </w:tc>
        <w:tc>
          <w:tcPr>
            <w:tcW w:w="1482" w:type="dxa"/>
            <w:vAlign w:val="center"/>
          </w:tcPr>
          <w:p w14:paraId="5C5F17B5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vertAlign w:val="baseline"/>
              </w:rPr>
            </w:pPr>
            <w:r>
              <w:rPr>
                <w:b/>
                <w:vertAlign w:val="baseline"/>
              </w:rPr>
              <w:t>Primary Analysis</w:t>
            </w:r>
          </w:p>
        </w:tc>
        <w:tc>
          <w:tcPr>
            <w:tcW w:w="4653" w:type="dxa"/>
            <w:gridSpan w:val="3"/>
            <w:vAlign w:val="center"/>
          </w:tcPr>
          <w:p w14:paraId="26A3C6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Sensitivity Analysis</w:t>
            </w:r>
          </w:p>
        </w:tc>
      </w:tr>
      <w:tr w14:paraId="11BE8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387" w:type="dxa"/>
            <w:vMerge w:val="continue"/>
            <w:vAlign w:val="center"/>
          </w:tcPr>
          <w:p w14:paraId="06730343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vertAlign w:val="baseline"/>
              </w:rPr>
            </w:pPr>
          </w:p>
        </w:tc>
        <w:tc>
          <w:tcPr>
            <w:tcW w:w="1482" w:type="dxa"/>
            <w:vAlign w:val="center"/>
          </w:tcPr>
          <w:p w14:paraId="074B7900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vertAlign w:val="baseline"/>
              </w:rPr>
            </w:pPr>
            <w:r>
              <w:rPr>
                <w:b/>
                <w:vertAlign w:val="baseline"/>
              </w:rPr>
              <w:t>Anchor-based, MCID=8.2</w:t>
            </w:r>
          </w:p>
        </w:tc>
        <w:tc>
          <w:tcPr>
            <w:tcW w:w="1897" w:type="dxa"/>
            <w:vAlign w:val="center"/>
          </w:tcPr>
          <w:p w14:paraId="2C2D1991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vertAlign w:val="baseline"/>
              </w:rPr>
            </w:pPr>
            <w:r>
              <w:rPr>
                <w:b/>
                <w:vertAlign w:val="baseline"/>
              </w:rPr>
              <w:t xml:space="preserve"> </w:t>
            </w:r>
          </w:p>
          <w:p w14:paraId="00A242B8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vertAlign w:val="baseline"/>
              </w:rPr>
            </w:pPr>
            <w:r>
              <w:rPr>
                <w:b/>
                <w:vertAlign w:val="baseline"/>
              </w:rPr>
              <w:t>Distribution-based, MCID=9.8</w:t>
            </w:r>
          </w:p>
        </w:tc>
        <w:tc>
          <w:tcPr>
            <w:tcW w:w="1378" w:type="dxa"/>
            <w:vAlign w:val="center"/>
          </w:tcPr>
          <w:p w14:paraId="605CD0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W</w:t>
            </w:r>
            <w:r>
              <w:rPr>
                <w:b/>
                <w:vertAlign w:val="baseline"/>
              </w:rPr>
              <w:t>orst-case scenario</w:t>
            </w:r>
            <w:r>
              <w:rPr>
                <w:rFonts w:hint="eastAsia"/>
                <w:b/>
                <w:vertAlign w:val="baseline"/>
                <w:lang w:val="en-US" w:eastAsia="zh-CN"/>
              </w:rPr>
              <w:t xml:space="preserve"> 1 </w:t>
            </w:r>
          </w:p>
        </w:tc>
        <w:tc>
          <w:tcPr>
            <w:tcW w:w="1378" w:type="dxa"/>
            <w:vAlign w:val="center"/>
          </w:tcPr>
          <w:p w14:paraId="5B8C63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W</w:t>
            </w:r>
            <w:r>
              <w:rPr>
                <w:b/>
                <w:vertAlign w:val="baseline"/>
              </w:rPr>
              <w:t>orst-case scenario</w:t>
            </w:r>
            <w:r>
              <w:rPr>
                <w:rFonts w:hint="eastAsia"/>
                <w:b/>
                <w:vertAlign w:val="baseline"/>
                <w:lang w:val="en-US" w:eastAsia="zh-CN"/>
              </w:rPr>
              <w:t xml:space="preserve"> 2</w:t>
            </w:r>
          </w:p>
        </w:tc>
      </w:tr>
      <w:tr w14:paraId="12B3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387" w:type="dxa"/>
            <w:vAlign w:val="center"/>
          </w:tcPr>
          <w:p w14:paraId="23EE32DC">
            <w:pPr>
              <w:snapToGrid w:val="0"/>
              <w:ind w:left="0" w:leftChars="0" w:right="0" w:rightChars="0" w:firstLine="0" w:firstLineChars="0"/>
              <w:jc w:val="left"/>
              <w:rPr>
                <w:b/>
                <w:vertAlign w:val="baseline"/>
              </w:rPr>
            </w:pPr>
            <w:r>
              <w:rPr>
                <w:b w:val="0"/>
                <w:bCs/>
                <w:vertAlign w:val="baseline"/>
              </w:rPr>
              <w:t>MCID Threshold</w:t>
            </w:r>
          </w:p>
        </w:tc>
        <w:tc>
          <w:tcPr>
            <w:tcW w:w="1482" w:type="dxa"/>
            <w:vAlign w:val="center"/>
          </w:tcPr>
          <w:p w14:paraId="19000EE0">
            <w:pPr>
              <w:snapToGrid w:val="0"/>
              <w:ind w:left="0" w:leftChars="0" w:right="0" w:rightChars="0" w:firstLine="0" w:firstLineChars="0"/>
              <w:jc w:val="center"/>
              <w:rPr>
                <w:b w:val="0"/>
                <w:bCs/>
                <w:vertAlign w:val="baseline"/>
              </w:rPr>
            </w:pPr>
            <w:r>
              <w:rPr>
                <w:b w:val="0"/>
                <w:bCs/>
                <w:vertAlign w:val="baseline"/>
              </w:rPr>
              <w:t>≥ 9-point improvement</w:t>
            </w:r>
          </w:p>
        </w:tc>
        <w:tc>
          <w:tcPr>
            <w:tcW w:w="1897" w:type="dxa"/>
            <w:vAlign w:val="center"/>
          </w:tcPr>
          <w:p w14:paraId="09CA72BE">
            <w:pPr>
              <w:snapToGrid w:val="0"/>
              <w:ind w:left="0" w:leftChars="0" w:right="0" w:rightChars="0" w:firstLine="0" w:firstLineChars="0"/>
              <w:jc w:val="center"/>
              <w:rPr>
                <w:b w:val="0"/>
                <w:bCs/>
                <w:vertAlign w:val="baseline"/>
              </w:rPr>
            </w:pPr>
            <w:r>
              <w:rPr>
                <w:b w:val="0"/>
                <w:bCs/>
                <w:vertAlign w:val="baseline"/>
              </w:rPr>
              <w:t>≥ 10-point improvement</w:t>
            </w:r>
          </w:p>
        </w:tc>
        <w:tc>
          <w:tcPr>
            <w:tcW w:w="1378" w:type="dxa"/>
            <w:vAlign w:val="center"/>
          </w:tcPr>
          <w:p w14:paraId="571A200B">
            <w:pPr>
              <w:snapToGrid w:val="0"/>
              <w:ind w:left="0" w:leftChars="0" w:right="0" w:rightChars="0" w:firstLine="0" w:firstLineChars="0"/>
              <w:jc w:val="center"/>
              <w:rPr>
                <w:b w:val="0"/>
                <w:bCs/>
                <w:vertAlign w:val="baseline"/>
              </w:rPr>
            </w:pPr>
            <w:r>
              <w:rPr>
                <w:b w:val="0"/>
                <w:bCs/>
                <w:vertAlign w:val="baseline"/>
              </w:rPr>
              <w:t>≥ 9-point improvement</w:t>
            </w:r>
          </w:p>
        </w:tc>
        <w:tc>
          <w:tcPr>
            <w:tcW w:w="1378" w:type="dxa"/>
            <w:vAlign w:val="center"/>
          </w:tcPr>
          <w:p w14:paraId="5E73317F">
            <w:pPr>
              <w:snapToGrid w:val="0"/>
              <w:ind w:left="0" w:leftChars="0" w:right="0" w:rightChars="0" w:firstLine="0" w:firstLineChars="0"/>
              <w:jc w:val="center"/>
              <w:rPr>
                <w:b w:val="0"/>
                <w:bCs/>
                <w:vertAlign w:val="baseline"/>
              </w:rPr>
            </w:pPr>
            <w:r>
              <w:rPr>
                <w:b w:val="0"/>
                <w:bCs/>
                <w:vertAlign w:val="baseline"/>
              </w:rPr>
              <w:t>≥ 9-point improvement</w:t>
            </w:r>
          </w:p>
        </w:tc>
      </w:tr>
      <w:tr w14:paraId="7238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7E5FDD01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Achievers (n / %)</w:t>
            </w:r>
          </w:p>
        </w:tc>
        <w:tc>
          <w:tcPr>
            <w:tcW w:w="1482" w:type="dxa"/>
            <w:vAlign w:val="center"/>
          </w:tcPr>
          <w:p w14:paraId="615909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 (37.7%)</w:t>
            </w:r>
          </w:p>
        </w:tc>
        <w:tc>
          <w:tcPr>
            <w:tcW w:w="1897" w:type="dxa"/>
            <w:vAlign w:val="center"/>
          </w:tcPr>
          <w:p w14:paraId="238D27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108 (36.4%)</w:t>
            </w:r>
          </w:p>
        </w:tc>
        <w:tc>
          <w:tcPr>
            <w:tcW w:w="1378" w:type="dxa"/>
            <w:vAlign w:val="center"/>
          </w:tcPr>
          <w:p w14:paraId="5BF075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127 (40.7%)</w:t>
            </w:r>
          </w:p>
        </w:tc>
        <w:tc>
          <w:tcPr>
            <w:tcW w:w="1378" w:type="dxa"/>
            <w:vAlign w:val="center"/>
          </w:tcPr>
          <w:p w14:paraId="69EEA2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 (35.9%)</w:t>
            </w:r>
          </w:p>
        </w:tc>
      </w:tr>
      <w:tr w14:paraId="6A102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7" w:type="dxa"/>
            <w:vAlign w:val="center"/>
          </w:tcPr>
          <w:p w14:paraId="2CFC7F0F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Training AUC (95% CI)</w:t>
            </w:r>
          </w:p>
        </w:tc>
        <w:tc>
          <w:tcPr>
            <w:tcW w:w="1482" w:type="dxa"/>
            <w:vAlign w:val="center"/>
          </w:tcPr>
          <w:p w14:paraId="70013DD0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0.81 (0.75-0.87)</w:t>
            </w:r>
          </w:p>
        </w:tc>
        <w:tc>
          <w:tcPr>
            <w:tcW w:w="1897" w:type="dxa"/>
            <w:vAlign w:val="center"/>
          </w:tcPr>
          <w:p w14:paraId="0B5AC5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0.79 (0.73-0.86)</w:t>
            </w:r>
          </w:p>
        </w:tc>
        <w:tc>
          <w:tcPr>
            <w:tcW w:w="1378" w:type="dxa"/>
            <w:vAlign w:val="center"/>
          </w:tcPr>
          <w:p w14:paraId="38E2FC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0.77 (0.71-0.83)</w:t>
            </w:r>
          </w:p>
        </w:tc>
        <w:tc>
          <w:tcPr>
            <w:tcW w:w="1378" w:type="dxa"/>
            <w:vAlign w:val="center"/>
          </w:tcPr>
          <w:p w14:paraId="15F5334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0.76 (0.70-0.82)</w:t>
            </w:r>
          </w:p>
        </w:tc>
      </w:tr>
      <w:tr w14:paraId="1FE6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0A8DDB60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Validation AUC (95% CI)</w:t>
            </w:r>
          </w:p>
        </w:tc>
        <w:tc>
          <w:tcPr>
            <w:tcW w:w="1482" w:type="dxa"/>
            <w:vAlign w:val="center"/>
          </w:tcPr>
          <w:p w14:paraId="7BE36FD8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0.75 (0.55-0.95)</w:t>
            </w:r>
          </w:p>
        </w:tc>
        <w:tc>
          <w:tcPr>
            <w:tcW w:w="1897" w:type="dxa"/>
            <w:vAlign w:val="center"/>
          </w:tcPr>
          <w:p w14:paraId="4DEF68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0.81 (0.64-0.98)</w:t>
            </w:r>
          </w:p>
        </w:tc>
        <w:tc>
          <w:tcPr>
            <w:tcW w:w="1378" w:type="dxa"/>
            <w:vAlign w:val="center"/>
          </w:tcPr>
          <w:p w14:paraId="1D8C9B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0.74 (0.57,0.91)</w:t>
            </w:r>
          </w:p>
        </w:tc>
        <w:tc>
          <w:tcPr>
            <w:tcW w:w="1378" w:type="dxa"/>
            <w:vAlign w:val="center"/>
          </w:tcPr>
          <w:p w14:paraId="28279B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0.75 (0.66-0.84)</w:t>
            </w:r>
          </w:p>
        </w:tc>
      </w:tr>
      <w:tr w14:paraId="41C3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535BDE7E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Key Risk Factors</w:t>
            </w:r>
          </w:p>
        </w:tc>
        <w:tc>
          <w:tcPr>
            <w:tcW w:w="1482" w:type="dxa"/>
            <w:vAlign w:val="center"/>
          </w:tcPr>
          <w:p w14:paraId="20907ABC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Preop KSS, SF-36 RE, Pain Duration, UA, Tourniquet Time</w:t>
            </w:r>
          </w:p>
        </w:tc>
        <w:tc>
          <w:tcPr>
            <w:tcW w:w="1897" w:type="dxa"/>
            <w:vAlign w:val="center"/>
          </w:tcPr>
          <w:p w14:paraId="06C789EE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Preop KSS, SF-36 RE, Pain Duration, UA, Tourniquet Time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73BA517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vertAlign w:val="baseline"/>
              </w:rPr>
              <w:t>Preop KSS, SF-36 RE, Pain Duration, UA, Tourniquet Time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2060FD0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vertAlign w:val="baseline"/>
              </w:rPr>
              <w:t>Preop KSS, SF-36 RE, Pain Duration, UA, Tourniquet Time</w:t>
            </w:r>
          </w:p>
        </w:tc>
      </w:tr>
      <w:tr w14:paraId="1E909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652C82AF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Brier Score (Train)</w:t>
            </w:r>
          </w:p>
        </w:tc>
        <w:tc>
          <w:tcPr>
            <w:tcW w:w="1482" w:type="dxa"/>
            <w:vAlign w:val="center"/>
          </w:tcPr>
          <w:p w14:paraId="7D071E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0.167</w:t>
            </w:r>
          </w:p>
        </w:tc>
        <w:tc>
          <w:tcPr>
            <w:tcW w:w="1897" w:type="dxa"/>
            <w:vAlign w:val="center"/>
          </w:tcPr>
          <w:p w14:paraId="1A59E7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</w:rPr>
              <w:t>0.1</w:t>
            </w:r>
            <w:r>
              <w:rPr>
                <w:rFonts w:hint="eastAsia"/>
                <w:vertAlign w:val="baseline"/>
                <w:lang w:val="en-US" w:eastAsia="zh-CN"/>
              </w:rPr>
              <w:t>74</w:t>
            </w:r>
          </w:p>
        </w:tc>
        <w:tc>
          <w:tcPr>
            <w:tcW w:w="1378" w:type="dxa"/>
            <w:vAlign w:val="center"/>
          </w:tcPr>
          <w:p w14:paraId="79200B2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0.173</w:t>
            </w:r>
          </w:p>
        </w:tc>
        <w:tc>
          <w:tcPr>
            <w:tcW w:w="1378" w:type="dxa"/>
            <w:vAlign w:val="center"/>
          </w:tcPr>
          <w:p w14:paraId="594AF0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0.197</w:t>
            </w:r>
          </w:p>
        </w:tc>
      </w:tr>
      <w:tr w14:paraId="36F9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67888BF2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Brier Score (Validation)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ABB096F">
            <w:pPr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vertAlign w:val="baseline"/>
              </w:rPr>
              <w:t>0.171</w:t>
            </w:r>
          </w:p>
        </w:tc>
        <w:tc>
          <w:tcPr>
            <w:tcW w:w="1897" w:type="dxa"/>
            <w:vAlign w:val="center"/>
          </w:tcPr>
          <w:p w14:paraId="2BF088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vertAlign w:val="baseline"/>
              </w:rPr>
              <w:t>0.1</w:t>
            </w:r>
            <w:r>
              <w:rPr>
                <w:rFonts w:hint="eastAsia"/>
                <w:vertAlign w:val="baseline"/>
                <w:lang w:val="en-US" w:eastAsia="zh-CN"/>
              </w:rPr>
              <w:t>56</w:t>
            </w:r>
          </w:p>
        </w:tc>
        <w:tc>
          <w:tcPr>
            <w:tcW w:w="1378" w:type="dxa"/>
            <w:vAlign w:val="center"/>
          </w:tcPr>
          <w:p w14:paraId="637083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0.154</w:t>
            </w:r>
          </w:p>
        </w:tc>
        <w:tc>
          <w:tcPr>
            <w:tcW w:w="1378" w:type="dxa"/>
            <w:vAlign w:val="center"/>
          </w:tcPr>
          <w:p w14:paraId="4A67ED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0.147</w:t>
            </w:r>
          </w:p>
        </w:tc>
      </w:tr>
      <w:tr w14:paraId="6C74F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7C944A59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Hosmer-Lemeshow(Train)</w:t>
            </w:r>
          </w:p>
        </w:tc>
        <w:tc>
          <w:tcPr>
            <w:tcW w:w="1482" w:type="dxa"/>
            <w:vAlign w:val="center"/>
          </w:tcPr>
          <w:p w14:paraId="6EE08C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0.398</w:t>
            </w:r>
          </w:p>
        </w:tc>
        <w:tc>
          <w:tcPr>
            <w:tcW w:w="1897" w:type="dxa"/>
            <w:vAlign w:val="center"/>
          </w:tcPr>
          <w:p w14:paraId="655757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0.175</w:t>
            </w:r>
          </w:p>
        </w:tc>
        <w:tc>
          <w:tcPr>
            <w:tcW w:w="1378" w:type="dxa"/>
            <w:vAlign w:val="center"/>
          </w:tcPr>
          <w:p w14:paraId="611944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0.409</w:t>
            </w:r>
          </w:p>
        </w:tc>
        <w:tc>
          <w:tcPr>
            <w:tcW w:w="1378" w:type="dxa"/>
            <w:vAlign w:val="center"/>
          </w:tcPr>
          <w:p w14:paraId="180993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0.164</w:t>
            </w:r>
          </w:p>
        </w:tc>
      </w:tr>
      <w:tr w14:paraId="1DFD6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22C14169">
            <w:pPr>
              <w:snapToGrid w:val="0"/>
              <w:ind w:left="0" w:leftChars="0" w:right="0" w:rightChars="0" w:firstLine="0" w:firstLineChars="0"/>
              <w:jc w:val="left"/>
              <w:rPr>
                <w:vertAlign w:val="baseline"/>
              </w:rPr>
            </w:pPr>
            <w:r>
              <w:rPr>
                <w:vertAlign w:val="baseline"/>
              </w:rPr>
              <w:t>Hosmer-Lemeshow (Validation)</w:t>
            </w:r>
          </w:p>
        </w:tc>
        <w:tc>
          <w:tcPr>
            <w:tcW w:w="1482" w:type="dxa"/>
            <w:vAlign w:val="center"/>
          </w:tcPr>
          <w:p w14:paraId="18B51FA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0.757</w:t>
            </w:r>
          </w:p>
        </w:tc>
        <w:tc>
          <w:tcPr>
            <w:tcW w:w="1897" w:type="dxa"/>
            <w:vAlign w:val="center"/>
          </w:tcPr>
          <w:p w14:paraId="564346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0.434</w:t>
            </w:r>
          </w:p>
        </w:tc>
        <w:tc>
          <w:tcPr>
            <w:tcW w:w="1378" w:type="dxa"/>
            <w:vAlign w:val="center"/>
          </w:tcPr>
          <w:p w14:paraId="40A2087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0.282</w:t>
            </w:r>
          </w:p>
        </w:tc>
        <w:tc>
          <w:tcPr>
            <w:tcW w:w="1378" w:type="dxa"/>
            <w:vAlign w:val="center"/>
          </w:tcPr>
          <w:p w14:paraId="1E9DE81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0.421</w:t>
            </w:r>
          </w:p>
        </w:tc>
      </w:tr>
      <w:tr w14:paraId="3CE11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5664BB3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DCA(Train)</w:t>
            </w:r>
          </w:p>
        </w:tc>
        <w:tc>
          <w:tcPr>
            <w:tcW w:w="1482" w:type="dxa"/>
            <w:vAlign w:val="center"/>
          </w:tcPr>
          <w:p w14:paraId="65E21396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0-96%</w:t>
            </w:r>
          </w:p>
        </w:tc>
        <w:tc>
          <w:tcPr>
            <w:tcW w:w="1897" w:type="dxa"/>
            <w:vAlign w:val="center"/>
          </w:tcPr>
          <w:p w14:paraId="3DFE845E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0-9</w:t>
            </w:r>
            <w:r>
              <w:rPr>
                <w:rFonts w:hint="eastAsia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vertAlign w:val="baseline"/>
              </w:rPr>
              <w:t>%</w:t>
            </w:r>
          </w:p>
        </w:tc>
        <w:tc>
          <w:tcPr>
            <w:tcW w:w="1378" w:type="dxa"/>
            <w:vAlign w:val="center"/>
          </w:tcPr>
          <w:p w14:paraId="3B2991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0-90%</w:t>
            </w:r>
          </w:p>
        </w:tc>
        <w:tc>
          <w:tcPr>
            <w:tcW w:w="1378" w:type="dxa"/>
            <w:vAlign w:val="center"/>
          </w:tcPr>
          <w:p w14:paraId="6B4FAF0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0-95%</w:t>
            </w:r>
          </w:p>
        </w:tc>
      </w:tr>
      <w:tr w14:paraId="04A6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387" w:type="dxa"/>
            <w:vAlign w:val="center"/>
          </w:tcPr>
          <w:p w14:paraId="4C9577B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DCA(Validation)</w:t>
            </w:r>
          </w:p>
        </w:tc>
        <w:tc>
          <w:tcPr>
            <w:tcW w:w="1482" w:type="dxa"/>
            <w:vAlign w:val="center"/>
          </w:tcPr>
          <w:p w14:paraId="11DDC7FE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0-</w:t>
            </w:r>
            <w:r>
              <w:rPr>
                <w:rFonts w:hint="eastAsia"/>
                <w:vertAlign w:val="baseline"/>
                <w:lang w:val="en-US" w:eastAsia="zh-CN"/>
              </w:rPr>
              <w:t>83</w:t>
            </w:r>
            <w:r>
              <w:rPr>
                <w:vertAlign w:val="baseline"/>
              </w:rPr>
              <w:t>%</w:t>
            </w:r>
          </w:p>
        </w:tc>
        <w:tc>
          <w:tcPr>
            <w:tcW w:w="1897" w:type="dxa"/>
            <w:vAlign w:val="center"/>
          </w:tcPr>
          <w:p w14:paraId="399CA24F">
            <w:pPr>
              <w:snapToGrid w:val="0"/>
              <w:ind w:left="0" w:leftChars="0" w:right="0" w:rightChars="0" w:firstLine="0" w:firstLineChars="0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0-</w:t>
            </w:r>
            <w:r>
              <w:rPr>
                <w:rFonts w:hint="eastAsia"/>
                <w:vertAlign w:val="baseline"/>
                <w:lang w:val="en-US" w:eastAsia="zh-CN"/>
              </w:rPr>
              <w:t>75</w:t>
            </w:r>
            <w:r>
              <w:rPr>
                <w:vertAlign w:val="baseline"/>
              </w:rPr>
              <w:t>%</w:t>
            </w:r>
          </w:p>
        </w:tc>
        <w:tc>
          <w:tcPr>
            <w:tcW w:w="1378" w:type="dxa"/>
            <w:vAlign w:val="center"/>
          </w:tcPr>
          <w:p w14:paraId="416C45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0-80%</w:t>
            </w:r>
          </w:p>
        </w:tc>
        <w:tc>
          <w:tcPr>
            <w:tcW w:w="1378" w:type="dxa"/>
            <w:vAlign w:val="center"/>
          </w:tcPr>
          <w:p w14:paraId="10CE0C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0-86%</w:t>
            </w:r>
          </w:p>
        </w:tc>
      </w:tr>
    </w:tbl>
    <w:p w14:paraId="652E0D5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eTable 1. The results of primary and sensitivity analysis.</w:t>
      </w:r>
    </w:p>
    <w:p w14:paraId="29C14727"/>
    <w:p w14:paraId="1BDED8D2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Worst-case scenario 1: missing postoperative functional outcomes defined as poor recovery; Worst-case scenario 2: missing postoperative functional outcomes defined as good recovery.</w:t>
      </w:r>
    </w:p>
    <w:p w14:paraId="53A9C4F1"/>
    <w:p w14:paraId="07535D28"/>
    <w:p w14:paraId="3FB2BE9E"/>
    <w:p w14:paraId="11225828"/>
    <w:p w14:paraId="4146B047"/>
    <w:p w14:paraId="4B198723"/>
    <w:p w14:paraId="437E98E5"/>
    <w:p w14:paraId="7D86B5CB"/>
    <w:p w14:paraId="4E673063"/>
    <w:p w14:paraId="11403D13"/>
    <w:p w14:paraId="0F08A841"/>
    <w:p w14:paraId="5BFE3A5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eTable 2. The results of 10-Fold Cross-Validation.</w:t>
      </w:r>
    </w:p>
    <w:p w14:paraId="3B574EDE"/>
    <w:tbl>
      <w:tblPr>
        <w:tblStyle w:val="4"/>
        <w:tblpPr w:leftFromText="180" w:rightFromText="180" w:vertAnchor="text" w:horzAnchor="page" w:tblpX="1728" w:tblpY="1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7"/>
        <w:gridCol w:w="1298"/>
        <w:gridCol w:w="1467"/>
        <w:gridCol w:w="2420"/>
      </w:tblGrid>
      <w:tr w14:paraId="21C6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337" w:type="dxa"/>
            <w:vAlign w:val="center"/>
          </w:tcPr>
          <w:p w14:paraId="134A04CA">
            <w:pPr>
              <w:keepNext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Indicators</w:t>
            </w:r>
          </w:p>
        </w:tc>
        <w:tc>
          <w:tcPr>
            <w:tcW w:w="1298" w:type="dxa"/>
            <w:vAlign w:val="center"/>
          </w:tcPr>
          <w:p w14:paraId="2021E18A">
            <w:pPr>
              <w:keepNext/>
              <w:snapToGrid w:val="0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Training Set</w:t>
            </w:r>
          </w:p>
        </w:tc>
        <w:tc>
          <w:tcPr>
            <w:tcW w:w="1467" w:type="dxa"/>
            <w:vAlign w:val="center"/>
          </w:tcPr>
          <w:p w14:paraId="684412F9">
            <w:pPr>
              <w:keepNext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Validation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Set</w:t>
            </w:r>
          </w:p>
        </w:tc>
        <w:tc>
          <w:tcPr>
            <w:tcW w:w="2420" w:type="dxa"/>
            <w:vAlign w:val="center"/>
          </w:tcPr>
          <w:p w14:paraId="56BE992A">
            <w:pPr>
              <w:keepNext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10-Fold Cross-Validation</w:t>
            </w:r>
          </w:p>
        </w:tc>
      </w:tr>
      <w:tr w14:paraId="6CDD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337" w:type="dxa"/>
            <w:vAlign w:val="center"/>
          </w:tcPr>
          <w:p w14:paraId="5098E555">
            <w:pPr>
              <w:keepNext/>
              <w:snapToGrid w:val="0"/>
              <w:jc w:val="both"/>
            </w:pPr>
            <w:r>
              <w:rPr>
                <w:lang w:val="en-US" w:eastAsia="zh-CN"/>
              </w:rPr>
              <w:t>AUC</w:t>
            </w:r>
          </w:p>
        </w:tc>
        <w:tc>
          <w:tcPr>
            <w:tcW w:w="1298" w:type="dxa"/>
            <w:vAlign w:val="center"/>
          </w:tcPr>
          <w:p w14:paraId="073DA756">
            <w:pPr>
              <w:keepNext/>
              <w:snapToGrid w:val="0"/>
              <w:jc w:val="center"/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0.81</w:t>
            </w:r>
          </w:p>
        </w:tc>
        <w:tc>
          <w:tcPr>
            <w:tcW w:w="1467" w:type="dxa"/>
            <w:vAlign w:val="center"/>
          </w:tcPr>
          <w:p w14:paraId="61150703">
            <w:pPr>
              <w:keepNext/>
              <w:snapToGrid w:val="0"/>
              <w:jc w:val="center"/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0.75</w:t>
            </w:r>
          </w:p>
        </w:tc>
        <w:tc>
          <w:tcPr>
            <w:tcW w:w="2420" w:type="dxa"/>
            <w:vAlign w:val="center"/>
          </w:tcPr>
          <w:p w14:paraId="07FCF42B">
            <w:pPr>
              <w:keepNext/>
              <w:snapToGrid w:val="0"/>
              <w:jc w:val="center"/>
            </w:pPr>
            <w:r>
              <w:rPr>
                <w:lang w:val="en-US" w:eastAsia="zh-CN"/>
              </w:rPr>
              <w:t>0.7</w:t>
            </w: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22D9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337" w:type="dxa"/>
            <w:vAlign w:val="center"/>
          </w:tcPr>
          <w:p w14:paraId="31C0622D">
            <w:pPr>
              <w:keepNext/>
              <w:snapToGrid w:val="0"/>
              <w:jc w:val="both"/>
            </w:pPr>
            <w:r>
              <w:rPr>
                <w:lang w:val="en-US" w:eastAsia="zh-CN"/>
              </w:rPr>
              <w:t>Brier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Score</w:t>
            </w:r>
          </w:p>
        </w:tc>
        <w:tc>
          <w:tcPr>
            <w:tcW w:w="1298" w:type="dxa"/>
            <w:vAlign w:val="center"/>
          </w:tcPr>
          <w:p w14:paraId="33DBC2B0">
            <w:pPr>
              <w:keepNext/>
              <w:snapToGrid w:val="0"/>
              <w:jc w:val="center"/>
            </w:pPr>
            <w:r>
              <w:rPr>
                <w:lang w:val="en-US" w:eastAsia="zh-CN"/>
              </w:rPr>
              <w:t>0.167</w:t>
            </w:r>
          </w:p>
        </w:tc>
        <w:tc>
          <w:tcPr>
            <w:tcW w:w="1467" w:type="dxa"/>
            <w:vAlign w:val="center"/>
          </w:tcPr>
          <w:p w14:paraId="201F20CB">
            <w:pPr>
              <w:keepNext/>
              <w:snapToGrid w:val="0"/>
              <w:jc w:val="center"/>
            </w:pPr>
            <w:r>
              <w:rPr>
                <w:lang w:val="en-US" w:eastAsia="zh-CN"/>
              </w:rPr>
              <w:t>0.171</w:t>
            </w:r>
          </w:p>
        </w:tc>
        <w:tc>
          <w:tcPr>
            <w:tcW w:w="2420" w:type="dxa"/>
            <w:vAlign w:val="center"/>
          </w:tcPr>
          <w:p w14:paraId="1A90E7A0">
            <w:pPr>
              <w:keepNext/>
              <w:snapToGrid w:val="0"/>
              <w:jc w:val="center"/>
            </w:pPr>
            <w:r>
              <w:rPr>
                <w:lang w:val="en-US" w:eastAsia="zh-CN"/>
              </w:rPr>
              <w:t>0.22</w:t>
            </w: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7685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337" w:type="dxa"/>
            <w:vAlign w:val="center"/>
          </w:tcPr>
          <w:p w14:paraId="7FD2682F">
            <w:pPr>
              <w:keepNext/>
              <w:snapToGrid w:val="0"/>
              <w:jc w:val="both"/>
            </w:pPr>
            <w:r>
              <w:rPr>
                <w:rFonts w:hint="eastAsia"/>
                <w:lang w:val="en-US" w:eastAsia="zh-CN"/>
              </w:rPr>
              <w:t>H-L Test P-Value</w:t>
            </w:r>
          </w:p>
        </w:tc>
        <w:tc>
          <w:tcPr>
            <w:tcW w:w="1298" w:type="dxa"/>
            <w:vAlign w:val="center"/>
          </w:tcPr>
          <w:p w14:paraId="537B72D0">
            <w:pPr>
              <w:keepNext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0.39</w:t>
            </w: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467" w:type="dxa"/>
            <w:vAlign w:val="center"/>
          </w:tcPr>
          <w:p w14:paraId="29763DF2">
            <w:pPr>
              <w:keepNext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0.75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420" w:type="dxa"/>
            <w:vAlign w:val="center"/>
          </w:tcPr>
          <w:p w14:paraId="43602349">
            <w:pPr>
              <w:keepNext/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0.29</w:t>
            </w: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6FE9A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337" w:type="dxa"/>
            <w:vAlign w:val="center"/>
          </w:tcPr>
          <w:p w14:paraId="5E7D8904">
            <w:pPr>
              <w:keepNext/>
              <w:snapToGrid w:val="0"/>
              <w:jc w:val="both"/>
            </w:pPr>
            <w:r>
              <w:rPr>
                <w:rFonts w:hint="eastAsia"/>
                <w:lang w:val="en-US" w:eastAsia="zh-CN"/>
              </w:rPr>
              <w:t>DCA (Maximum Net Benefit Threshold)</w:t>
            </w:r>
          </w:p>
        </w:tc>
        <w:tc>
          <w:tcPr>
            <w:tcW w:w="1298" w:type="dxa"/>
            <w:vAlign w:val="center"/>
          </w:tcPr>
          <w:p w14:paraId="5F55ABC7">
            <w:pPr>
              <w:keepNext/>
              <w:snapToGrid w:val="0"/>
              <w:jc w:val="center"/>
            </w:pPr>
            <w:r>
              <w:rPr>
                <w:lang w:val="en-US" w:eastAsia="zh-CN"/>
              </w:rPr>
              <w:t>0-96%</w:t>
            </w:r>
          </w:p>
        </w:tc>
        <w:tc>
          <w:tcPr>
            <w:tcW w:w="1467" w:type="dxa"/>
            <w:vAlign w:val="center"/>
          </w:tcPr>
          <w:p w14:paraId="715A2437">
            <w:pPr>
              <w:keepNext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0-83%</w:t>
            </w:r>
          </w:p>
        </w:tc>
        <w:tc>
          <w:tcPr>
            <w:tcW w:w="2420" w:type="dxa"/>
            <w:vAlign w:val="center"/>
          </w:tcPr>
          <w:p w14:paraId="00D7A9A8">
            <w:pPr>
              <w:keepNext/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0-97%</w:t>
            </w:r>
          </w:p>
        </w:tc>
      </w:tr>
    </w:tbl>
    <w:p w14:paraId="37943EB7"/>
    <w:p w14:paraId="73C87F5A"/>
    <w:p w14:paraId="3DD69A3E"/>
    <w:p w14:paraId="16FB0245"/>
    <w:p w14:paraId="5FDE9DD8"/>
    <w:p w14:paraId="070EBAFE"/>
    <w:p w14:paraId="43F85EDC"/>
    <w:p w14:paraId="3FC5C69B"/>
    <w:p w14:paraId="00F7C0A2"/>
    <w:p w14:paraId="57CD1FCC"/>
    <w:p w14:paraId="172F8315"/>
    <w:p w14:paraId="561A0E58"/>
    <w:p w14:paraId="1F610FD5"/>
    <w:p w14:paraId="544E4067"/>
    <w:p w14:paraId="5CF31D65"/>
    <w:p w14:paraId="553D7597"/>
    <w:p w14:paraId="4744A8AF"/>
    <w:p w14:paraId="5011FCCF"/>
    <w:p w14:paraId="12E75A49"/>
    <w:p w14:paraId="2C42C167"/>
    <w:p w14:paraId="06E12CDB"/>
    <w:p w14:paraId="2DA550A3"/>
    <w:p w14:paraId="60FCA8EA"/>
    <w:p w14:paraId="6506E3F0">
      <w:pPr>
        <w:rPr>
          <w:rFonts w:hint="eastAsia" w:eastAsiaTheme="minorEastAsia"/>
          <w:lang w:eastAsia="zh-CN"/>
        </w:rPr>
      </w:pPr>
    </w:p>
    <w:p w14:paraId="59AF7564">
      <w:pPr>
        <w:rPr>
          <w:rFonts w:hint="eastAsia" w:eastAsiaTheme="minorEastAsia"/>
          <w:lang w:eastAsia="zh-CN"/>
        </w:rPr>
      </w:pPr>
    </w:p>
    <w:p w14:paraId="25D0FBA1">
      <w:pPr>
        <w:rPr>
          <w:rFonts w:hint="eastAsia" w:eastAsiaTheme="minorEastAsia"/>
          <w:lang w:eastAsia="zh-CN"/>
        </w:rPr>
      </w:pPr>
    </w:p>
    <w:p w14:paraId="283AA4DA">
      <w:pPr>
        <w:rPr>
          <w:rFonts w:hint="eastAsia" w:eastAsiaTheme="minorEastAsia"/>
          <w:lang w:eastAsia="zh-CN"/>
        </w:rPr>
      </w:pPr>
    </w:p>
    <w:p w14:paraId="01AB567F">
      <w:pPr>
        <w:rPr>
          <w:rFonts w:hint="eastAsia" w:eastAsiaTheme="minorEastAsia"/>
          <w:lang w:eastAsia="zh-CN"/>
        </w:rPr>
      </w:pPr>
    </w:p>
    <w:p w14:paraId="4ADB02CC">
      <w:pPr>
        <w:rPr>
          <w:rFonts w:hint="eastAsia" w:eastAsiaTheme="minorEastAsia"/>
          <w:lang w:eastAsia="zh-CN"/>
        </w:rPr>
      </w:pPr>
    </w:p>
    <w:p w14:paraId="17214AC2">
      <w:pPr>
        <w:rPr>
          <w:rFonts w:hint="eastAsia" w:eastAsiaTheme="minorEastAsia"/>
          <w:lang w:eastAsia="zh-CN"/>
        </w:rPr>
      </w:pPr>
    </w:p>
    <w:p w14:paraId="36CAE412">
      <w:pPr>
        <w:rPr>
          <w:rFonts w:hint="eastAsia" w:eastAsiaTheme="minorEastAsia"/>
          <w:lang w:eastAsia="zh-CN"/>
        </w:rPr>
      </w:pPr>
    </w:p>
    <w:p w14:paraId="2A559785">
      <w:pPr>
        <w:rPr>
          <w:rFonts w:hint="eastAsia" w:eastAsiaTheme="minorEastAsia"/>
          <w:lang w:eastAsia="zh-CN"/>
        </w:rPr>
      </w:pPr>
    </w:p>
    <w:p w14:paraId="511AFC3E">
      <w:pPr>
        <w:rPr>
          <w:rFonts w:hint="eastAsia" w:eastAsiaTheme="minorEastAsia"/>
          <w:lang w:eastAsia="zh-CN"/>
        </w:rPr>
      </w:pPr>
    </w:p>
    <w:p w14:paraId="791BD20B">
      <w:pPr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D35A5"/>
    <w:rsid w:val="071D4945"/>
    <w:rsid w:val="1670755D"/>
    <w:rsid w:val="17A3178F"/>
    <w:rsid w:val="17D92AA6"/>
    <w:rsid w:val="1ACD35A5"/>
    <w:rsid w:val="26D11723"/>
    <w:rsid w:val="27E73DE2"/>
    <w:rsid w:val="298A7967"/>
    <w:rsid w:val="2E4166E3"/>
    <w:rsid w:val="447514E8"/>
    <w:rsid w:val="493C2BF3"/>
    <w:rsid w:val="530F4FA2"/>
    <w:rsid w:val="60121E89"/>
    <w:rsid w:val="61357BDD"/>
    <w:rsid w:val="6A1A3E14"/>
    <w:rsid w:val="76A340A4"/>
    <w:rsid w:val="76CA6BC2"/>
    <w:rsid w:val="789361F4"/>
    <w:rsid w:val="7B1448AF"/>
    <w:rsid w:val="7EB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1293</Characters>
  <Lines>0</Lines>
  <Paragraphs>0</Paragraphs>
  <TotalTime>6</TotalTime>
  <ScaleCrop>false</ScaleCrop>
  <LinksUpToDate>false</LinksUpToDate>
  <CharactersWithSpaces>1417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2026-02-05T17:05:00Z</dcterms:created>
  <dc:creator>xxx</dc:creator>
  <cp:lastModifiedBy>xxx</cp:lastModifiedBy>
  <dcterms:modified xsi:type="dcterms:W3CDTF">2026-02-16T16:36:52Z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0F17EC04C9F3417B94B6A4F57AD48502_13</vt:lpwstr>
  </property>
  <property fmtid="{D5CDD505-2E9C-101B-9397-08002B2CF9AE}" pid="4" name="KSOTemplateDocerSaveRecord">
    <vt:lpwstr>eyJoZGlkIjoiMzEwNTM5NzYwMDRjMzkwZTVkZjY2ODkwMGIxNGU0OTUiLCJ1c2VySWQiOiIzMTMwODc5NDAifQ==</vt:lpwstr>
  </property>
</Properties>
</file>