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8221B" w14:textId="77777777" w:rsidR="00F5137C" w:rsidRDefault="00000000">
      <w:pPr>
        <w:spacing w:line="48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SUPPLEMENTARY MATERIAL</w:t>
      </w:r>
    </w:p>
    <w:p w14:paraId="4B712220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Full search string</w:t>
      </w:r>
    </w:p>
    <w:p w14:paraId="4E3707EE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  <w:u w:val="single"/>
        </w:rPr>
      </w:pPr>
      <w:proofErr w:type="spellStart"/>
      <w:r>
        <w:rPr>
          <w:rFonts w:ascii="Calibri" w:eastAsia="Calibri" w:hAnsi="Calibri" w:cs="Calibri"/>
          <w:u w:val="single"/>
        </w:rPr>
        <w:t>Pubmed</w:t>
      </w:r>
      <w:proofErr w:type="spellEnd"/>
      <w:r>
        <w:rPr>
          <w:rFonts w:ascii="Calibri" w:eastAsia="Calibri" w:hAnsi="Calibri" w:cs="Calibri"/>
          <w:u w:val="single"/>
        </w:rPr>
        <w:t>/Cochrane search</w:t>
      </w:r>
    </w:p>
    <w:p w14:paraId="30381B4A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("ankle fracture*" OR "fractured ankle" OR "malleolar fracture" OR "lateral malleolar fracture" OR "medial malleolar fracture" OR "posterior malleolar fracture" OR unimalleolar OR bimalleolar OR </w:t>
      </w:r>
      <w:proofErr w:type="spellStart"/>
      <w:r>
        <w:rPr>
          <w:rFonts w:ascii="Calibri" w:eastAsia="Calibri" w:hAnsi="Calibri" w:cs="Calibri"/>
        </w:rPr>
        <w:t>trimalleolar</w:t>
      </w:r>
      <w:proofErr w:type="spellEnd"/>
      <w:r>
        <w:rPr>
          <w:rFonts w:ascii="Calibri" w:eastAsia="Calibri" w:hAnsi="Calibri" w:cs="Calibri"/>
        </w:rPr>
        <w:t xml:space="preserve"> OR "distal fibula fracture" OR "distal tibia fracture" OR "ankle injury with fracture" OR   weber*) AND ( fixation OR "operative treatment" OR "open reduction internal fixation" OR ORIF) AND ("weight-bearing" OR "early weight-bear*" OR "immediate weight-bear*" OR "early </w:t>
      </w:r>
      <w:proofErr w:type="spellStart"/>
      <w:r>
        <w:rPr>
          <w:rFonts w:ascii="Calibri" w:eastAsia="Calibri" w:hAnsi="Calibri" w:cs="Calibri"/>
        </w:rPr>
        <w:t>mobilisation</w:t>
      </w:r>
      <w:proofErr w:type="spellEnd"/>
      <w:r>
        <w:rPr>
          <w:rFonts w:ascii="Calibri" w:eastAsia="Calibri" w:hAnsi="Calibri" w:cs="Calibri"/>
        </w:rPr>
        <w:t>" OR "early mobilization" OR "functional weight-bear*" OR "unprotected weight-bear*") AND ("non-weight-bear*" OR "</w:t>
      </w:r>
      <w:proofErr w:type="spellStart"/>
      <w:r>
        <w:rPr>
          <w:rFonts w:ascii="Calibri" w:eastAsia="Calibri" w:hAnsi="Calibri" w:cs="Calibri"/>
        </w:rPr>
        <w:t>nonweightbear</w:t>
      </w:r>
      <w:proofErr w:type="spellEnd"/>
      <w:r>
        <w:rPr>
          <w:rFonts w:ascii="Calibri" w:eastAsia="Calibri" w:hAnsi="Calibri" w:cs="Calibri"/>
        </w:rPr>
        <w:t xml:space="preserve">*" OR "delayed weight-bear*" OR "prolonged non-weight-bear*" OR NWB OR immobilization OR </w:t>
      </w:r>
      <w:proofErr w:type="spellStart"/>
      <w:r>
        <w:rPr>
          <w:rFonts w:ascii="Calibri" w:eastAsia="Calibri" w:hAnsi="Calibri" w:cs="Calibri"/>
        </w:rPr>
        <w:t>immobilisation</w:t>
      </w:r>
      <w:proofErr w:type="spellEnd"/>
      <w:r>
        <w:rPr>
          <w:rFonts w:ascii="Calibri" w:eastAsia="Calibri" w:hAnsi="Calibri" w:cs="Calibri"/>
        </w:rPr>
        <w:t>)</w:t>
      </w:r>
    </w:p>
    <w:p w14:paraId="737BB9F3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  <w:b/>
          <w:highlight w:val="yellow"/>
          <w:u w:val="single"/>
        </w:rPr>
      </w:pPr>
      <w:r>
        <w:rPr>
          <w:rFonts w:ascii="Calibri" w:eastAsia="Calibri" w:hAnsi="Calibri" w:cs="Calibri"/>
          <w:u w:val="single"/>
        </w:rPr>
        <w:t>Embase search</w:t>
      </w:r>
    </w:p>
    <w:p w14:paraId="6C9997D6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(ankle fracture/ or ankle fracture* or fractured ankle or malleolar fracture* or lateral malleolar fracture* or medial malleolar fracture* or posterior malleolar fracture* or unimalleolar or bimalleolar or trimalleolar or distal fibula fracture* or distal tibia fracture* or ankle </w:t>
      </w:r>
      <w:proofErr w:type="spellStart"/>
      <w:r>
        <w:rPr>
          <w:rFonts w:ascii="Calibri" w:eastAsia="Calibri" w:hAnsi="Calibri" w:cs="Calibri"/>
        </w:rPr>
        <w:t>injur</w:t>
      </w:r>
      <w:proofErr w:type="spellEnd"/>
      <w:r>
        <w:rPr>
          <w:rFonts w:ascii="Calibri" w:eastAsia="Calibri" w:hAnsi="Calibri" w:cs="Calibri"/>
        </w:rPr>
        <w:t>* with fracture* or weber*)</w:t>
      </w:r>
    </w:p>
    <w:p w14:paraId="5B62D09F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(surgical fixation or operative treatment or open reduction internal fixation or ORIF or "open reduction (procedure)"/)</w:t>
      </w:r>
    </w:p>
    <w:p w14:paraId="78EA428B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(weight-bearing or early weight-bear* or immediate weight-bear* or early </w:t>
      </w:r>
      <w:proofErr w:type="spellStart"/>
      <w:r>
        <w:rPr>
          <w:rFonts w:ascii="Calibri" w:eastAsia="Calibri" w:hAnsi="Calibri" w:cs="Calibri"/>
        </w:rPr>
        <w:t>mobili?ation</w:t>
      </w:r>
      <w:proofErr w:type="spellEnd"/>
      <w:r>
        <w:rPr>
          <w:rFonts w:ascii="Calibri" w:eastAsia="Calibri" w:hAnsi="Calibri" w:cs="Calibri"/>
        </w:rPr>
        <w:t xml:space="preserve"> or functional weight-bear* or unprotected weight-bear*)</w:t>
      </w:r>
    </w:p>
    <w:p w14:paraId="4E07C615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(non-weight-bear* or </w:t>
      </w:r>
      <w:proofErr w:type="spellStart"/>
      <w:r>
        <w:rPr>
          <w:rFonts w:ascii="Calibri" w:eastAsia="Calibri" w:hAnsi="Calibri" w:cs="Calibri"/>
        </w:rPr>
        <w:t>nonweightbear</w:t>
      </w:r>
      <w:proofErr w:type="spellEnd"/>
      <w:r>
        <w:rPr>
          <w:rFonts w:ascii="Calibri" w:eastAsia="Calibri" w:hAnsi="Calibri" w:cs="Calibri"/>
        </w:rPr>
        <w:t xml:space="preserve">* or non-weight bear or delayed weight-bear* or prolonged non-weight-bear* or NWB or </w:t>
      </w:r>
      <w:proofErr w:type="spellStart"/>
      <w:r>
        <w:rPr>
          <w:rFonts w:ascii="Calibri" w:eastAsia="Calibri" w:hAnsi="Calibri" w:cs="Calibri"/>
        </w:rPr>
        <w:t>immobili?ation</w:t>
      </w:r>
      <w:proofErr w:type="spellEnd"/>
      <w:r>
        <w:rPr>
          <w:rFonts w:ascii="Calibri" w:eastAsia="Calibri" w:hAnsi="Calibri" w:cs="Calibri"/>
        </w:rPr>
        <w:t>)</w:t>
      </w:r>
    </w:p>
    <w:p w14:paraId="1B46E993" w14:textId="77777777" w:rsidR="00F5137C" w:rsidRDefault="00000000">
      <w:pPr>
        <w:spacing w:line="48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</w:rPr>
        <w:lastRenderedPageBreak/>
        <w:t xml:space="preserve">Risk of Bias Assessment </w:t>
      </w:r>
    </w:p>
    <w:p w14:paraId="0A7B6CFE" w14:textId="77777777" w:rsidR="00F5137C" w:rsidRDefault="00000000">
      <w:pPr>
        <w:pStyle w:val="Heading3"/>
        <w:keepNext w:val="0"/>
        <w:keepLines w:val="0"/>
        <w:widowControl w:val="0"/>
        <w:spacing w:before="280" w:line="480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bookmarkStart w:id="0" w:name="_2st7rfcxuz8o" w:colFirst="0" w:colLast="0"/>
      <w:bookmarkEnd w:id="0"/>
      <w:r>
        <w:rPr>
          <w:rFonts w:ascii="Calibri" w:eastAsia="Calibri" w:hAnsi="Calibri" w:cs="Calibri"/>
          <w:b/>
          <w:noProof/>
          <w:color w:val="000000"/>
          <w:sz w:val="22"/>
          <w:szCs w:val="22"/>
        </w:rPr>
        <w:drawing>
          <wp:inline distT="114300" distB="114300" distL="114300" distR="114300" wp14:anchorId="74D9A1A2" wp14:editId="5C1AAB53">
            <wp:extent cx="4692015" cy="2889892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2015" cy="28898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1115C7" w14:textId="77777777" w:rsidR="00F5137C" w:rsidRDefault="00000000">
      <w:pPr>
        <w:spacing w:line="480" w:lineRule="auto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Supplementary Figure 1. Risk of Bias Assessment for Randomized Controlled Trials Using the Cochrane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RoB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 2 Tool</w:t>
      </w:r>
    </w:p>
    <w:p w14:paraId="767D5466" w14:textId="77777777" w:rsidR="00F5137C" w:rsidRDefault="00000000">
      <w:pPr>
        <w:spacing w:line="48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noProof/>
        </w:rPr>
        <w:drawing>
          <wp:inline distT="114300" distB="114300" distL="114300" distR="114300" wp14:anchorId="062B8984" wp14:editId="4F4731D1">
            <wp:extent cx="4805363" cy="3418248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5363" cy="34182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1BB67B" w14:textId="77777777" w:rsidR="00F5137C" w:rsidRDefault="00000000">
      <w:pPr>
        <w:spacing w:line="480" w:lineRule="auto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Supplementary Figure 2. Risk of Bias Assessment for Non-Randomized Studies Using the ROBINS-I Tool</w:t>
      </w:r>
    </w:p>
    <w:p w14:paraId="5F345609" w14:textId="77777777" w:rsidR="00F5137C" w:rsidRDefault="00000000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lastRenderedPageBreak/>
        <w:drawing>
          <wp:inline distT="114300" distB="114300" distL="114300" distR="114300" wp14:anchorId="794F06D9" wp14:editId="67C6B08F">
            <wp:extent cx="5643563" cy="3807556"/>
            <wp:effectExtent l="0" t="0" r="0" b="0"/>
            <wp:docPr id="1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3563" cy="38075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D590CD" w14:textId="28CB9936" w:rsidR="00F5137C" w:rsidRDefault="00000000">
      <w:pPr>
        <w:spacing w:before="240" w:after="240" w:line="48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Supplementary Figure 3. Funnel plot evaluating potential publication bias for studies reporting 12-week functional outcomes. </w:t>
      </w:r>
      <w:r w:rsidR="00DE12C5" w:rsidRPr="00DE12C5">
        <w:rPr>
          <w:rFonts w:asciiTheme="majorHAnsi" w:hAnsiTheme="majorHAnsi" w:cstheme="majorHAnsi"/>
          <w:sz w:val="20"/>
          <w:szCs w:val="20"/>
        </w:rPr>
        <w:t>The 12-week funnel plot appeared broadly symmetric, with smaller studies more dispersed and larger studies clustered near the pooled effect; however, interpretation is limited by the small number of included studies.</w:t>
      </w:r>
    </w:p>
    <w:p w14:paraId="1D20FA24" w14:textId="77777777" w:rsidR="00F5137C" w:rsidRDefault="00F5137C">
      <w:pPr>
        <w:spacing w:before="240" w:after="240" w:line="480" w:lineRule="auto"/>
        <w:rPr>
          <w:rFonts w:ascii="Calibri" w:eastAsia="Calibri" w:hAnsi="Calibri" w:cs="Calibri"/>
          <w:b/>
          <w:u w:val="single"/>
        </w:rPr>
      </w:pPr>
    </w:p>
    <w:p w14:paraId="1528FFB0" w14:textId="77777777" w:rsidR="00F5137C" w:rsidRDefault="00F5137C">
      <w:pPr>
        <w:spacing w:before="240" w:after="240" w:line="480" w:lineRule="auto"/>
        <w:rPr>
          <w:rFonts w:ascii="Calibri" w:eastAsia="Calibri" w:hAnsi="Calibri" w:cs="Calibri"/>
          <w:b/>
          <w:u w:val="single"/>
        </w:rPr>
      </w:pPr>
    </w:p>
    <w:p w14:paraId="60E5B6C9" w14:textId="77777777" w:rsidR="00F5137C" w:rsidRDefault="00F5137C">
      <w:pPr>
        <w:spacing w:before="240" w:after="240" w:line="480" w:lineRule="auto"/>
        <w:rPr>
          <w:rFonts w:ascii="Calibri" w:eastAsia="Calibri" w:hAnsi="Calibri" w:cs="Calibri"/>
          <w:b/>
          <w:u w:val="single"/>
        </w:rPr>
      </w:pPr>
    </w:p>
    <w:p w14:paraId="67A23188" w14:textId="77777777" w:rsidR="00F5137C" w:rsidRDefault="00F5137C">
      <w:pPr>
        <w:spacing w:before="240" w:after="240" w:line="480" w:lineRule="auto"/>
        <w:rPr>
          <w:rFonts w:ascii="Calibri" w:eastAsia="Calibri" w:hAnsi="Calibri" w:cs="Calibri"/>
          <w:b/>
          <w:u w:val="single"/>
        </w:rPr>
      </w:pPr>
    </w:p>
    <w:p w14:paraId="5453198E" w14:textId="77777777" w:rsidR="00F5137C" w:rsidRDefault="00F5137C">
      <w:pPr>
        <w:spacing w:before="240" w:after="240" w:line="480" w:lineRule="auto"/>
        <w:rPr>
          <w:rFonts w:ascii="Calibri" w:eastAsia="Calibri" w:hAnsi="Calibri" w:cs="Calibri"/>
          <w:b/>
          <w:u w:val="single"/>
        </w:rPr>
      </w:pPr>
    </w:p>
    <w:p w14:paraId="13082CB0" w14:textId="77777777" w:rsidR="00F5137C" w:rsidRDefault="00F5137C">
      <w:pPr>
        <w:spacing w:before="240" w:after="240" w:line="480" w:lineRule="auto"/>
        <w:rPr>
          <w:rFonts w:ascii="Calibri" w:eastAsia="Calibri" w:hAnsi="Calibri" w:cs="Calibri"/>
          <w:b/>
          <w:u w:val="single"/>
        </w:rPr>
      </w:pPr>
    </w:p>
    <w:p w14:paraId="3BA71615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lastRenderedPageBreak/>
        <w:t xml:space="preserve">Forrest Plots - Exploratory Outcomes (Supplementary Material) </w:t>
      </w:r>
    </w:p>
    <w:p w14:paraId="6AF1B95E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Subgroup Analysis at 12 Weeks </w:t>
      </w:r>
    </w:p>
    <w:p w14:paraId="56613AB7" w14:textId="77777777" w:rsidR="00F5137C" w:rsidRDefault="00000000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114300" distB="114300" distL="114300" distR="114300" wp14:anchorId="4C70565C" wp14:editId="0CADDD4B">
            <wp:extent cx="5943600" cy="4787900"/>
            <wp:effectExtent l="0" t="0" r="0" b="0"/>
            <wp:docPr id="2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87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166A26" w14:textId="77777777" w:rsidR="00F5137C" w:rsidRDefault="00000000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Supplementary Figure 4. Subgroup Analysis at 12 Weeks - </w:t>
      </w:r>
      <w:proofErr w:type="spellStart"/>
      <w:r>
        <w:rPr>
          <w:rFonts w:ascii="Calibri" w:eastAsia="Calibri" w:hAnsi="Calibri" w:cs="Calibri"/>
        </w:rPr>
        <w:t>Immobilisation</w:t>
      </w:r>
      <w:proofErr w:type="spellEnd"/>
      <w:r>
        <w:rPr>
          <w:rFonts w:ascii="Calibri" w:eastAsia="Calibri" w:hAnsi="Calibri" w:cs="Calibri"/>
        </w:rPr>
        <w:t xml:space="preserve"> Device</w:t>
      </w:r>
    </w:p>
    <w:p w14:paraId="55F334AE" w14:textId="77777777" w:rsidR="00F5137C" w:rsidRDefault="00000000">
      <w:pPr>
        <w:spacing w:line="48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noProof/>
        </w:rPr>
        <w:lastRenderedPageBreak/>
        <w:drawing>
          <wp:inline distT="114300" distB="114300" distL="114300" distR="114300" wp14:anchorId="050F3FDF" wp14:editId="6AB5AB64">
            <wp:extent cx="4657344" cy="2670048"/>
            <wp:effectExtent l="0" t="0" r="3810" b="0"/>
            <wp:docPr id="7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3836" cy="2673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EDF4CB" w14:textId="5E3A5FE1" w:rsidR="00D51158" w:rsidRDefault="00D51158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71A030E3" wp14:editId="5D8F519A">
            <wp:extent cx="6009128" cy="3901440"/>
            <wp:effectExtent l="0" t="0" r="0" b="0"/>
            <wp:docPr id="520096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15" cy="391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A7832" w14:textId="77777777" w:rsidR="009A143B" w:rsidRDefault="009A143B">
      <w:pPr>
        <w:spacing w:line="480" w:lineRule="auto"/>
        <w:rPr>
          <w:rFonts w:ascii="Calibri" w:eastAsia="Calibri" w:hAnsi="Calibri" w:cs="Calibri"/>
        </w:rPr>
      </w:pPr>
    </w:p>
    <w:p w14:paraId="6E38E13B" w14:textId="567D0EB7" w:rsidR="00F5137C" w:rsidRDefault="00000000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Supplementary Figure 5. Subgroup Analysis at 12 Weeks - POD Weightbearing initiation </w:t>
      </w:r>
      <w:r w:rsidR="00D51158">
        <w:rPr>
          <w:rFonts w:ascii="Calibri" w:eastAsia="Calibri" w:hAnsi="Calibri" w:cs="Calibri"/>
        </w:rPr>
        <w:t>&amp; Sensitivity Analysis</w:t>
      </w:r>
    </w:p>
    <w:p w14:paraId="114BD9AD" w14:textId="25EA8C1A" w:rsidR="008B4454" w:rsidRDefault="008B4454">
      <w:pPr>
        <w:spacing w:before="240" w:after="240" w:line="480" w:lineRule="auto"/>
        <w:rPr>
          <w:rFonts w:ascii="Calibri" w:eastAsia="Calibri" w:hAnsi="Calibri" w:cs="Calibri"/>
          <w:b/>
          <w:bCs/>
        </w:rPr>
      </w:pPr>
      <w:r w:rsidRPr="008B4454">
        <w:rPr>
          <w:rFonts w:ascii="Calibri" w:eastAsia="Calibri" w:hAnsi="Calibri" w:cs="Calibri"/>
          <w:b/>
          <w:bCs/>
        </w:rPr>
        <w:lastRenderedPageBreak/>
        <w:t>Functional Recovery at 6 Weeks Post-Surgery</w:t>
      </w:r>
    </w:p>
    <w:p w14:paraId="6E5D209E" w14:textId="771A55A5" w:rsidR="008B4454" w:rsidRDefault="008B4454">
      <w:pPr>
        <w:spacing w:before="240" w:after="240" w:line="480" w:lineRule="auto"/>
        <w:rPr>
          <w:rFonts w:ascii="Calibri" w:eastAsia="Calibri" w:hAnsi="Calibri" w:cs="Calibri"/>
          <w:b/>
          <w:bCs/>
        </w:rPr>
      </w:pPr>
      <w:r w:rsidRPr="008B4454">
        <w:rPr>
          <w:rFonts w:ascii="Calibri" w:eastAsia="Calibri" w:hAnsi="Calibri" w:cs="Calibri"/>
          <w:b/>
          <w:bCs/>
          <w:noProof/>
        </w:rPr>
        <w:drawing>
          <wp:inline distT="0" distB="0" distL="0" distR="0" wp14:anchorId="485488A3" wp14:editId="251DE2E4">
            <wp:extent cx="5549900" cy="3120633"/>
            <wp:effectExtent l="0" t="0" r="0" b="3810"/>
            <wp:docPr id="18143716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371669" name="Picture 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51316" cy="312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2BBD9" w14:textId="2CA9A0F6" w:rsidR="008B4454" w:rsidRDefault="008B4454" w:rsidP="008B4454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Supplementary Figure 6. Functional Recovery at 6 Weeks Post-Surgery</w:t>
      </w:r>
    </w:p>
    <w:p w14:paraId="17259577" w14:textId="31046963" w:rsidR="00F5137C" w:rsidRDefault="00000000">
      <w:pPr>
        <w:spacing w:before="240" w:after="240" w:line="48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Functional Recovery at 6 Months Post-Surgery</w:t>
      </w:r>
    </w:p>
    <w:p w14:paraId="17E3A19E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noProof/>
        </w:rPr>
        <w:drawing>
          <wp:inline distT="114300" distB="114300" distL="114300" distR="114300" wp14:anchorId="0CFB5F2A" wp14:editId="052EFEFB">
            <wp:extent cx="4343400" cy="2374900"/>
            <wp:effectExtent l="0" t="0" r="0" b="0"/>
            <wp:docPr id="3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859" cy="23751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BBE465" w14:textId="677DC2E9" w:rsidR="00F5137C" w:rsidRDefault="00000000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Supplementary Figure </w:t>
      </w:r>
      <w:r w:rsidR="008B4454"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</w:rPr>
        <w:t>. Functional Recovery at 6 Months Post-Surgery</w:t>
      </w:r>
    </w:p>
    <w:p w14:paraId="0A268A84" w14:textId="77777777" w:rsidR="006C33AE" w:rsidRDefault="006C33AE">
      <w:pPr>
        <w:spacing w:line="480" w:lineRule="auto"/>
        <w:rPr>
          <w:rFonts w:ascii="Calibri" w:eastAsia="Calibri" w:hAnsi="Calibri" w:cs="Calibri"/>
        </w:rPr>
      </w:pPr>
    </w:p>
    <w:p w14:paraId="2A41F748" w14:textId="77777777" w:rsidR="006C33AE" w:rsidRDefault="006C33AE">
      <w:pPr>
        <w:spacing w:line="480" w:lineRule="auto"/>
        <w:rPr>
          <w:rFonts w:ascii="Calibri" w:eastAsia="Calibri" w:hAnsi="Calibri" w:cs="Calibri"/>
        </w:rPr>
      </w:pPr>
    </w:p>
    <w:p w14:paraId="6EA2C3AC" w14:textId="6CAA06C3" w:rsidR="00F5137C" w:rsidRDefault="00000000">
      <w:pPr>
        <w:spacing w:line="48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Return to Work/</w:t>
      </w:r>
      <w:r w:rsidR="00B004B8">
        <w:rPr>
          <w:rFonts w:ascii="Calibri" w:eastAsia="Calibri" w:hAnsi="Calibri" w:cs="Calibri"/>
          <w:b/>
        </w:rPr>
        <w:t>Normal daily activities</w:t>
      </w:r>
      <w:r>
        <w:rPr>
          <w:rFonts w:ascii="Calibri" w:eastAsia="Calibri" w:hAnsi="Calibri" w:cs="Calibri"/>
          <w:b/>
        </w:rPr>
        <w:t xml:space="preserve"> After Ankle Fracture Surgery</w:t>
      </w:r>
    </w:p>
    <w:p w14:paraId="75399A63" w14:textId="77777777" w:rsidR="00F5137C" w:rsidRDefault="00000000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114300" distB="114300" distL="114300" distR="114300" wp14:anchorId="5EF887FA" wp14:editId="7F856446">
            <wp:extent cx="5133294" cy="2890763"/>
            <wp:effectExtent l="0" t="0" r="0" b="0"/>
            <wp:docPr id="6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3294" cy="28907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E4C060" w14:textId="2AFD13F0" w:rsidR="00F5137C" w:rsidRDefault="00000000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Supplementary Figure </w:t>
      </w:r>
      <w:r w:rsidR="00E3417E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. Return to Work/</w:t>
      </w:r>
      <w:r w:rsidR="00A713C2">
        <w:rPr>
          <w:rFonts w:ascii="Calibri" w:eastAsia="Calibri" w:hAnsi="Calibri" w:cs="Calibri"/>
        </w:rPr>
        <w:t>Normal Daily</w:t>
      </w:r>
      <w:r>
        <w:rPr>
          <w:rFonts w:ascii="Calibri" w:eastAsia="Calibri" w:hAnsi="Calibri" w:cs="Calibri"/>
        </w:rPr>
        <w:t xml:space="preserve"> Activities After Ankle Fracture Surgery </w:t>
      </w:r>
    </w:p>
    <w:p w14:paraId="14779F73" w14:textId="77777777" w:rsidR="00B91D85" w:rsidRDefault="00B91D85">
      <w:pPr>
        <w:spacing w:line="480" w:lineRule="auto"/>
        <w:rPr>
          <w:rFonts w:ascii="Calibri" w:eastAsia="Calibri" w:hAnsi="Calibri" w:cs="Calibri"/>
          <w:b/>
        </w:rPr>
      </w:pPr>
    </w:p>
    <w:p w14:paraId="0BB4F8D2" w14:textId="184E71FC" w:rsidR="00F5137C" w:rsidRDefault="00000000">
      <w:pPr>
        <w:spacing w:line="48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Health-Related Quality of Life (HRQoL) </w:t>
      </w:r>
    </w:p>
    <w:p w14:paraId="38BA50E1" w14:textId="77777777" w:rsidR="00F5137C" w:rsidRDefault="00000000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114300" distB="114300" distL="114300" distR="114300" wp14:anchorId="3B64C532" wp14:editId="05456FDE">
            <wp:extent cx="5019675" cy="2952750"/>
            <wp:effectExtent l="0" t="0" r="0" b="6350"/>
            <wp:docPr id="5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952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79D8A2" w14:textId="7AF30B1B" w:rsidR="00F5137C" w:rsidRPr="004B78AB" w:rsidRDefault="00000000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Supplementary Figure </w:t>
      </w:r>
      <w:r w:rsidR="00E3417E"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 xml:space="preserve">. Health-Related Quality of Life (HRQoL) </w:t>
      </w:r>
    </w:p>
    <w:p w14:paraId="241CB74A" w14:textId="5851A339" w:rsidR="00F5137C" w:rsidRDefault="004B78AB">
      <w:pPr>
        <w:spacing w:before="240" w:after="240" w:line="480" w:lineRule="auto"/>
        <w:rPr>
          <w:rFonts w:ascii="Calibri" w:eastAsia="Calibri" w:hAnsi="Calibri" w:cs="Calibri"/>
          <w:b/>
          <w:u w:val="single"/>
        </w:rPr>
      </w:pPr>
      <w:r w:rsidRPr="004B78AB">
        <w:rPr>
          <w:rFonts w:ascii="Calibri" w:eastAsia="Calibri" w:hAnsi="Calibri" w:cs="Calibri"/>
          <w:b/>
          <w:noProof/>
          <w:u w:val="single"/>
        </w:rPr>
        <w:lastRenderedPageBreak/>
        <w:drawing>
          <wp:inline distT="0" distB="0" distL="0" distR="0" wp14:anchorId="7230C0F4" wp14:editId="4344CFE1">
            <wp:extent cx="4638675" cy="3197019"/>
            <wp:effectExtent l="0" t="0" r="0" b="3810"/>
            <wp:docPr id="42490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024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43979" cy="3200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D8804" w14:textId="248928CF" w:rsidR="004B78AB" w:rsidRDefault="004B78AB" w:rsidP="004B78AB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Supplementary Figure 1</w:t>
      </w:r>
      <w:r w:rsidR="00E3417E"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>. Post-operative Complications (design stratified analysis)</w:t>
      </w:r>
    </w:p>
    <w:p w14:paraId="0CD57F9E" w14:textId="42BEB0F3" w:rsidR="00E00148" w:rsidRDefault="00E00148" w:rsidP="00CA16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1"/>
          <w:szCs w:val="21"/>
        </w:rPr>
      </w:pPr>
    </w:p>
    <w:p w14:paraId="54505448" w14:textId="77777777" w:rsidR="00E00148" w:rsidRDefault="00E00148" w:rsidP="00CA16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1"/>
          <w:szCs w:val="21"/>
        </w:rPr>
      </w:pPr>
    </w:p>
    <w:p w14:paraId="7CB05E15" w14:textId="758D99C0" w:rsidR="00F5137C" w:rsidRPr="00CA168F" w:rsidRDefault="00CA168F" w:rsidP="00CA16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0"/>
          <w:szCs w:val="20"/>
        </w:rPr>
      </w:pPr>
      <w:r w:rsidRPr="00CA168F">
        <w:rPr>
          <w:rFonts w:ascii="Calibri" w:hAnsi="Calibri" w:cs="Calibri"/>
          <w:color w:val="000000"/>
          <w:sz w:val="21"/>
          <w:szCs w:val="21"/>
        </w:rPr>
        <w:t>Table S1. Radiographic follow-up schedules and definitions of loss of reduction in included studies</w:t>
      </w:r>
      <w:r w:rsidR="0064720C">
        <w:rPr>
          <w:rFonts w:ascii="Calibri" w:hAnsi="Calibri" w:cs="Calibri"/>
          <w:color w:val="000000"/>
          <w:sz w:val="21"/>
          <w:szCs w:val="21"/>
        </w:rPr>
        <w:t xml:space="preserve"> (attached separately) 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1418"/>
        <w:gridCol w:w="4819"/>
        <w:gridCol w:w="2552"/>
        <w:gridCol w:w="3468"/>
      </w:tblGrid>
      <w:tr w:rsidR="00CA168F" w:rsidRPr="00E00148" w14:paraId="607E4107" w14:textId="77777777" w:rsidTr="002A53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14:paraId="6B1C676A" w14:textId="77777777" w:rsidR="00CA168F" w:rsidRPr="00E00148" w:rsidRDefault="00CA168F" w:rsidP="002A53F9">
            <w:pPr>
              <w:jc w:val="center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Arial" w:hAnsi="Arial" w:cs="Arial"/>
                <w:color w:val="000000"/>
                <w:sz w:val="11"/>
                <w:szCs w:val="11"/>
              </w:rPr>
              <w:t>Study (Author, Year)</w:t>
            </w:r>
          </w:p>
        </w:tc>
        <w:tc>
          <w:tcPr>
            <w:tcW w:w="1418" w:type="dxa"/>
            <w:vAlign w:val="center"/>
            <w:hideMark/>
          </w:tcPr>
          <w:p w14:paraId="3BB8343C" w14:textId="77777777" w:rsidR="00CA168F" w:rsidRPr="00E00148" w:rsidRDefault="00CA168F" w:rsidP="002A53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Design</w:t>
            </w:r>
          </w:p>
        </w:tc>
        <w:tc>
          <w:tcPr>
            <w:tcW w:w="4819" w:type="dxa"/>
            <w:vAlign w:val="center"/>
            <w:hideMark/>
          </w:tcPr>
          <w:p w14:paraId="24B8BCD6" w14:textId="77777777" w:rsidR="00CA168F" w:rsidRPr="00E00148" w:rsidRDefault="00CA168F" w:rsidP="002A53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Radiographic follow-up schedule</w:t>
            </w:r>
          </w:p>
        </w:tc>
        <w:tc>
          <w:tcPr>
            <w:tcW w:w="2552" w:type="dxa"/>
            <w:vAlign w:val="center"/>
            <w:hideMark/>
          </w:tcPr>
          <w:p w14:paraId="5E312BD1" w14:textId="77777777" w:rsidR="00CA168F" w:rsidRPr="00E00148" w:rsidRDefault="00CA168F" w:rsidP="002A53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Definition of loss of reduction (and related)</w:t>
            </w:r>
          </w:p>
        </w:tc>
        <w:tc>
          <w:tcPr>
            <w:tcW w:w="3468" w:type="dxa"/>
            <w:vAlign w:val="center"/>
            <w:hideMark/>
          </w:tcPr>
          <w:p w14:paraId="1F6AD51B" w14:textId="77777777" w:rsidR="00CA168F" w:rsidRPr="00E00148" w:rsidRDefault="00CA168F" w:rsidP="002A53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Reported events related to displacement/union</w:t>
            </w:r>
          </w:p>
        </w:tc>
      </w:tr>
      <w:tr w:rsidR="00CA168F" w:rsidRPr="00E00148" w14:paraId="0D01CCB6" w14:textId="77777777" w:rsidTr="002A5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14:paraId="669189AD" w14:textId="77777777" w:rsidR="00CA168F" w:rsidRPr="00E00148" w:rsidRDefault="00CA168F" w:rsidP="002A53F9">
            <w:pPr>
              <w:jc w:val="center"/>
              <w:rPr>
                <w:rFonts w:ascii="Arial" w:eastAsia="Times New Roman" w:hAnsi="Arial" w:cs="Arial"/>
                <w:sz w:val="11"/>
                <w:szCs w:val="11"/>
              </w:rPr>
            </w:pPr>
            <w:proofErr w:type="spellStart"/>
            <w:r w:rsidRPr="00E00148">
              <w:rPr>
                <w:rFonts w:ascii="Arial" w:eastAsia="Arial" w:hAnsi="Arial" w:cs="Arial"/>
                <w:color w:val="000000"/>
                <w:sz w:val="11"/>
                <w:szCs w:val="11"/>
              </w:rPr>
              <w:t>Simanski</w:t>
            </w:r>
            <w:proofErr w:type="spellEnd"/>
            <w:r w:rsidRPr="00E00148">
              <w:rPr>
                <w:rFonts w:ascii="Arial" w:eastAsia="Arial" w:hAnsi="Arial" w:cs="Arial"/>
                <w:color w:val="000000"/>
                <w:sz w:val="11"/>
                <w:szCs w:val="11"/>
              </w:rPr>
              <w:t>, 2006</w:t>
            </w:r>
          </w:p>
        </w:tc>
        <w:tc>
          <w:tcPr>
            <w:tcW w:w="1418" w:type="dxa"/>
            <w:vAlign w:val="center"/>
            <w:hideMark/>
          </w:tcPr>
          <w:p w14:paraId="785B8D68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Prospective cohort</w:t>
            </w:r>
          </w:p>
        </w:tc>
        <w:tc>
          <w:tcPr>
            <w:tcW w:w="4819" w:type="dxa"/>
            <w:vAlign w:val="center"/>
            <w:hideMark/>
          </w:tcPr>
          <w:p w14:paraId="6B4CCDA2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1, 3, 6 weeks; &gt;12 months (AP/mortise, lateral)</w:t>
            </w:r>
          </w:p>
        </w:tc>
        <w:tc>
          <w:tcPr>
            <w:tcW w:w="2552" w:type="dxa"/>
            <w:vAlign w:val="center"/>
            <w:hideMark/>
          </w:tcPr>
          <w:p w14:paraId="7C79AD9E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NR (healing/alignment assessed by two blinded physicians)</w:t>
            </w:r>
          </w:p>
        </w:tc>
        <w:tc>
          <w:tcPr>
            <w:tcW w:w="3468" w:type="dxa"/>
            <w:vAlign w:val="center"/>
            <w:hideMark/>
          </w:tcPr>
          <w:p w14:paraId="63068AA5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proofErr w:type="spellStart"/>
            <w:r w:rsidRPr="00E00148">
              <w:rPr>
                <w:rFonts w:ascii="Arial" w:eastAsia="Times New Roman" w:hAnsi="Arial" w:cs="Arial"/>
                <w:sz w:val="11"/>
                <w:szCs w:val="11"/>
              </w:rPr>
              <w:t>Nonunion</w:t>
            </w:r>
            <w:proofErr w:type="spellEnd"/>
            <w:r w:rsidRPr="00E00148">
              <w:rPr>
                <w:rFonts w:ascii="Arial" w:eastAsia="Times New Roman" w:hAnsi="Arial" w:cs="Arial"/>
                <w:sz w:val="11"/>
                <w:szCs w:val="11"/>
              </w:rPr>
              <w:t>: 1 (DWB)</w:t>
            </w:r>
          </w:p>
        </w:tc>
      </w:tr>
      <w:tr w:rsidR="00CA168F" w:rsidRPr="00E00148" w14:paraId="4465F80A" w14:textId="77777777" w:rsidTr="002A53F9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14:paraId="191723C2" w14:textId="77777777" w:rsidR="00CA168F" w:rsidRPr="00E00148" w:rsidRDefault="00CA168F" w:rsidP="002A53F9">
            <w:pPr>
              <w:jc w:val="center"/>
              <w:rPr>
                <w:rFonts w:ascii="Arial" w:eastAsia="Times New Roman" w:hAnsi="Arial" w:cs="Arial"/>
                <w:sz w:val="11"/>
                <w:szCs w:val="11"/>
              </w:rPr>
            </w:pPr>
            <w:proofErr w:type="spellStart"/>
            <w:r w:rsidRPr="00E00148">
              <w:rPr>
                <w:rFonts w:ascii="Arial" w:eastAsia="Arial" w:hAnsi="Arial" w:cs="Arial"/>
                <w:color w:val="000000"/>
                <w:sz w:val="11"/>
                <w:szCs w:val="11"/>
              </w:rPr>
              <w:t>Dehghan</w:t>
            </w:r>
            <w:proofErr w:type="spellEnd"/>
            <w:r w:rsidRPr="00E00148">
              <w:rPr>
                <w:rFonts w:ascii="Arial" w:eastAsia="Arial" w:hAnsi="Arial" w:cs="Arial"/>
                <w:color w:val="000000"/>
                <w:sz w:val="11"/>
                <w:szCs w:val="11"/>
              </w:rPr>
              <w:t>, 2016</w:t>
            </w:r>
          </w:p>
        </w:tc>
        <w:tc>
          <w:tcPr>
            <w:tcW w:w="1418" w:type="dxa"/>
            <w:vAlign w:val="center"/>
            <w:hideMark/>
          </w:tcPr>
          <w:p w14:paraId="27C38173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RCT</w:t>
            </w:r>
          </w:p>
        </w:tc>
        <w:tc>
          <w:tcPr>
            <w:tcW w:w="4819" w:type="dxa"/>
            <w:vAlign w:val="center"/>
            <w:hideMark/>
          </w:tcPr>
          <w:p w14:paraId="1249E68E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2, 6, 12 weeks; 3, 6, 12 months</w:t>
            </w:r>
          </w:p>
        </w:tc>
        <w:tc>
          <w:tcPr>
            <w:tcW w:w="2552" w:type="dxa"/>
            <w:vAlign w:val="center"/>
            <w:hideMark/>
          </w:tcPr>
          <w:p w14:paraId="381E9DE4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&gt;2 mm change vs prior films</w:t>
            </w:r>
          </w:p>
        </w:tc>
        <w:tc>
          <w:tcPr>
            <w:tcW w:w="3468" w:type="dxa"/>
            <w:vAlign w:val="center"/>
            <w:hideMark/>
          </w:tcPr>
          <w:p w14:paraId="099C1889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None</w:t>
            </w:r>
          </w:p>
        </w:tc>
      </w:tr>
      <w:tr w:rsidR="00CA168F" w:rsidRPr="00E00148" w14:paraId="08560349" w14:textId="77777777" w:rsidTr="002A5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14:paraId="16E98149" w14:textId="77777777" w:rsidR="00CA168F" w:rsidRPr="00E00148" w:rsidRDefault="00CA168F" w:rsidP="002A53F9">
            <w:pPr>
              <w:jc w:val="center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Arial" w:hAnsi="Arial" w:cs="Arial"/>
                <w:color w:val="000000"/>
                <w:sz w:val="11"/>
                <w:szCs w:val="11"/>
              </w:rPr>
              <w:t>Schubert, 2020</w:t>
            </w:r>
          </w:p>
        </w:tc>
        <w:tc>
          <w:tcPr>
            <w:tcW w:w="1418" w:type="dxa"/>
            <w:vAlign w:val="center"/>
            <w:hideMark/>
          </w:tcPr>
          <w:p w14:paraId="17118558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RCT</w:t>
            </w:r>
          </w:p>
        </w:tc>
        <w:tc>
          <w:tcPr>
            <w:tcW w:w="4819" w:type="dxa"/>
            <w:vAlign w:val="center"/>
            <w:hideMark/>
          </w:tcPr>
          <w:p w14:paraId="163540CF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2, 6, 12, 26 weeks</w:t>
            </w:r>
          </w:p>
        </w:tc>
        <w:tc>
          <w:tcPr>
            <w:tcW w:w="2552" w:type="dxa"/>
            <w:vAlign w:val="center"/>
            <w:hideMark/>
          </w:tcPr>
          <w:p w14:paraId="140415C0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Not reported</w:t>
            </w:r>
          </w:p>
        </w:tc>
        <w:tc>
          <w:tcPr>
            <w:tcW w:w="3468" w:type="dxa"/>
            <w:vAlign w:val="center"/>
            <w:hideMark/>
          </w:tcPr>
          <w:p w14:paraId="7BC32456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None</w:t>
            </w:r>
          </w:p>
        </w:tc>
      </w:tr>
      <w:tr w:rsidR="00CA168F" w:rsidRPr="00E00148" w14:paraId="7AB96D81" w14:textId="77777777" w:rsidTr="002A53F9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14:paraId="66C8CDBA" w14:textId="77777777" w:rsidR="00CA168F" w:rsidRPr="00E00148" w:rsidRDefault="00CA168F" w:rsidP="002A53F9">
            <w:pPr>
              <w:jc w:val="center"/>
              <w:rPr>
                <w:rFonts w:ascii="Arial" w:eastAsia="Times New Roman" w:hAnsi="Arial" w:cs="Arial"/>
                <w:sz w:val="11"/>
                <w:szCs w:val="11"/>
              </w:rPr>
            </w:pPr>
            <w:proofErr w:type="spellStart"/>
            <w:r w:rsidRPr="00E00148">
              <w:rPr>
                <w:rFonts w:ascii="Arial" w:eastAsia="Arial" w:hAnsi="Arial" w:cs="Arial"/>
                <w:color w:val="000000"/>
                <w:sz w:val="11"/>
                <w:szCs w:val="11"/>
              </w:rPr>
              <w:t>Passias</w:t>
            </w:r>
            <w:proofErr w:type="spellEnd"/>
            <w:r w:rsidRPr="00E00148">
              <w:rPr>
                <w:rFonts w:ascii="Arial" w:eastAsia="Arial" w:hAnsi="Arial" w:cs="Arial"/>
                <w:color w:val="000000"/>
                <w:sz w:val="11"/>
                <w:szCs w:val="11"/>
              </w:rPr>
              <w:t>, 2020</w:t>
            </w:r>
          </w:p>
        </w:tc>
        <w:tc>
          <w:tcPr>
            <w:tcW w:w="1418" w:type="dxa"/>
            <w:vAlign w:val="center"/>
            <w:hideMark/>
          </w:tcPr>
          <w:p w14:paraId="408939FA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Retrospective cohort</w:t>
            </w:r>
          </w:p>
        </w:tc>
        <w:tc>
          <w:tcPr>
            <w:tcW w:w="4819" w:type="dxa"/>
            <w:vAlign w:val="center"/>
            <w:hideMark/>
          </w:tcPr>
          <w:p w14:paraId="6B820AC1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3, 6, 12 weeks; 6 months; 1 year (mortise focus)</w:t>
            </w:r>
          </w:p>
        </w:tc>
        <w:tc>
          <w:tcPr>
            <w:tcW w:w="2552" w:type="dxa"/>
            <w:vAlign w:val="center"/>
            <w:hideMark/>
          </w:tcPr>
          <w:p w14:paraId="76E36D45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 xml:space="preserve">Not explicitly defined; alignment via medial clear space (normal &lt;5 mm). Hardware loosening = </w:t>
            </w:r>
            <w:proofErr w:type="spellStart"/>
            <w:r w:rsidRPr="00E00148">
              <w:rPr>
                <w:rFonts w:ascii="Arial" w:eastAsia="Times New Roman" w:hAnsi="Arial" w:cs="Arial"/>
                <w:sz w:val="11"/>
                <w:szCs w:val="11"/>
              </w:rPr>
              <w:t>lucency</w:t>
            </w:r>
            <w:proofErr w:type="spellEnd"/>
            <w:r w:rsidRPr="00E00148">
              <w:rPr>
                <w:rFonts w:ascii="Arial" w:eastAsia="Times New Roman" w:hAnsi="Arial" w:cs="Arial"/>
                <w:sz w:val="11"/>
                <w:szCs w:val="11"/>
              </w:rPr>
              <w:t xml:space="preserve">/back-out. Union = bridging callus at 3/4 cortices or disappearance of fracture lines; </w:t>
            </w:r>
            <w:proofErr w:type="spellStart"/>
            <w:r w:rsidRPr="00E00148">
              <w:rPr>
                <w:rFonts w:ascii="Arial" w:eastAsia="Times New Roman" w:hAnsi="Arial" w:cs="Arial"/>
                <w:sz w:val="11"/>
                <w:szCs w:val="11"/>
              </w:rPr>
              <w:t>nonunion</w:t>
            </w:r>
            <w:proofErr w:type="spellEnd"/>
            <w:r w:rsidRPr="00E00148">
              <w:rPr>
                <w:rFonts w:ascii="Arial" w:eastAsia="Times New Roman" w:hAnsi="Arial" w:cs="Arial"/>
                <w:sz w:val="11"/>
                <w:szCs w:val="11"/>
              </w:rPr>
              <w:t xml:space="preserve"> = absence of healing by 6 months</w:t>
            </w:r>
          </w:p>
        </w:tc>
        <w:tc>
          <w:tcPr>
            <w:tcW w:w="3468" w:type="dxa"/>
            <w:vAlign w:val="center"/>
            <w:hideMark/>
          </w:tcPr>
          <w:p w14:paraId="0DE3E449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proofErr w:type="spellStart"/>
            <w:r w:rsidRPr="00E00148">
              <w:rPr>
                <w:rFonts w:ascii="Arial" w:eastAsia="Times New Roman" w:hAnsi="Arial" w:cs="Arial"/>
                <w:sz w:val="11"/>
                <w:szCs w:val="11"/>
              </w:rPr>
              <w:t>Nonunion</w:t>
            </w:r>
            <w:proofErr w:type="spellEnd"/>
            <w:r w:rsidRPr="00E00148">
              <w:rPr>
                <w:rFonts w:ascii="Arial" w:eastAsia="Times New Roman" w:hAnsi="Arial" w:cs="Arial"/>
                <w:sz w:val="11"/>
                <w:szCs w:val="11"/>
              </w:rPr>
              <w:t>: 2 (DWB)</w:t>
            </w:r>
          </w:p>
        </w:tc>
      </w:tr>
      <w:tr w:rsidR="00CA168F" w:rsidRPr="00E00148" w14:paraId="22D28944" w14:textId="77777777" w:rsidTr="002A5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14:paraId="36AAD56A" w14:textId="77777777" w:rsidR="00CA168F" w:rsidRPr="00E00148" w:rsidRDefault="00CA168F" w:rsidP="002A53F9">
            <w:pPr>
              <w:jc w:val="center"/>
              <w:rPr>
                <w:rFonts w:ascii="Arial" w:eastAsia="Times New Roman" w:hAnsi="Arial" w:cs="Arial"/>
                <w:sz w:val="11"/>
                <w:szCs w:val="11"/>
              </w:rPr>
            </w:pPr>
            <w:proofErr w:type="spellStart"/>
            <w:r w:rsidRPr="00E00148">
              <w:rPr>
                <w:rFonts w:ascii="Arial" w:eastAsia="Arial" w:hAnsi="Arial" w:cs="Arial"/>
                <w:color w:val="000000"/>
                <w:sz w:val="11"/>
                <w:szCs w:val="11"/>
              </w:rPr>
              <w:t>Smeeing</w:t>
            </w:r>
            <w:proofErr w:type="spellEnd"/>
            <w:r w:rsidRPr="00E00148">
              <w:rPr>
                <w:rFonts w:ascii="Arial" w:eastAsia="Arial" w:hAnsi="Arial" w:cs="Arial"/>
                <w:color w:val="000000"/>
                <w:sz w:val="11"/>
                <w:szCs w:val="11"/>
              </w:rPr>
              <w:t>, 2020</w:t>
            </w:r>
          </w:p>
        </w:tc>
        <w:tc>
          <w:tcPr>
            <w:tcW w:w="1418" w:type="dxa"/>
            <w:vAlign w:val="center"/>
            <w:hideMark/>
          </w:tcPr>
          <w:p w14:paraId="52CA1E8B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RCT</w:t>
            </w:r>
          </w:p>
        </w:tc>
        <w:tc>
          <w:tcPr>
            <w:tcW w:w="4819" w:type="dxa"/>
            <w:vAlign w:val="center"/>
            <w:hideMark/>
          </w:tcPr>
          <w:p w14:paraId="2F02AEF0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6 weeks; 12 weeks; 6 months; 1 year</w:t>
            </w:r>
          </w:p>
        </w:tc>
        <w:tc>
          <w:tcPr>
            <w:tcW w:w="2552" w:type="dxa"/>
            <w:vAlign w:val="center"/>
            <w:hideMark/>
          </w:tcPr>
          <w:p w14:paraId="14FDEB02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Not reported</w:t>
            </w:r>
          </w:p>
        </w:tc>
        <w:tc>
          <w:tcPr>
            <w:tcW w:w="3468" w:type="dxa"/>
            <w:vAlign w:val="center"/>
            <w:hideMark/>
          </w:tcPr>
          <w:p w14:paraId="6C2D5995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None</w:t>
            </w:r>
          </w:p>
        </w:tc>
      </w:tr>
      <w:tr w:rsidR="00CA168F" w:rsidRPr="00E00148" w14:paraId="31499EC8" w14:textId="77777777" w:rsidTr="002A53F9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14:paraId="01E8AAFB" w14:textId="77777777" w:rsidR="00CA168F" w:rsidRPr="00E00148" w:rsidRDefault="00CA168F" w:rsidP="002A53F9">
            <w:pPr>
              <w:jc w:val="center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Arial" w:hAnsi="Arial" w:cs="Arial"/>
                <w:color w:val="000000"/>
                <w:sz w:val="11"/>
                <w:szCs w:val="11"/>
              </w:rPr>
              <w:lastRenderedPageBreak/>
              <w:t>Park, 2021</w:t>
            </w:r>
          </w:p>
        </w:tc>
        <w:tc>
          <w:tcPr>
            <w:tcW w:w="1418" w:type="dxa"/>
            <w:vAlign w:val="center"/>
            <w:hideMark/>
          </w:tcPr>
          <w:p w14:paraId="55F41847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RCT</w:t>
            </w:r>
          </w:p>
        </w:tc>
        <w:tc>
          <w:tcPr>
            <w:tcW w:w="4819" w:type="dxa"/>
            <w:vAlign w:val="center"/>
            <w:hideMark/>
          </w:tcPr>
          <w:p w14:paraId="1054455F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4, 6, 8, 12 weeks; 12 months</w:t>
            </w:r>
          </w:p>
        </w:tc>
        <w:tc>
          <w:tcPr>
            <w:tcW w:w="2552" w:type="dxa"/>
            <w:vAlign w:val="center"/>
            <w:hideMark/>
          </w:tcPr>
          <w:p w14:paraId="0BF6155F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Loss of reduction = &gt;2-mm displacement of the initial reduction (events counted only if not due to inappropriate activity). Implant failure = breakage or backing-out of screws/K-wires</w:t>
            </w:r>
          </w:p>
        </w:tc>
        <w:tc>
          <w:tcPr>
            <w:tcW w:w="3468" w:type="dxa"/>
            <w:vAlign w:val="center"/>
            <w:hideMark/>
          </w:tcPr>
          <w:p w14:paraId="7A9E9867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None</w:t>
            </w:r>
          </w:p>
        </w:tc>
      </w:tr>
      <w:tr w:rsidR="00CA168F" w:rsidRPr="00E00148" w14:paraId="2AA64774" w14:textId="77777777" w:rsidTr="002A5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14:paraId="705D1FC4" w14:textId="77777777" w:rsidR="00CA168F" w:rsidRPr="00E00148" w:rsidRDefault="00CA168F" w:rsidP="002A53F9">
            <w:pPr>
              <w:jc w:val="center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Arial" w:hAnsi="Arial" w:cs="Arial"/>
                <w:color w:val="000000"/>
                <w:sz w:val="11"/>
                <w:szCs w:val="11"/>
              </w:rPr>
              <w:t>Lee, 2022</w:t>
            </w:r>
          </w:p>
        </w:tc>
        <w:tc>
          <w:tcPr>
            <w:tcW w:w="1418" w:type="dxa"/>
            <w:vAlign w:val="center"/>
            <w:hideMark/>
          </w:tcPr>
          <w:p w14:paraId="3F989C7D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Retrospective matched cohort</w:t>
            </w:r>
          </w:p>
        </w:tc>
        <w:tc>
          <w:tcPr>
            <w:tcW w:w="4819" w:type="dxa"/>
            <w:vAlign w:val="center"/>
            <w:hideMark/>
          </w:tcPr>
          <w:p w14:paraId="5CB82BAB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2 weeks; 3, 6, 12 months (AP, lateral, mortise)</w:t>
            </w:r>
          </w:p>
        </w:tc>
        <w:tc>
          <w:tcPr>
            <w:tcW w:w="2552" w:type="dxa"/>
            <w:vAlign w:val="center"/>
            <w:hideMark/>
          </w:tcPr>
          <w:p w14:paraId="20702B2C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&gt;2 mm vs immediate post-op in ≥2/3 planes (AP/lateral/mortise) at 3 &amp; 12 months; union = bridging trabeculae/osseous bone in ≥2/3 planes</w:t>
            </w:r>
          </w:p>
        </w:tc>
        <w:tc>
          <w:tcPr>
            <w:tcW w:w="3468" w:type="dxa"/>
            <w:vAlign w:val="center"/>
            <w:hideMark/>
          </w:tcPr>
          <w:p w14:paraId="0A34E79E" w14:textId="77777777" w:rsidR="00CA168F" w:rsidRPr="00E00148" w:rsidRDefault="00CA168F" w:rsidP="002A5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None</w:t>
            </w:r>
          </w:p>
        </w:tc>
      </w:tr>
      <w:tr w:rsidR="00CA168F" w:rsidRPr="00E00148" w14:paraId="014E2803" w14:textId="77777777" w:rsidTr="002A53F9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  <w:hideMark/>
          </w:tcPr>
          <w:p w14:paraId="481009AD" w14:textId="77777777" w:rsidR="00CA168F" w:rsidRPr="00E00148" w:rsidRDefault="00CA168F" w:rsidP="002A53F9">
            <w:pPr>
              <w:jc w:val="center"/>
              <w:rPr>
                <w:rFonts w:ascii="Arial" w:eastAsia="Times New Roman" w:hAnsi="Arial" w:cs="Arial"/>
                <w:sz w:val="11"/>
                <w:szCs w:val="11"/>
              </w:rPr>
            </w:pPr>
            <w:proofErr w:type="spellStart"/>
            <w:r w:rsidRPr="00E00148">
              <w:rPr>
                <w:rFonts w:ascii="Arial" w:eastAsia="Arial" w:hAnsi="Arial" w:cs="Arial"/>
                <w:color w:val="000000"/>
                <w:sz w:val="11"/>
                <w:szCs w:val="11"/>
              </w:rPr>
              <w:t>Herbosa</w:t>
            </w:r>
            <w:proofErr w:type="spellEnd"/>
            <w:r w:rsidRPr="00E00148">
              <w:rPr>
                <w:rFonts w:ascii="Arial" w:eastAsia="Arial" w:hAnsi="Arial" w:cs="Arial"/>
                <w:color w:val="000000"/>
                <w:sz w:val="11"/>
                <w:szCs w:val="11"/>
              </w:rPr>
              <w:t>, 2024</w:t>
            </w:r>
          </w:p>
        </w:tc>
        <w:tc>
          <w:tcPr>
            <w:tcW w:w="1418" w:type="dxa"/>
            <w:vAlign w:val="center"/>
            <w:hideMark/>
          </w:tcPr>
          <w:p w14:paraId="2A501834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Prospective case–control</w:t>
            </w:r>
          </w:p>
        </w:tc>
        <w:tc>
          <w:tcPr>
            <w:tcW w:w="4819" w:type="dxa"/>
            <w:vAlign w:val="center"/>
            <w:hideMark/>
          </w:tcPr>
          <w:p w14:paraId="5DBD3B03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2 weeks; 3, 6, 12 months</w:t>
            </w:r>
          </w:p>
        </w:tc>
        <w:tc>
          <w:tcPr>
            <w:tcW w:w="2552" w:type="dxa"/>
            <w:vAlign w:val="center"/>
            <w:hideMark/>
          </w:tcPr>
          <w:p w14:paraId="3F8DBDCD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Not reported</w:t>
            </w:r>
          </w:p>
        </w:tc>
        <w:tc>
          <w:tcPr>
            <w:tcW w:w="3468" w:type="dxa"/>
            <w:vAlign w:val="center"/>
            <w:hideMark/>
          </w:tcPr>
          <w:p w14:paraId="3BB747E6" w14:textId="77777777" w:rsidR="00CA168F" w:rsidRPr="00E00148" w:rsidRDefault="00CA168F" w:rsidP="002A5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1"/>
                <w:szCs w:val="11"/>
              </w:rPr>
            </w:pPr>
            <w:r w:rsidRPr="00E00148">
              <w:rPr>
                <w:rFonts w:ascii="Arial" w:eastAsia="Times New Roman" w:hAnsi="Arial" w:cs="Arial"/>
                <w:sz w:val="11"/>
                <w:szCs w:val="11"/>
              </w:rPr>
              <w:t>Malunion: 1 (DWB)</w:t>
            </w:r>
          </w:p>
        </w:tc>
      </w:tr>
    </w:tbl>
    <w:p w14:paraId="7602F921" w14:textId="77777777" w:rsidR="00CA168F" w:rsidRDefault="00CA168F">
      <w:pPr>
        <w:spacing w:before="240" w:after="240" w:line="480" w:lineRule="auto"/>
        <w:rPr>
          <w:rFonts w:ascii="Calibri" w:eastAsia="Calibri" w:hAnsi="Calibri" w:cs="Calibri"/>
          <w:b/>
          <w:u w:val="single"/>
        </w:rPr>
      </w:pPr>
    </w:p>
    <w:p w14:paraId="13D5FA4E" w14:textId="44130E46" w:rsidR="00F5137C" w:rsidRDefault="00000000">
      <w:pPr>
        <w:spacing w:before="240" w:after="240" w:line="48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Results and sensitivity analysis (leave-one-out method)</w:t>
      </w:r>
    </w:p>
    <w:p w14:paraId="12F04134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 xml:space="preserve">Functional Recovery at 6 Weeks Post-Surgery </w:t>
      </w:r>
      <w:r>
        <w:rPr>
          <w:rFonts w:ascii="Calibri" w:eastAsia="Calibri" w:hAnsi="Calibri" w:cs="Calibri"/>
        </w:rPr>
        <w:t xml:space="preserve">-  Sensitivity analysis confirmed heterogeneity remaining below 38% across exclusions. </w:t>
      </w:r>
    </w:p>
    <w:p w14:paraId="26022A94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Functional Recovery at 12 Weeks Post-Surgery</w:t>
      </w:r>
      <w:r>
        <w:rPr>
          <w:rFonts w:ascii="Calibri" w:eastAsia="Calibri" w:hAnsi="Calibri" w:cs="Calibri"/>
        </w:rPr>
        <w:t xml:space="preserve"> - Sensitivity analysis confirmed heterogeneity remained at 0% across </w:t>
      </w:r>
      <w:proofErr w:type="gramStart"/>
      <w:r>
        <w:rPr>
          <w:rFonts w:ascii="Calibri" w:eastAsia="Calibri" w:hAnsi="Calibri" w:cs="Calibri"/>
        </w:rPr>
        <w:t>exclusions</w:t>
      </w:r>
      <w:proofErr w:type="gramEnd"/>
      <w:r>
        <w:rPr>
          <w:rFonts w:ascii="Calibri" w:eastAsia="Calibri" w:hAnsi="Calibri" w:cs="Calibri"/>
        </w:rPr>
        <w:t xml:space="preserve"> </w:t>
      </w:r>
    </w:p>
    <w:p w14:paraId="3C283C91" w14:textId="77777777" w:rsidR="00F5137C" w:rsidRDefault="00000000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 xml:space="preserve">Functional Recovery at 6 Months Post-Surgery </w:t>
      </w:r>
      <w:r>
        <w:rPr>
          <w:rFonts w:ascii="Calibri" w:eastAsia="Calibri" w:hAnsi="Calibri" w:cs="Calibri"/>
        </w:rPr>
        <w:t xml:space="preserve">- Sensitivity analysis was 0% across </w:t>
      </w:r>
      <w:proofErr w:type="gramStart"/>
      <w:r>
        <w:rPr>
          <w:rFonts w:ascii="Calibri" w:eastAsia="Calibri" w:hAnsi="Calibri" w:cs="Calibri"/>
        </w:rPr>
        <w:t>exclusions</w:t>
      </w:r>
      <w:proofErr w:type="gramEnd"/>
    </w:p>
    <w:p w14:paraId="6EA8677B" w14:textId="77777777" w:rsidR="00F5137C" w:rsidRDefault="00000000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 xml:space="preserve">Functional Recovery at 12 months Post-Surgery  </w:t>
      </w:r>
      <w:r>
        <w:rPr>
          <w:rFonts w:ascii="Calibri" w:eastAsia="Calibri" w:hAnsi="Calibri" w:cs="Calibri"/>
        </w:rPr>
        <w:t xml:space="preserve">- Sensitivity analysis remained under 2% across exclusions. </w:t>
      </w:r>
    </w:p>
    <w:p w14:paraId="4D96CD99" w14:textId="265D9C7A" w:rsidR="00F5137C" w:rsidRDefault="00000000">
      <w:pPr>
        <w:spacing w:before="240" w:after="240"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Return to Work/</w:t>
      </w:r>
      <w:r w:rsidR="004F2E09">
        <w:rPr>
          <w:rFonts w:ascii="Calibri" w:eastAsia="Calibri" w:hAnsi="Calibri" w:cs="Calibri"/>
          <w:u w:val="single"/>
        </w:rPr>
        <w:t>Normal daily activities</w:t>
      </w:r>
      <w:r>
        <w:rPr>
          <w:rFonts w:ascii="Calibri" w:eastAsia="Calibri" w:hAnsi="Calibri" w:cs="Calibri"/>
          <w:u w:val="single"/>
        </w:rPr>
        <w:t xml:space="preserve"> After Ankle Fracture Surgery</w:t>
      </w:r>
      <w:r>
        <w:rPr>
          <w:rFonts w:ascii="Calibri" w:eastAsia="Calibri" w:hAnsi="Calibri" w:cs="Calibri"/>
        </w:rPr>
        <w:t xml:space="preserve"> - Sensitivity analyses demonstrated 51% heterogeneity across all exclusions. </w:t>
      </w:r>
    </w:p>
    <w:p w14:paraId="2D5A406C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 xml:space="preserve">Post-operative Complications </w:t>
      </w:r>
      <w:r>
        <w:rPr>
          <w:rFonts w:ascii="Calibri" w:eastAsia="Calibri" w:hAnsi="Calibri" w:cs="Calibri"/>
        </w:rPr>
        <w:t xml:space="preserve">-  Sensitivity analysis confirmed heterogeneity remaining below 10% across exclusions. </w:t>
      </w:r>
    </w:p>
    <w:p w14:paraId="7A6640E7" w14:textId="77777777" w:rsidR="00F5137C" w:rsidRDefault="00000000">
      <w:pPr>
        <w:spacing w:before="240" w:after="240"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HRQoL</w:t>
      </w:r>
      <w:r>
        <w:rPr>
          <w:rFonts w:ascii="Calibri" w:eastAsia="Calibri" w:hAnsi="Calibri" w:cs="Calibri"/>
        </w:rPr>
        <w:t xml:space="preserve"> - Sensitivity analyses confirmed heterogeneity remaining below 0% across exclusions. </w:t>
      </w:r>
    </w:p>
    <w:p w14:paraId="796362FE" w14:textId="77777777" w:rsidR="00F5137C" w:rsidRDefault="00F5137C">
      <w:pPr>
        <w:spacing w:before="240" w:after="240"/>
      </w:pPr>
    </w:p>
    <w:sectPr w:rsidR="00F5137C">
      <w:footerReference w:type="default" r:id="rId1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D51CC" w14:textId="77777777" w:rsidR="00254AEF" w:rsidRDefault="00254AEF">
      <w:pPr>
        <w:spacing w:line="240" w:lineRule="auto"/>
      </w:pPr>
      <w:r>
        <w:separator/>
      </w:r>
    </w:p>
  </w:endnote>
  <w:endnote w:type="continuationSeparator" w:id="0">
    <w:p w14:paraId="7D826B5B" w14:textId="77777777" w:rsidR="00254AEF" w:rsidRDefault="00254A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524CD" w14:textId="77777777" w:rsidR="00F5137C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19711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7967C" w14:textId="77777777" w:rsidR="00254AEF" w:rsidRDefault="00254AEF">
      <w:pPr>
        <w:spacing w:line="240" w:lineRule="auto"/>
      </w:pPr>
      <w:r>
        <w:separator/>
      </w:r>
    </w:p>
  </w:footnote>
  <w:footnote w:type="continuationSeparator" w:id="0">
    <w:p w14:paraId="7EAA4589" w14:textId="77777777" w:rsidR="00254AEF" w:rsidRDefault="00254AE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37C"/>
    <w:rsid w:val="0019711D"/>
    <w:rsid w:val="00204DA4"/>
    <w:rsid w:val="00254AEF"/>
    <w:rsid w:val="002E7C75"/>
    <w:rsid w:val="003B30EA"/>
    <w:rsid w:val="00427A1B"/>
    <w:rsid w:val="004B78AB"/>
    <w:rsid w:val="004F2E09"/>
    <w:rsid w:val="00502696"/>
    <w:rsid w:val="00600C9A"/>
    <w:rsid w:val="0064720C"/>
    <w:rsid w:val="006C33AE"/>
    <w:rsid w:val="007248E5"/>
    <w:rsid w:val="008B4454"/>
    <w:rsid w:val="008C394E"/>
    <w:rsid w:val="00910E70"/>
    <w:rsid w:val="009411DA"/>
    <w:rsid w:val="00943657"/>
    <w:rsid w:val="00976FD5"/>
    <w:rsid w:val="009A143B"/>
    <w:rsid w:val="00A713C2"/>
    <w:rsid w:val="00AA63E3"/>
    <w:rsid w:val="00B004B8"/>
    <w:rsid w:val="00B35A31"/>
    <w:rsid w:val="00B91D85"/>
    <w:rsid w:val="00CA168F"/>
    <w:rsid w:val="00CE01F4"/>
    <w:rsid w:val="00D125DC"/>
    <w:rsid w:val="00D51158"/>
    <w:rsid w:val="00DE12C5"/>
    <w:rsid w:val="00E00148"/>
    <w:rsid w:val="00E3417E"/>
    <w:rsid w:val="00F323AC"/>
    <w:rsid w:val="00F5137C"/>
    <w:rsid w:val="00F85585"/>
    <w:rsid w:val="00FA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C4263"/>
  <w15:docId w15:val="{E00B6CD4-B0FE-8D4E-A43F-F746A4D06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PlainTable2">
    <w:name w:val="Plain Table 2"/>
    <w:basedOn w:val="TableNormal"/>
    <w:uiPriority w:val="42"/>
    <w:rsid w:val="00CA168F"/>
    <w:pPr>
      <w:spacing w:line="240" w:lineRule="auto"/>
    </w:pPr>
    <w:rPr>
      <w:rFonts w:ascii="Aptos" w:eastAsia="Aptos" w:hAnsi="Aptos" w:cs="Aptos"/>
      <w:sz w:val="24"/>
      <w:szCs w:val="24"/>
      <w:lang w:val="en-A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804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Dimitrios Nikos</cp:lastModifiedBy>
  <cp:revision>24</cp:revision>
  <dcterms:created xsi:type="dcterms:W3CDTF">2025-08-18T11:09:00Z</dcterms:created>
  <dcterms:modified xsi:type="dcterms:W3CDTF">2026-02-01T14:00:00Z</dcterms:modified>
</cp:coreProperties>
</file>