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13" w:rsidRPr="002D05D8" w:rsidRDefault="00077813" w:rsidP="00077813">
      <w:pPr>
        <w:rPr>
          <w:rFonts w:asciiTheme="majorBidi" w:eastAsia="Times New Roman" w:hAnsiTheme="majorBidi" w:cstheme="majorBidi"/>
          <w:b/>
          <w:sz w:val="24"/>
        </w:rPr>
      </w:pPr>
      <w:proofErr w:type="gramStart"/>
      <w:r>
        <w:rPr>
          <w:rFonts w:asciiTheme="majorBidi" w:eastAsia="Times New Roman" w:hAnsiTheme="majorBidi" w:cstheme="majorBidi"/>
          <w:b/>
          <w:sz w:val="24"/>
        </w:rPr>
        <w:t>Supplementary Table 1.</w:t>
      </w:r>
      <w:proofErr w:type="gramEnd"/>
      <w:r>
        <w:rPr>
          <w:rFonts w:asciiTheme="majorBidi" w:eastAsia="Times New Roman" w:hAnsiTheme="majorBidi" w:cstheme="majorBidi"/>
          <w:b/>
          <w:sz w:val="24"/>
        </w:rPr>
        <w:t xml:space="preserve"> Comparison of Body-Weight-Normalized Muscle Volume </w:t>
      </w:r>
      <w:proofErr w:type="gramStart"/>
      <w:r>
        <w:rPr>
          <w:rFonts w:asciiTheme="majorBidi" w:eastAsia="Times New Roman" w:hAnsiTheme="majorBidi" w:cstheme="majorBidi"/>
          <w:b/>
          <w:sz w:val="24"/>
        </w:rPr>
        <w:t>Between</w:t>
      </w:r>
      <w:proofErr w:type="gramEnd"/>
      <w:r>
        <w:rPr>
          <w:rFonts w:asciiTheme="majorBidi" w:eastAsia="Times New Roman" w:hAnsiTheme="majorBidi" w:cstheme="majorBidi"/>
          <w:b/>
          <w:sz w:val="24"/>
        </w:rPr>
        <w:t xml:space="preserve"> Varus and Valgus Knees</w:t>
      </w:r>
    </w:p>
    <w:tbl>
      <w:tblPr>
        <w:tblW w:w="13460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44"/>
        <w:gridCol w:w="2120"/>
        <w:gridCol w:w="2120"/>
        <w:gridCol w:w="3298"/>
        <w:gridCol w:w="1039"/>
        <w:gridCol w:w="1039"/>
      </w:tblGrid>
      <w:tr w:rsidR="00077813" w:rsidTr="001D754C">
        <w:trPr>
          <w:trHeight w:val="645"/>
        </w:trPr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bookmarkStart w:id="0" w:name="_GoBack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Muscle/Compartment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Varus [cm³/kg]</w:t>
            </w: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br/>
              <w:t>(median [IQR])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Valgus [cm³/kg]</w:t>
            </w: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br/>
              <w:t>(median [IQR])</w:t>
            </w:r>
          </w:p>
        </w:tc>
        <w:tc>
          <w:tcPr>
            <w:tcW w:w="3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Between-group difference</w:t>
            </w: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br/>
              <w:t>(median difference [95% CI])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 xml:space="preserve">p 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q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adductor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9.76 [8.42–10.70]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8.60 [7.26–9.06]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1.35 (0.37 to 2.05)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0.010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0.047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 xml:space="preserve">biceps </w:t>
            </w:r>
            <w:proofErr w:type="spellStart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femoris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3.20 [2.81–3.93]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2.58 [2.26–2.80]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0.73 (0.38 to 1.16)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0.003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gluteus maximus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10.30 [9.43–11.51]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10.35 [9.06–11.01]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0.32 (−0.39 to 1.33)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0.497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0.612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 xml:space="preserve">gluteus </w:t>
            </w:r>
            <w:proofErr w:type="spellStart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medius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4.07 [3.60–4.56]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4.10 [3.77–4.34]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−0.04 (−0.39 to 0.31)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0.861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0.901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 xml:space="preserve">gluteus </w:t>
            </w:r>
            <w:proofErr w:type="spellStart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minimus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0.87 [0.76–0.97]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0.87 [0.69–0.95]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0.03 (−0.06 to 0.14)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0.473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0.612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gracilis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0.82 [0.68–0.99]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0.80 [0.66–0.96]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0.01 (−0.15 to 0.12)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0.912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0.912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iliacus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1.48 [1.29–1.68]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1.45 [1.21–1.70]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0.05 (−0.14 to 0.25)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0.609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0.701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obturator externus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0.58 [0.52–0.66]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0.53 [0.49–0.61]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0.05 (0.00 to 0.10)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0.075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0.193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obturator internus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0.59 [0.49–0.66]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0.59 [0.51–0.64]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0.00 (−0.05 to 0.07)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0.851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0.901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pectineus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0.49 [0.44–0.57]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0.47 [0.40–0.52]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0.04 (−0.02 to 0.09)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0.172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0.283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piriformis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0.31 [0.26–0.37]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0.38 [0.32–0.42]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−0.05 (−0.10 to 0.00)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0.056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0.162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psoas major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1.22 [1.02–1.44]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1.08 [0.87–1.23]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0.14 (−0.07 to 0.35)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0.164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0.283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lastRenderedPageBreak/>
              <w:t xml:space="preserve">rectus </w:t>
            </w:r>
            <w:proofErr w:type="spellStart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femoris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1.86 [1.64–2.13]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1.62 [1.50–1.77]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0.24 (0.07 to 0.39)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0.047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sartorius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1.51 [1.33–1.77]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1.24 [1.15–1.56]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0.21 (0.00 to 0.35)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0.046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0.150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semimembranosus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2.26 [1.94–2.68]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2.19 [1.81–2.52]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0.15 (−0.15 to 0.50)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0.280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0.430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semitendinosus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1.89 [1.62–2.11]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1.53 [1.43–1.92]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0.26 (0.01 to 0.45)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0.128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 xml:space="preserve">tensor fasciae </w:t>
            </w:r>
            <w:proofErr w:type="spellStart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latae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0.81 [0.67–1.01]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0.61 [0.46–0.68]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0.26 (0.13 to 0.39)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0.003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 xml:space="preserve">vastus </w:t>
            </w:r>
            <w:proofErr w:type="spellStart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lateralis</w:t>
            </w:r>
            <w:proofErr w:type="spellEnd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 xml:space="preserve"> intermedius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8.21 [7.06–9.24]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7.35 [6.63–7.97]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0.72 (−0.21 to 1.58)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0.146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0.279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 xml:space="preserve">vastus </w:t>
            </w:r>
            <w:proofErr w:type="spellStart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medialis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3.54 [2.92–4.07]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3.26 [2.99–3.37]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0.31 (−0.03 to 0.70)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0.129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0.279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anterior compartment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2.45 [1.79–2.86]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2.25 [1.93–2.55]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0.16 (−0.22 to 0.49)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0.505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0.612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lateral compartment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1.12 [0.94–1.34]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0.97 [0.70–1.26]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0.16 (−0.06 to 0.39)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0.142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0.279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deep posterior compartment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3.00 [2.47–3.53]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3.00 [2.23–3.34]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0.20 (−0.22 to 0.70)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0.376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0.540</w:t>
            </w:r>
          </w:p>
        </w:tc>
      </w:tr>
      <w:tr w:rsidR="00077813" w:rsidTr="001D754C">
        <w:trPr>
          <w:trHeight w:val="600"/>
        </w:trPr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superficial posterior compartment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8.33 [6.30–9.25]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5.82 [4.01–7.50]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2.10 (0.59 to 3.80)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77813" w:rsidRPr="002D05D8" w:rsidRDefault="00077813" w:rsidP="001D754C">
            <w:pPr>
              <w:jc w:val="center"/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0.041</w:t>
            </w:r>
          </w:p>
        </w:tc>
      </w:tr>
      <w:tr w:rsidR="00077813" w:rsidTr="001D754C">
        <w:trPr>
          <w:trHeight w:val="720"/>
        </w:trPr>
        <w:tc>
          <w:tcPr>
            <w:tcW w:w="1345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7813" w:rsidRPr="002D05D8" w:rsidRDefault="00077813" w:rsidP="001D754C">
            <w:pP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 xml:space="preserve">Body-weight-normalized muscle volume was calculated as muscle volume divided by body weight (cm³/kg). Values are presented as median [interquartile range]. Between-group differences are presented as Hodges–Lehmann median differences with 95% confidence intervals (CIs). Mann–Whitney U test was used for between-group comparisons. </w:t>
            </w:r>
            <w:proofErr w:type="gramStart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p</w:t>
            </w:r>
            <w:proofErr w:type="gramEnd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 xml:space="preserve"> values are reported as unadjusted values, and q values represent false discovery rate–adjusted p values calculated using the </w:t>
            </w:r>
            <w:proofErr w:type="spellStart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Benjamini</w:t>
            </w:r>
            <w:proofErr w:type="spellEnd"/>
            <w:r>
              <w:rPr>
                <w:rFonts w:asciiTheme="majorBidi" w:eastAsia="Yu Gothic" w:hAnsiTheme="majorBidi" w:cstheme="majorBidi"/>
                <w:color w:val="000000"/>
                <w:kern w:val="0"/>
                <w:sz w:val="22"/>
              </w:rPr>
              <w:t>–Hochberg procedure. Statistical significance was determined based on q &lt; 0.05. IQR, interquartile range</w:t>
            </w:r>
          </w:p>
        </w:tc>
      </w:tr>
      <w:bookmarkEnd w:id="0"/>
    </w:tbl>
    <w:p w:rsidR="00285CE8" w:rsidRDefault="00077813"/>
    <w:sectPr w:rsidR="00285CE8" w:rsidSect="0007781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13"/>
    <w:rsid w:val="00077813"/>
    <w:rsid w:val="002C4045"/>
    <w:rsid w:val="008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813"/>
    <w:pPr>
      <w:spacing w:after="0" w:line="480" w:lineRule="auto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813"/>
    <w:pPr>
      <w:spacing w:after="0" w:line="480" w:lineRule="auto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Nezzie Sabate</dc:creator>
  <cp:lastModifiedBy>Nezzie Sabate</cp:lastModifiedBy>
  <cp:revision>1</cp:revision>
  <dcterms:created xsi:type="dcterms:W3CDTF">2026-05-27T01:50:00Z</dcterms:created>
  <dcterms:modified xsi:type="dcterms:W3CDTF">2026-05-27T01:51:00Z</dcterms:modified>
</cp:coreProperties>
</file>