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31BBF" w14:textId="428665D3" w:rsidR="00EC1CB3" w:rsidRDefault="000123DD">
      <w:pPr>
        <w:rPr>
          <w:rFonts w:asciiTheme="majorBidi" w:hAnsiTheme="majorBidi" w:cstheme="majorBidi"/>
          <w:b/>
          <w:bCs/>
          <w:lang w:val="en-US"/>
        </w:rPr>
      </w:pPr>
      <w:r w:rsidRPr="000123DD">
        <w:rPr>
          <w:rFonts w:asciiTheme="majorBidi" w:hAnsiTheme="majorBidi" w:cstheme="majorBidi"/>
          <w:b/>
          <w:bCs/>
          <w:lang w:val="en-US"/>
        </w:rPr>
        <w:t xml:space="preserve">Supplementary Table S1: </w:t>
      </w:r>
      <w:r>
        <w:rPr>
          <w:rFonts w:asciiTheme="majorBidi" w:hAnsiTheme="majorBidi" w:cstheme="majorBidi"/>
          <w:b/>
          <w:bCs/>
          <w:lang w:val="en-US"/>
        </w:rPr>
        <w:t>Leave-one-out sensitivity analysis</w:t>
      </w:r>
    </w:p>
    <w:tbl>
      <w:tblPr>
        <w:tblStyle w:val="Grigliatabella"/>
        <w:tblW w:w="4660" w:type="pct"/>
        <w:tblLook w:val="04A0" w:firstRow="1" w:lastRow="0" w:firstColumn="1" w:lastColumn="0" w:noHBand="0" w:noVBand="1"/>
      </w:tblPr>
      <w:tblGrid>
        <w:gridCol w:w="5415"/>
        <w:gridCol w:w="2920"/>
        <w:gridCol w:w="2803"/>
        <w:gridCol w:w="1862"/>
      </w:tblGrid>
      <w:tr w:rsidR="000802CE" w:rsidRPr="000123DD" w14:paraId="05CCF004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7E2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3653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0123DD">
              <w:rPr>
                <w:rFonts w:asciiTheme="majorBidi" w:hAnsiTheme="majorBidi" w:cstheme="majorBidi"/>
                <w:b/>
                <w:bCs/>
              </w:rPr>
              <w:t xml:space="preserve">Pooled Estimate </w:t>
            </w:r>
          </w:p>
          <w:p w14:paraId="5D01EDE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0123DD">
              <w:rPr>
                <w:rFonts w:asciiTheme="majorBidi" w:hAnsiTheme="majorBidi" w:cstheme="majorBidi"/>
                <w:b/>
                <w:bCs/>
              </w:rPr>
              <w:t>(%)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F9B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0123DD">
              <w:rPr>
                <w:rFonts w:asciiTheme="majorBidi" w:hAnsiTheme="majorBidi" w:cstheme="majorBidi"/>
                <w:b/>
                <w:bCs/>
              </w:rPr>
              <w:t>95% CI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5EF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0123DD">
              <w:rPr>
                <w:rFonts w:asciiTheme="majorBidi" w:hAnsiTheme="majorBidi" w:cstheme="majorBidi"/>
                <w:b/>
                <w:bCs/>
              </w:rPr>
              <w:t>I² (%)</w:t>
            </w:r>
          </w:p>
        </w:tc>
      </w:tr>
      <w:tr w:rsidR="000802CE" w:rsidRPr="000123DD" w14:paraId="79C14496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08B78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0802CE">
              <w:rPr>
                <w:rFonts w:asciiTheme="majorBidi" w:hAnsiTheme="majorBidi" w:cstheme="majorBidi"/>
                <w:b/>
                <w:bCs/>
              </w:rPr>
              <w:t>Functional Outcomes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2F0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988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639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55441791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1932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0802CE">
              <w:rPr>
                <w:rFonts w:asciiTheme="majorBidi" w:hAnsiTheme="majorBidi" w:cstheme="majorBidi"/>
                <w:b/>
                <w:bCs/>
              </w:rPr>
              <w:t>Constant Murley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508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422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B13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4C9EEEC0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9034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None (Original)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4A7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-1</w:t>
            </w:r>
            <w:r>
              <w:rPr>
                <w:rFonts w:asciiTheme="majorBidi" w:hAnsiTheme="majorBidi" w:cstheme="majorBidi"/>
              </w:rPr>
              <w:t>1.10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642A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-37.22 to 15.02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7BEC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99</w:t>
            </w:r>
          </w:p>
        </w:tc>
      </w:tr>
      <w:tr w:rsidR="000802CE" w:rsidRPr="000123DD" w14:paraId="575D45CA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0B6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Fraser et al., 2024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4251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-17.1</w:t>
            </w: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BA4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-47.52 to 13.20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03F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99</w:t>
            </w:r>
          </w:p>
        </w:tc>
      </w:tr>
      <w:tr w:rsidR="000802CE" w:rsidRPr="000123DD" w14:paraId="66E5BE1E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4A9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Güven et al., 2024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99ED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1.74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01823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-5.06 to 8.55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FC1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77</w:t>
            </w:r>
          </w:p>
        </w:tc>
      </w:tr>
      <w:tr w:rsidR="000802CE" w:rsidRPr="000123DD" w14:paraId="2A83B739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B74E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Klute et al 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240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-1</w:t>
            </w:r>
            <w:r>
              <w:rPr>
                <w:rFonts w:asciiTheme="majorBidi" w:hAnsiTheme="majorBidi" w:cstheme="majorBidi"/>
              </w:rPr>
              <w:t>2.21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0E7E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-46.79 to 22.37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D794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99</w:t>
            </w:r>
          </w:p>
        </w:tc>
      </w:tr>
      <w:tr w:rsidR="000802CE" w:rsidRPr="000123DD" w14:paraId="3980130D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D25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Ockert et al., 2013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AE64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-14.</w:t>
            </w: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A10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-45.72 to 17.34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D5A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99</w:t>
            </w:r>
          </w:p>
        </w:tc>
      </w:tr>
      <w:tr w:rsidR="000802CE" w:rsidRPr="000123DD" w14:paraId="7B9F168A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BA1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Zhang et al., 2024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81B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-14.</w:t>
            </w: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FD56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-49.88 to 21.63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8A8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99</w:t>
            </w:r>
          </w:p>
        </w:tc>
      </w:tr>
      <w:tr w:rsidR="000802CE" w:rsidRPr="000123DD" w14:paraId="626D3028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ABBD" w14:textId="101AB3D5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0802CE">
              <w:rPr>
                <w:rFonts w:asciiTheme="majorBidi" w:hAnsiTheme="majorBidi" w:cstheme="majorBidi"/>
                <w:b/>
                <w:bCs/>
              </w:rPr>
              <w:t>U</w:t>
            </w:r>
            <w:r w:rsidR="00BA5281">
              <w:rPr>
                <w:rFonts w:asciiTheme="majorBidi" w:hAnsiTheme="majorBidi" w:cstheme="majorBidi"/>
                <w:b/>
                <w:bCs/>
              </w:rPr>
              <w:t>CL</w:t>
            </w:r>
            <w:r w:rsidRPr="000802CE">
              <w:rPr>
                <w:rFonts w:asciiTheme="majorBidi" w:hAnsiTheme="majorBidi" w:cstheme="majorBidi"/>
                <w:b/>
                <w:bCs/>
              </w:rPr>
              <w:t>A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320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EB2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B18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10E8EC89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68B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None (Original)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FE50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1.</w:t>
            </w:r>
            <w:r>
              <w:rPr>
                <w:rFonts w:asciiTheme="majorBidi" w:hAnsiTheme="majorBidi" w:cstheme="majorBidi"/>
              </w:rPr>
              <w:t>00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333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-0.25 to 2.25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3520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0802CE" w:rsidRPr="000123DD" w14:paraId="5275E098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0A6D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802CE">
              <w:rPr>
                <w:rFonts w:asciiTheme="majorBidi" w:hAnsiTheme="majorBidi" w:cstheme="majorBidi"/>
                <w:b/>
                <w:bCs/>
                <w:lang w:val="en-US"/>
              </w:rPr>
              <w:t>DASH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DC7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45A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67BB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3474C783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067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</w:rPr>
              <w:t>None (Original)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264D0" w14:textId="4CE829B0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  <w:r w:rsidR="00D56157">
              <w:rPr>
                <w:rFonts w:asciiTheme="majorBidi" w:hAnsiTheme="majorBidi" w:cstheme="majorBidi"/>
              </w:rPr>
              <w:t>37.63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3CC8" w14:textId="6DDC2500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  <w:r w:rsidR="00D56157">
              <w:rPr>
                <w:rFonts w:asciiTheme="majorBidi" w:hAnsiTheme="majorBidi" w:cstheme="majorBidi"/>
              </w:rPr>
              <w:t>110.31</w:t>
            </w:r>
            <w:r>
              <w:rPr>
                <w:rFonts w:asciiTheme="majorBidi" w:hAnsiTheme="majorBidi" w:cstheme="majorBidi"/>
              </w:rPr>
              <w:t xml:space="preserve"> to </w:t>
            </w:r>
            <w:r w:rsidR="00D56157">
              <w:rPr>
                <w:rFonts w:asciiTheme="majorBidi" w:hAnsiTheme="majorBidi" w:cstheme="majorBidi"/>
              </w:rPr>
              <w:t>35.06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877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</w:t>
            </w:r>
          </w:p>
        </w:tc>
      </w:tr>
      <w:tr w:rsidR="000802CE" w:rsidRPr="000123DD" w14:paraId="5E1AAD1E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6C52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0123DD">
              <w:rPr>
                <w:rFonts w:asciiTheme="majorBidi" w:hAnsiTheme="majorBidi" w:cstheme="majorBidi"/>
                <w:lang w:val="en-US"/>
              </w:rPr>
              <w:t>Egol</w:t>
            </w:r>
            <w:proofErr w:type="spellEnd"/>
            <w:r w:rsidRPr="000123DD">
              <w:rPr>
                <w:rFonts w:asciiTheme="majorBidi" w:hAnsiTheme="majorBidi" w:cstheme="majorBidi"/>
                <w:lang w:val="en-US"/>
              </w:rPr>
              <w:t xml:space="preserve"> et al., 2022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65DD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-44.14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872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-49.77 to -38.50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982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100</w:t>
            </w:r>
          </w:p>
        </w:tc>
      </w:tr>
      <w:tr w:rsidR="000802CE" w:rsidRPr="000123DD" w14:paraId="02BFA14F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4FA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Güven et al., 2024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DDB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3.72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2DA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-0.76 to 8.21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DD3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53</w:t>
            </w:r>
          </w:p>
        </w:tc>
      </w:tr>
      <w:tr w:rsidR="000802CE" w:rsidRPr="000123DD" w14:paraId="24EEE5CE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F48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Klute et al 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5B3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-34.73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806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-39.53 to -29.93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A14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</w:t>
            </w:r>
          </w:p>
        </w:tc>
      </w:tr>
      <w:tr w:rsidR="000802CE" w:rsidRPr="000123DD" w14:paraId="59FEB6E1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CE79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802CE">
              <w:rPr>
                <w:rFonts w:asciiTheme="majorBidi" w:hAnsiTheme="majorBidi" w:cstheme="majorBidi"/>
                <w:b/>
                <w:bCs/>
                <w:lang w:val="en-US"/>
              </w:rPr>
              <w:lastRenderedPageBreak/>
              <w:t>Oxford Shoulder Score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F27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D987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1A40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320CE280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C75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</w:rPr>
              <w:t>None (Original)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C970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5.00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5CB6A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1.31 to 8.69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99C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-</w:t>
            </w:r>
          </w:p>
        </w:tc>
      </w:tr>
      <w:tr w:rsidR="000802CE" w:rsidRPr="000123DD" w14:paraId="260E22A6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A0A5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Fraser et al., 2024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C5EAA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612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9E6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-</w:t>
            </w:r>
          </w:p>
        </w:tc>
      </w:tr>
      <w:tr w:rsidR="000802CE" w:rsidRPr="000123DD" w14:paraId="0CC22907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017E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802CE">
              <w:rPr>
                <w:rFonts w:asciiTheme="majorBidi" w:hAnsiTheme="majorBidi" w:cstheme="majorBidi"/>
                <w:b/>
                <w:bCs/>
                <w:lang w:val="en-US"/>
              </w:rPr>
              <w:t>Reoperation rate (%)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E151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B02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85D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03B2203D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CB38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</w:rPr>
              <w:t>None (Original)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296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0D9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0.13 to 0.87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241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98</w:t>
            </w:r>
          </w:p>
        </w:tc>
      </w:tr>
      <w:tr w:rsidR="000802CE" w:rsidRPr="000123DD" w14:paraId="7705745E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845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Bahrs et al., 2015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23E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8244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0.10 to 0.96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2C5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98</w:t>
            </w:r>
          </w:p>
        </w:tc>
      </w:tr>
      <w:tr w:rsidR="000802CE" w:rsidRPr="000123DD" w14:paraId="0FD86ED5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42E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0123DD">
              <w:rPr>
                <w:rFonts w:asciiTheme="majorBidi" w:hAnsiTheme="majorBidi" w:cstheme="majorBidi"/>
                <w:lang w:val="en-US"/>
              </w:rPr>
              <w:t>Birsel</w:t>
            </w:r>
            <w:proofErr w:type="spellEnd"/>
            <w:r w:rsidRPr="000123DD">
              <w:rPr>
                <w:rFonts w:asciiTheme="majorBidi" w:hAnsiTheme="majorBidi" w:cstheme="majorBidi"/>
                <w:lang w:val="en-US"/>
              </w:rPr>
              <w:t xml:space="preserve"> et al., 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11B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</w:t>
            </w:r>
            <w:r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D6F1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0.14 to 1.01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D05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98</w:t>
            </w:r>
          </w:p>
        </w:tc>
      </w:tr>
      <w:tr w:rsidR="000802CE" w:rsidRPr="000123DD" w14:paraId="6812E72B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9C5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0123DD">
              <w:rPr>
                <w:rFonts w:asciiTheme="majorBidi" w:hAnsiTheme="majorBidi" w:cstheme="majorBidi"/>
                <w:lang w:val="en-US"/>
              </w:rPr>
              <w:t>Egol</w:t>
            </w:r>
            <w:proofErr w:type="spellEnd"/>
            <w:r w:rsidRPr="000123DD">
              <w:rPr>
                <w:rFonts w:asciiTheme="majorBidi" w:hAnsiTheme="majorBidi" w:cstheme="majorBidi"/>
                <w:lang w:val="en-US"/>
              </w:rPr>
              <w:t xml:space="preserve"> et al., 2022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DA4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0.36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790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0.13 to 0.99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4FE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98</w:t>
            </w:r>
          </w:p>
        </w:tc>
      </w:tr>
      <w:tr w:rsidR="000802CE" w:rsidRPr="000123DD" w14:paraId="0AAE1C85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5AE0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Fraser et al., 2024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1FA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0.30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746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0.11 to 0.86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BE73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98</w:t>
            </w:r>
          </w:p>
        </w:tc>
      </w:tr>
      <w:tr w:rsidR="000802CE" w:rsidRPr="000123DD" w14:paraId="6502B127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CC8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Frima et al 2019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D89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0.29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F81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0.09 to 0.91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851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98</w:t>
            </w:r>
          </w:p>
        </w:tc>
      </w:tr>
      <w:tr w:rsidR="000802CE" w:rsidRPr="000123DD" w14:paraId="307BC4DE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31C8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Klute et al 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4E7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0.38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385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0.15 to 0.94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368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97</w:t>
            </w:r>
          </w:p>
        </w:tc>
      </w:tr>
      <w:tr w:rsidR="000802CE" w:rsidRPr="000123DD" w14:paraId="6EB941C6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3AB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Ockert et al., 2013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2013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0.37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7AA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0.13 to 1.00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2FC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98</w:t>
            </w:r>
          </w:p>
        </w:tc>
      </w:tr>
      <w:tr w:rsidR="000802CE" w:rsidRPr="000123DD" w14:paraId="31CC0836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456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Robinson et al., 2019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B59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0.26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43E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0.13 to 0.54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6F90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94</w:t>
            </w:r>
          </w:p>
        </w:tc>
      </w:tr>
      <w:tr w:rsidR="000802CE" w:rsidRPr="000123DD" w14:paraId="0C24D67A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DFD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Zhang et al., 2024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842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0.42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D38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0.16 to 1.10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63F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98</w:t>
            </w:r>
          </w:p>
        </w:tc>
      </w:tr>
      <w:tr w:rsidR="000802CE" w:rsidRPr="000123DD" w14:paraId="5517D5F9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B991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802CE">
              <w:rPr>
                <w:rFonts w:asciiTheme="majorBidi" w:hAnsiTheme="majorBidi" w:cstheme="majorBidi"/>
                <w:b/>
                <w:bCs/>
                <w:lang w:val="en-US"/>
              </w:rPr>
              <w:t>Complications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F92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CC7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2BE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0DB977D9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981D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802CE">
              <w:rPr>
                <w:rFonts w:asciiTheme="majorBidi" w:hAnsiTheme="majorBidi" w:cstheme="majorBidi"/>
                <w:b/>
                <w:bCs/>
                <w:lang w:val="en-US"/>
              </w:rPr>
              <w:t>Secondary fracture displacement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3E2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C2D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E6C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26C50E15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76B5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</w:rPr>
              <w:t>None (Original)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BD1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0.01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907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0.00 to 0.09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FEA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-</w:t>
            </w:r>
          </w:p>
        </w:tc>
      </w:tr>
      <w:tr w:rsidR="000802CE" w:rsidRPr="000123DD" w14:paraId="749149BF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050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Bahrs et al., 2015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EA9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32FE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46A1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32FEB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AA6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0802CE" w:rsidRPr="000123DD" w14:paraId="11E9D115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08CB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802CE">
              <w:rPr>
                <w:rFonts w:asciiTheme="majorBidi" w:hAnsiTheme="majorBidi" w:cstheme="majorBidi"/>
                <w:b/>
                <w:bCs/>
                <w:lang w:val="en-US"/>
              </w:rPr>
              <w:lastRenderedPageBreak/>
              <w:t>Humeral head necrosis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1681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4D00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AF5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6C488607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C28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</w:rPr>
              <w:t>None (Original)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D1B0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2C5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0.00 to 0.26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286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83</w:t>
            </w:r>
          </w:p>
        </w:tc>
      </w:tr>
      <w:tr w:rsidR="000802CE" w:rsidRPr="000123DD" w14:paraId="28D86186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A47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Klute et al 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5499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160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0.01 to 0.19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E0E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0802CE" w:rsidRPr="000123DD" w14:paraId="0E11C13F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0B3A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Ockert et al., 2013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576B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0.00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A26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0.00 to 0.03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F5C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0802CE" w:rsidRPr="000123DD" w14:paraId="190E4BB8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4675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802CE">
              <w:rPr>
                <w:rFonts w:asciiTheme="majorBidi" w:hAnsiTheme="majorBidi" w:cstheme="majorBidi"/>
                <w:b/>
                <w:bCs/>
                <w:lang w:val="en-US"/>
              </w:rPr>
              <w:t>AVN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D5A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A87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783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5621C76A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89B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</w:rPr>
              <w:t>None (Original)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04D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0.12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2BC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0.05 to 0.26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622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88</w:t>
            </w:r>
          </w:p>
        </w:tc>
      </w:tr>
      <w:tr w:rsidR="000802CE" w:rsidRPr="000123DD" w14:paraId="1086EC81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058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0123DD">
              <w:rPr>
                <w:rFonts w:asciiTheme="majorBidi" w:hAnsiTheme="majorBidi" w:cstheme="majorBidi"/>
                <w:lang w:val="en-US"/>
              </w:rPr>
              <w:t>Birsel</w:t>
            </w:r>
            <w:proofErr w:type="spellEnd"/>
            <w:r w:rsidRPr="000123DD">
              <w:rPr>
                <w:rFonts w:asciiTheme="majorBidi" w:hAnsiTheme="majorBidi" w:cstheme="majorBidi"/>
                <w:lang w:val="en-US"/>
              </w:rPr>
              <w:t xml:space="preserve"> et al., 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B61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0.11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1960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0.04 to 0.29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A637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91</w:t>
            </w:r>
          </w:p>
        </w:tc>
      </w:tr>
      <w:tr w:rsidR="000802CE" w:rsidRPr="000123DD" w14:paraId="55B297B9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D8A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0123DD">
              <w:rPr>
                <w:rFonts w:asciiTheme="majorBidi" w:hAnsiTheme="majorBidi" w:cstheme="majorBidi"/>
                <w:lang w:val="en-US"/>
              </w:rPr>
              <w:t>Egol</w:t>
            </w:r>
            <w:proofErr w:type="spellEnd"/>
            <w:r w:rsidRPr="000123DD">
              <w:rPr>
                <w:rFonts w:asciiTheme="majorBidi" w:hAnsiTheme="majorBidi" w:cstheme="majorBidi"/>
                <w:lang w:val="en-US"/>
              </w:rPr>
              <w:t xml:space="preserve"> et al., 2022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0C3A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0.12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088E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0.05 to 0.32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F040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91</w:t>
            </w:r>
          </w:p>
        </w:tc>
      </w:tr>
      <w:tr w:rsidR="000802CE" w:rsidRPr="000123DD" w14:paraId="5CBB4FFE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713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Frima et al 2019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A4E9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0.12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2FB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0.04 to 0.32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0EA5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91</w:t>
            </w:r>
          </w:p>
        </w:tc>
      </w:tr>
      <w:tr w:rsidR="000802CE" w:rsidRPr="000123DD" w14:paraId="0465BC95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A030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Robinson et al., 2019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0DE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0.15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472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0.09 to 0.27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CD7A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68</w:t>
            </w:r>
          </w:p>
        </w:tc>
      </w:tr>
      <w:tr w:rsidR="000802CE" w:rsidRPr="000123DD" w14:paraId="1508FD7A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4BF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Zhang et al., 2024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002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0.09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6FBA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0.05 to 0.16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9010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67</w:t>
            </w:r>
          </w:p>
        </w:tc>
      </w:tr>
      <w:tr w:rsidR="000802CE" w:rsidRPr="000123DD" w14:paraId="039A05B6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F116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802CE">
              <w:rPr>
                <w:rFonts w:asciiTheme="majorBidi" w:hAnsiTheme="majorBidi" w:cstheme="majorBidi"/>
                <w:b/>
                <w:bCs/>
                <w:lang w:val="en-US"/>
              </w:rPr>
              <w:t>Infection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A29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A31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74EA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05A52D51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BC4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</w:rPr>
              <w:t>None (Original)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F39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D51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0.01 to 0.08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19D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64</w:t>
            </w:r>
          </w:p>
        </w:tc>
      </w:tr>
      <w:tr w:rsidR="000802CE" w:rsidRPr="000123DD" w14:paraId="544AF218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389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Bahrs et al., 2015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F39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 xml:space="preserve">0.02 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0AF91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0.00 to 0.08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FAA1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63</w:t>
            </w:r>
          </w:p>
        </w:tc>
      </w:tr>
      <w:tr w:rsidR="000802CE" w:rsidRPr="000123DD" w14:paraId="05F9ADC6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5A0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0123DD">
              <w:rPr>
                <w:rFonts w:asciiTheme="majorBidi" w:hAnsiTheme="majorBidi" w:cstheme="majorBidi"/>
                <w:lang w:val="en-US"/>
              </w:rPr>
              <w:t>Egol</w:t>
            </w:r>
            <w:proofErr w:type="spellEnd"/>
            <w:r w:rsidRPr="000123DD">
              <w:rPr>
                <w:rFonts w:asciiTheme="majorBidi" w:hAnsiTheme="majorBidi" w:cstheme="majorBidi"/>
                <w:lang w:val="en-US"/>
              </w:rPr>
              <w:t xml:space="preserve"> et al., 2022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F00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BBD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0.00 to 0.11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1B9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75</w:t>
            </w:r>
          </w:p>
        </w:tc>
      </w:tr>
      <w:tr w:rsidR="000802CE" w:rsidRPr="000123DD" w14:paraId="3834F4B0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C3BF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Klute et al 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5494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444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0.02 to 0.08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075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</w:t>
            </w:r>
          </w:p>
        </w:tc>
      </w:tr>
      <w:tr w:rsidR="000802CE" w:rsidRPr="000123DD" w14:paraId="164C3995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CF3D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Zhang et al., 2024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460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5A5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0.01 to 0.11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412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75</w:t>
            </w:r>
          </w:p>
        </w:tc>
      </w:tr>
      <w:tr w:rsidR="000802CE" w:rsidRPr="000123DD" w14:paraId="5F29926E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9B664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802CE">
              <w:rPr>
                <w:rFonts w:asciiTheme="majorBidi" w:hAnsiTheme="majorBidi" w:cstheme="majorBidi"/>
                <w:b/>
                <w:bCs/>
                <w:lang w:val="en-US"/>
              </w:rPr>
              <w:t>Non-union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C2B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BCA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01F3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3B50EC1E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366E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</w:rPr>
              <w:lastRenderedPageBreak/>
              <w:t>None (Original)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20D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6971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0.00 to 0.14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05D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85</w:t>
            </w:r>
          </w:p>
        </w:tc>
      </w:tr>
      <w:tr w:rsidR="000802CE" w:rsidRPr="000123DD" w14:paraId="79C1A3F5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05E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0123DD">
              <w:rPr>
                <w:rFonts w:asciiTheme="majorBidi" w:hAnsiTheme="majorBidi" w:cstheme="majorBidi"/>
                <w:lang w:val="en-US"/>
              </w:rPr>
              <w:t>Egol</w:t>
            </w:r>
            <w:proofErr w:type="spellEnd"/>
            <w:r w:rsidRPr="000123DD">
              <w:rPr>
                <w:rFonts w:asciiTheme="majorBidi" w:hAnsiTheme="majorBidi" w:cstheme="majorBidi"/>
                <w:lang w:val="en-US"/>
              </w:rPr>
              <w:t xml:space="preserve"> et al., 2022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24D6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04421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0.00 to 0.61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8C6A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92</w:t>
            </w:r>
          </w:p>
        </w:tc>
      </w:tr>
      <w:tr w:rsidR="000802CE" w:rsidRPr="000123DD" w14:paraId="402C2E1A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EBF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Klute et al 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FCE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0.06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D2CA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0.02 to 0.13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4E71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47</w:t>
            </w:r>
          </w:p>
        </w:tc>
      </w:tr>
      <w:tr w:rsidR="000802CE" w:rsidRPr="000123DD" w14:paraId="62C18E9C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1686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Robinson et al., 2019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ED970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0.01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632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0.00 to 0.09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6AE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66</w:t>
            </w:r>
          </w:p>
        </w:tc>
      </w:tr>
      <w:tr w:rsidR="000802CE" w:rsidRPr="000123DD" w14:paraId="56FCE965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D216" w14:textId="77777777" w:rsidR="000802CE" w:rsidRPr="000802CE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0802CE">
              <w:rPr>
                <w:rFonts w:asciiTheme="majorBidi" w:hAnsiTheme="majorBidi" w:cstheme="majorBidi"/>
                <w:b/>
                <w:bCs/>
                <w:lang w:val="en-US"/>
              </w:rPr>
              <w:t>Screw penetration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608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AA6F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3A6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0802CE" w:rsidRPr="000123DD" w14:paraId="7EA59291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AF51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</w:rPr>
              <w:t>None (Original)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984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0.16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E48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0.11 to 0.21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E48A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</w:t>
            </w:r>
          </w:p>
        </w:tc>
      </w:tr>
      <w:tr w:rsidR="000802CE" w:rsidRPr="000123DD" w14:paraId="30EDEE9F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4C075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Bahrs et al., 2015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250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0.16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D6F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0.11 to 0.23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6009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</w:t>
            </w:r>
          </w:p>
        </w:tc>
      </w:tr>
      <w:tr w:rsidR="000802CE" w:rsidRPr="000123DD" w14:paraId="5E4AEE7D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09D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0123DD">
              <w:rPr>
                <w:rFonts w:asciiTheme="majorBidi" w:hAnsiTheme="majorBidi" w:cstheme="majorBidi"/>
                <w:lang w:val="en-US"/>
              </w:rPr>
              <w:t>Birsel</w:t>
            </w:r>
            <w:proofErr w:type="spellEnd"/>
            <w:r w:rsidRPr="000123DD">
              <w:rPr>
                <w:rFonts w:asciiTheme="majorBidi" w:hAnsiTheme="majorBidi" w:cstheme="majorBidi"/>
                <w:lang w:val="en-US"/>
              </w:rPr>
              <w:t xml:space="preserve"> et al., 2025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C91C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0.16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E867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0.11 to 0.22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77D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</w:t>
            </w:r>
          </w:p>
        </w:tc>
      </w:tr>
      <w:tr w:rsidR="000802CE" w:rsidRPr="000123DD" w14:paraId="22A4CD39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1AC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proofErr w:type="spellStart"/>
            <w:r w:rsidRPr="000123DD">
              <w:rPr>
                <w:rFonts w:asciiTheme="majorBidi" w:hAnsiTheme="majorBidi" w:cstheme="majorBidi"/>
                <w:lang w:val="en-US"/>
              </w:rPr>
              <w:t>Egol</w:t>
            </w:r>
            <w:proofErr w:type="spellEnd"/>
            <w:r w:rsidRPr="000123DD">
              <w:rPr>
                <w:rFonts w:asciiTheme="majorBidi" w:hAnsiTheme="majorBidi" w:cstheme="majorBidi"/>
                <w:lang w:val="en-US"/>
              </w:rPr>
              <w:t xml:space="preserve"> et al., 2022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6D2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0.15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4191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0.10 to 0.22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2DB2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</w:t>
            </w:r>
          </w:p>
        </w:tc>
      </w:tr>
      <w:tr w:rsidR="000802CE" w:rsidRPr="000123DD" w14:paraId="2D57D656" w14:textId="77777777" w:rsidTr="00197FD4"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C918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  <w:lang w:val="en-US"/>
              </w:rPr>
            </w:pPr>
            <w:r w:rsidRPr="000123DD">
              <w:rPr>
                <w:rFonts w:asciiTheme="majorBidi" w:hAnsiTheme="majorBidi" w:cstheme="majorBidi"/>
                <w:lang w:val="en-US"/>
              </w:rPr>
              <w:t>Zhang et al., 2024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58D6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0.16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EFA4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0.11 to 0.22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67FB" w14:textId="77777777" w:rsidR="000802CE" w:rsidRPr="000123DD" w:rsidRDefault="000802CE" w:rsidP="00197FD4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0123DD">
              <w:rPr>
                <w:rFonts w:asciiTheme="majorBidi" w:hAnsiTheme="majorBidi" w:cstheme="majorBidi"/>
              </w:rPr>
              <w:t>0</w:t>
            </w:r>
          </w:p>
        </w:tc>
      </w:tr>
    </w:tbl>
    <w:p w14:paraId="60A9B56A" w14:textId="77777777" w:rsidR="000123DD" w:rsidRPr="000123DD" w:rsidRDefault="000123DD">
      <w:pPr>
        <w:rPr>
          <w:rFonts w:asciiTheme="majorBidi" w:hAnsiTheme="majorBidi" w:cstheme="majorBidi"/>
          <w:b/>
          <w:bCs/>
          <w:lang w:val="en-US"/>
        </w:rPr>
      </w:pPr>
    </w:p>
    <w:p w14:paraId="489EA26E" w14:textId="1A965BCD" w:rsidR="001A5001" w:rsidRPr="00C57D88" w:rsidRDefault="001A5001">
      <w:pPr>
        <w:rPr>
          <w:rFonts w:asciiTheme="majorBidi" w:hAnsiTheme="majorBidi" w:cstheme="majorBidi"/>
          <w:b/>
          <w:bCs/>
        </w:rPr>
      </w:pPr>
      <w:r w:rsidRPr="00C57D88">
        <w:rPr>
          <w:rFonts w:asciiTheme="majorBidi" w:hAnsiTheme="majorBidi" w:cstheme="majorBidi"/>
          <w:b/>
          <w:bCs/>
        </w:rPr>
        <w:t>Supplementary Table S</w:t>
      </w:r>
      <w:r w:rsidR="00D729B7">
        <w:rPr>
          <w:rFonts w:asciiTheme="majorBidi" w:hAnsiTheme="majorBidi" w:cstheme="majorBidi"/>
          <w:b/>
          <w:bCs/>
        </w:rPr>
        <w:t>2</w:t>
      </w:r>
      <w:r w:rsidRPr="00C57D88">
        <w:rPr>
          <w:rFonts w:asciiTheme="majorBidi" w:hAnsiTheme="majorBidi" w:cstheme="majorBidi"/>
          <w:b/>
          <w:bCs/>
        </w:rPr>
        <w:t xml:space="preserve">: Risk of Bias </w:t>
      </w:r>
    </w:p>
    <w:p w14:paraId="47E3F37F" w14:textId="13228871" w:rsidR="001A5001" w:rsidRPr="00C57D88" w:rsidRDefault="001A5001">
      <w:pPr>
        <w:rPr>
          <w:rFonts w:asciiTheme="majorBidi" w:hAnsiTheme="majorBidi" w:cstheme="majorBidi"/>
          <w:b/>
          <w:bCs/>
        </w:rPr>
      </w:pPr>
      <w:r w:rsidRPr="00C57D88">
        <w:rPr>
          <w:rFonts w:asciiTheme="majorBidi" w:hAnsiTheme="majorBidi" w:cstheme="majorBidi"/>
          <w:b/>
          <w:bCs/>
        </w:rPr>
        <w:t>Robins 1</w:t>
      </w:r>
      <w:r w:rsidR="00645390" w:rsidRPr="00C57D88">
        <w:rPr>
          <w:rFonts w:asciiTheme="majorBidi" w:hAnsiTheme="majorBidi" w:cstheme="majorBidi"/>
          <w:b/>
          <w:bCs/>
        </w:rPr>
        <w:t xml:space="preserve"> Tool</w:t>
      </w:r>
      <w:r w:rsidRPr="00C57D88">
        <w:rPr>
          <w:rFonts w:asciiTheme="majorBidi" w:hAnsiTheme="majorBidi" w:cstheme="majorBidi"/>
          <w:b/>
          <w:bCs/>
        </w:rPr>
        <w:t xml:space="preserve"> for Non-Randomised Studies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691"/>
        <w:gridCol w:w="1242"/>
        <w:gridCol w:w="1774"/>
        <w:gridCol w:w="1359"/>
        <w:gridCol w:w="1657"/>
        <w:gridCol w:w="1229"/>
        <w:gridCol w:w="1373"/>
        <w:gridCol w:w="1216"/>
        <w:gridCol w:w="1204"/>
        <w:gridCol w:w="2203"/>
      </w:tblGrid>
      <w:tr w:rsidR="00A66177" w:rsidRPr="00C57D88" w14:paraId="038C949E" w14:textId="77777777" w:rsidTr="004069D4">
        <w:trPr>
          <w:trHeight w:val="1005"/>
        </w:trPr>
        <w:tc>
          <w:tcPr>
            <w:tcW w:w="266" w:type="pct"/>
          </w:tcPr>
          <w:p w14:paraId="7855A104" w14:textId="0280388A" w:rsidR="00DB6334" w:rsidRPr="001A5001" w:rsidRDefault="004069D4" w:rsidP="00DB633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eastAsia="en-IN" w:bidi="he-IL"/>
                <w14:ligatures w14:val="none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eastAsia="en-IN" w:bidi="he-IL"/>
                <w14:ligatures w14:val="none"/>
              </w:rPr>
              <w:t>S.No</w:t>
            </w:r>
            <w:proofErr w:type="spellEnd"/>
          </w:p>
        </w:tc>
        <w:tc>
          <w:tcPr>
            <w:tcW w:w="437" w:type="pct"/>
          </w:tcPr>
          <w:p w14:paraId="69B342AF" w14:textId="0979A473" w:rsidR="00DB6334" w:rsidRPr="00A66177" w:rsidRDefault="00DB6334" w:rsidP="00DB633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eastAsia="en-IN" w:bidi="he-IL"/>
                <w14:ligatures w14:val="none"/>
              </w:rPr>
            </w:pPr>
            <w:r w:rsidRPr="00A66177">
              <w:rPr>
                <w:rFonts w:asciiTheme="majorBidi" w:hAnsiTheme="majorBidi" w:cstheme="majorBidi"/>
                <w:b/>
                <w:bCs/>
              </w:rPr>
              <w:t>AUTHOR YEAR</w:t>
            </w:r>
          </w:p>
        </w:tc>
        <w:tc>
          <w:tcPr>
            <w:tcW w:w="700" w:type="pct"/>
            <w:hideMark/>
          </w:tcPr>
          <w:p w14:paraId="4586211F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lang w:eastAsia="en-IN" w:bidi="he-IL"/>
                <w14:ligatures w14:val="none"/>
              </w:rPr>
              <w:t>TITLE</w:t>
            </w:r>
          </w:p>
        </w:tc>
        <w:tc>
          <w:tcPr>
            <w:tcW w:w="477" w:type="pct"/>
            <w:hideMark/>
          </w:tcPr>
          <w:p w14:paraId="45B17821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  <w:t>6.1 Was the result reported in accordance with an available, pre-determine</w:t>
            </w:r>
            <w:r w:rsidRPr="001A5001"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  <w:lastRenderedPageBreak/>
              <w:t>d analysis plan?</w:t>
            </w:r>
          </w:p>
        </w:tc>
        <w:tc>
          <w:tcPr>
            <w:tcW w:w="582" w:type="pct"/>
            <w:hideMark/>
          </w:tcPr>
          <w:p w14:paraId="445A69F9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  <w:lastRenderedPageBreak/>
              <w:t xml:space="preserve">6.2 Was the numerical result being assessed likely to have been selected, on the basis of the results, from multiple </w:t>
            </w:r>
            <w:r w:rsidRPr="001A5001"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  <w:lastRenderedPageBreak/>
              <w:t>outcome measurements within the outcome domain?</w:t>
            </w:r>
          </w:p>
        </w:tc>
        <w:tc>
          <w:tcPr>
            <w:tcW w:w="432" w:type="pct"/>
            <w:hideMark/>
          </w:tcPr>
          <w:p w14:paraId="5BA04315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  <w:lastRenderedPageBreak/>
              <w:t xml:space="preserve">6.3 Was the numerical result being assessed likely to have been </w:t>
            </w:r>
            <w:r w:rsidRPr="001A5001"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  <w:lastRenderedPageBreak/>
              <w:t>selected, on the basis of the results, from multiple analyses of the data?</w:t>
            </w:r>
          </w:p>
        </w:tc>
        <w:tc>
          <w:tcPr>
            <w:tcW w:w="483" w:type="pct"/>
            <w:hideMark/>
          </w:tcPr>
          <w:p w14:paraId="2E3A5D5D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  <w:lastRenderedPageBreak/>
              <w:t xml:space="preserve">6.4 Was the numerical result being assessed likely to have been selected, </w:t>
            </w:r>
            <w:r w:rsidRPr="001A5001"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  <w:lastRenderedPageBreak/>
              <w:t>on the basis of the results, from multiple subgroups?</w:t>
            </w:r>
          </w:p>
        </w:tc>
        <w:tc>
          <w:tcPr>
            <w:tcW w:w="427" w:type="pct"/>
            <w:hideMark/>
          </w:tcPr>
          <w:p w14:paraId="101C7F5F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  <w:lastRenderedPageBreak/>
              <w:t>Judgment</w:t>
            </w:r>
          </w:p>
        </w:tc>
        <w:tc>
          <w:tcPr>
            <w:tcW w:w="423" w:type="pct"/>
            <w:hideMark/>
          </w:tcPr>
          <w:p w14:paraId="304F1709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  <w:t>Overall Appraisal</w:t>
            </w:r>
          </w:p>
        </w:tc>
        <w:tc>
          <w:tcPr>
            <w:tcW w:w="773" w:type="pct"/>
            <w:hideMark/>
          </w:tcPr>
          <w:p w14:paraId="65337E99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b/>
                <w:bCs/>
                <w:kern w:val="0"/>
                <w:lang w:eastAsia="en-IN" w:bidi="he-IL"/>
                <w14:ligatures w14:val="none"/>
              </w:rPr>
              <w:t>Comments</w:t>
            </w:r>
          </w:p>
        </w:tc>
      </w:tr>
      <w:tr w:rsidR="00A66177" w:rsidRPr="00C57D88" w14:paraId="13213C56" w14:textId="77777777" w:rsidTr="004069D4">
        <w:trPr>
          <w:trHeight w:val="1740"/>
        </w:trPr>
        <w:tc>
          <w:tcPr>
            <w:tcW w:w="266" w:type="pct"/>
          </w:tcPr>
          <w:p w14:paraId="5ADD1AB6" w14:textId="0C05B019" w:rsidR="00DB6334" w:rsidRPr="001A5001" w:rsidRDefault="004069D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1</w:t>
            </w:r>
          </w:p>
        </w:tc>
        <w:tc>
          <w:tcPr>
            <w:tcW w:w="437" w:type="pct"/>
          </w:tcPr>
          <w:p w14:paraId="31094842" w14:textId="271B7BD0" w:rsidR="00DB6334" w:rsidRPr="00C57D88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C57D88">
              <w:rPr>
                <w:rFonts w:asciiTheme="majorBidi" w:hAnsiTheme="majorBidi" w:cstheme="majorBidi"/>
              </w:rPr>
              <w:t xml:space="preserve">Güven et al., 2024 </w:t>
            </w:r>
          </w:p>
        </w:tc>
        <w:tc>
          <w:tcPr>
            <w:tcW w:w="700" w:type="pct"/>
            <w:hideMark/>
          </w:tcPr>
          <w:p w14:paraId="6A40B21C" w14:textId="52D1033D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Mid- to long-term outcomes of proximal humerus fractures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treated with open reduction, plate fixation, and iliac bone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autograft augmentation</w:t>
            </w:r>
          </w:p>
        </w:tc>
        <w:tc>
          <w:tcPr>
            <w:tcW w:w="477" w:type="pct"/>
            <w:hideMark/>
          </w:tcPr>
          <w:p w14:paraId="4EFDC73E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582" w:type="pct"/>
            <w:hideMark/>
          </w:tcPr>
          <w:p w14:paraId="78D18503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32" w:type="pct"/>
            <w:hideMark/>
          </w:tcPr>
          <w:p w14:paraId="18E8CF16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83" w:type="pct"/>
            <w:hideMark/>
          </w:tcPr>
          <w:p w14:paraId="365D305F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27" w:type="pct"/>
            <w:hideMark/>
          </w:tcPr>
          <w:p w14:paraId="30157AE3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Moderate</w:t>
            </w:r>
          </w:p>
        </w:tc>
        <w:tc>
          <w:tcPr>
            <w:tcW w:w="423" w:type="pct"/>
            <w:hideMark/>
          </w:tcPr>
          <w:p w14:paraId="43183027" w14:textId="046214F7" w:rsidR="00DB6334" w:rsidRPr="00371DD6" w:rsidRDefault="00371DD6" w:rsidP="00DB6334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 w:bidi="he-IL"/>
                <w14:ligatures w14:val="none"/>
              </w:rPr>
            </w:pPr>
            <w:r w:rsidRPr="00371DD6">
              <w:rPr>
                <w:rFonts w:ascii="Times New Roman" w:hAnsi="Times New Roman" w:cs="Times New Roman"/>
                <w:color w:val="000000"/>
              </w:rPr>
              <w:t>Moderate risk of bias</w:t>
            </w:r>
          </w:p>
        </w:tc>
        <w:tc>
          <w:tcPr>
            <w:tcW w:w="773" w:type="pct"/>
            <w:hideMark/>
          </w:tcPr>
          <w:p w14:paraId="11FC3245" w14:textId="11172976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 registered protocol; multiple measurements summarized without pre</w:t>
            </w:r>
            <w:r w:rsidRPr="00C57D88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-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specification.</w:t>
            </w:r>
          </w:p>
        </w:tc>
      </w:tr>
      <w:tr w:rsidR="00A66177" w:rsidRPr="00C57D88" w14:paraId="0F35009F" w14:textId="77777777" w:rsidTr="004069D4">
        <w:trPr>
          <w:trHeight w:val="1350"/>
        </w:trPr>
        <w:tc>
          <w:tcPr>
            <w:tcW w:w="266" w:type="pct"/>
          </w:tcPr>
          <w:p w14:paraId="48B50583" w14:textId="32E5AB45" w:rsidR="00DB6334" w:rsidRPr="001A5001" w:rsidRDefault="004069D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2</w:t>
            </w:r>
          </w:p>
        </w:tc>
        <w:tc>
          <w:tcPr>
            <w:tcW w:w="437" w:type="pct"/>
          </w:tcPr>
          <w:p w14:paraId="42F2D343" w14:textId="20F66207" w:rsidR="00DB6334" w:rsidRPr="00C57D88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C57D88">
              <w:rPr>
                <w:rFonts w:asciiTheme="majorBidi" w:hAnsiTheme="majorBidi" w:cstheme="majorBidi"/>
              </w:rPr>
              <w:t xml:space="preserve">Bahrs et al., 2015 </w:t>
            </w:r>
          </w:p>
        </w:tc>
        <w:tc>
          <w:tcPr>
            <w:tcW w:w="700" w:type="pct"/>
            <w:hideMark/>
          </w:tcPr>
          <w:p w14:paraId="4011B1B5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Which parameters affect medium- to long-term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results after angular stable plate fixation for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proximal humeral fractures?</w:t>
            </w:r>
          </w:p>
        </w:tc>
        <w:tc>
          <w:tcPr>
            <w:tcW w:w="477" w:type="pct"/>
            <w:hideMark/>
          </w:tcPr>
          <w:p w14:paraId="01DB4B05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582" w:type="pct"/>
            <w:hideMark/>
          </w:tcPr>
          <w:p w14:paraId="54D99F42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32" w:type="pct"/>
            <w:hideMark/>
          </w:tcPr>
          <w:p w14:paraId="3BBF99C5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83" w:type="pct"/>
            <w:hideMark/>
          </w:tcPr>
          <w:p w14:paraId="407AEF89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27" w:type="pct"/>
            <w:hideMark/>
          </w:tcPr>
          <w:p w14:paraId="474433DC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Moderate</w:t>
            </w:r>
          </w:p>
        </w:tc>
        <w:tc>
          <w:tcPr>
            <w:tcW w:w="423" w:type="pct"/>
            <w:hideMark/>
          </w:tcPr>
          <w:p w14:paraId="1E8657A4" w14:textId="7F559999" w:rsidR="00DB6334" w:rsidRPr="001A5001" w:rsidRDefault="00371DD6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371DD6">
              <w:rPr>
                <w:rFonts w:ascii="Times New Roman" w:hAnsi="Times New Roman" w:cs="Times New Roman"/>
                <w:color w:val="000000"/>
              </w:rPr>
              <w:t>Moderate risk of bias</w:t>
            </w:r>
          </w:p>
        </w:tc>
        <w:tc>
          <w:tcPr>
            <w:tcW w:w="773" w:type="pct"/>
            <w:hideMark/>
          </w:tcPr>
          <w:p w14:paraId="22DCE474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 protocol/registration cited.</w:t>
            </w:r>
          </w:p>
        </w:tc>
      </w:tr>
      <w:tr w:rsidR="00A66177" w:rsidRPr="00C57D88" w14:paraId="5D7E6282" w14:textId="77777777" w:rsidTr="004069D4">
        <w:trPr>
          <w:trHeight w:val="1500"/>
        </w:trPr>
        <w:tc>
          <w:tcPr>
            <w:tcW w:w="266" w:type="pct"/>
          </w:tcPr>
          <w:p w14:paraId="7F659C5D" w14:textId="2FE84CAF" w:rsidR="00DB6334" w:rsidRPr="001A5001" w:rsidRDefault="004069D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lastRenderedPageBreak/>
              <w:t>3</w:t>
            </w:r>
          </w:p>
        </w:tc>
        <w:tc>
          <w:tcPr>
            <w:tcW w:w="437" w:type="pct"/>
          </w:tcPr>
          <w:p w14:paraId="1CCAA874" w14:textId="1D1DF2C0" w:rsidR="00DB6334" w:rsidRPr="00C57D88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proofErr w:type="spellStart"/>
            <w:r w:rsidRPr="00C57D88">
              <w:rPr>
                <w:rFonts w:asciiTheme="majorBidi" w:hAnsiTheme="majorBidi" w:cstheme="majorBidi"/>
              </w:rPr>
              <w:t>Birsel</w:t>
            </w:r>
            <w:proofErr w:type="spellEnd"/>
            <w:r w:rsidRPr="00C57D88">
              <w:rPr>
                <w:rFonts w:asciiTheme="majorBidi" w:hAnsiTheme="majorBidi" w:cstheme="majorBidi"/>
              </w:rPr>
              <w:t xml:space="preserve"> et al., 2025 </w:t>
            </w:r>
          </w:p>
        </w:tc>
        <w:tc>
          <w:tcPr>
            <w:tcW w:w="700" w:type="pct"/>
            <w:hideMark/>
          </w:tcPr>
          <w:p w14:paraId="627769EF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Proximal Humerus Fractures Treated with Proximal Humerus Inter Locking System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(PHILOS): Minimum 10-Year Clinical and Radiological Outcomes</w:t>
            </w:r>
          </w:p>
        </w:tc>
        <w:tc>
          <w:tcPr>
            <w:tcW w:w="477" w:type="pct"/>
            <w:hideMark/>
          </w:tcPr>
          <w:p w14:paraId="1A27E10D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582" w:type="pct"/>
            <w:hideMark/>
          </w:tcPr>
          <w:p w14:paraId="06F1606E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32" w:type="pct"/>
            <w:hideMark/>
          </w:tcPr>
          <w:p w14:paraId="750D11FB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83" w:type="pct"/>
            <w:hideMark/>
          </w:tcPr>
          <w:p w14:paraId="1177C8F7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27" w:type="pct"/>
            <w:hideMark/>
          </w:tcPr>
          <w:p w14:paraId="3B656C18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Moderate</w:t>
            </w:r>
          </w:p>
        </w:tc>
        <w:tc>
          <w:tcPr>
            <w:tcW w:w="423" w:type="pct"/>
            <w:hideMark/>
          </w:tcPr>
          <w:p w14:paraId="3CF0AFAF" w14:textId="2192B38B" w:rsidR="00DB6334" w:rsidRPr="001A5001" w:rsidRDefault="00371DD6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371DD6">
              <w:rPr>
                <w:rFonts w:ascii="Times New Roman" w:hAnsi="Times New Roman" w:cs="Times New Roman"/>
                <w:color w:val="000000"/>
              </w:rPr>
              <w:t>Moderate risk of bias</w:t>
            </w:r>
          </w:p>
        </w:tc>
        <w:tc>
          <w:tcPr>
            <w:tcW w:w="773" w:type="pct"/>
            <w:hideMark/>
          </w:tcPr>
          <w:p w14:paraId="789093AE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 registered analysis plan reported in pre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noBreakHyphen/>
              <w:t>proof text</w:t>
            </w:r>
          </w:p>
        </w:tc>
      </w:tr>
      <w:tr w:rsidR="00A66177" w:rsidRPr="00C57D88" w14:paraId="1FD08E56" w14:textId="77777777" w:rsidTr="004069D4">
        <w:trPr>
          <w:trHeight w:val="1485"/>
        </w:trPr>
        <w:tc>
          <w:tcPr>
            <w:tcW w:w="266" w:type="pct"/>
          </w:tcPr>
          <w:p w14:paraId="54960F6F" w14:textId="7DD2AE83" w:rsidR="00DB6334" w:rsidRPr="001A5001" w:rsidRDefault="004069D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4</w:t>
            </w:r>
          </w:p>
        </w:tc>
        <w:tc>
          <w:tcPr>
            <w:tcW w:w="437" w:type="pct"/>
          </w:tcPr>
          <w:p w14:paraId="7EC5F783" w14:textId="1F01A4DA" w:rsidR="00DB6334" w:rsidRPr="00C57D88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C57D88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 xml:space="preserve">Frima et al., 2019 </w:t>
            </w:r>
          </w:p>
        </w:tc>
        <w:tc>
          <w:tcPr>
            <w:tcW w:w="700" w:type="pct"/>
            <w:hideMark/>
          </w:tcPr>
          <w:p w14:paraId="3A8E7EFD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 xml:space="preserve">Long-term follow-up after MIPO </w:t>
            </w:r>
            <w:proofErr w:type="spellStart"/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Philos</w:t>
            </w:r>
            <w:proofErr w:type="spellEnd"/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 xml:space="preserve"> plating for proximal humerus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fractures</w:t>
            </w:r>
          </w:p>
        </w:tc>
        <w:tc>
          <w:tcPr>
            <w:tcW w:w="477" w:type="pct"/>
            <w:hideMark/>
          </w:tcPr>
          <w:p w14:paraId="07AA8688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partial</w:t>
            </w:r>
          </w:p>
        </w:tc>
        <w:tc>
          <w:tcPr>
            <w:tcW w:w="582" w:type="pct"/>
            <w:hideMark/>
          </w:tcPr>
          <w:p w14:paraId="33F7C1FC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32" w:type="pct"/>
            <w:hideMark/>
          </w:tcPr>
          <w:p w14:paraId="42D9AB53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83" w:type="pct"/>
            <w:hideMark/>
          </w:tcPr>
          <w:p w14:paraId="338E73A2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27" w:type="pct"/>
            <w:hideMark/>
          </w:tcPr>
          <w:p w14:paraId="7AF6D794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Moderate</w:t>
            </w:r>
          </w:p>
        </w:tc>
        <w:tc>
          <w:tcPr>
            <w:tcW w:w="423" w:type="pct"/>
            <w:hideMark/>
          </w:tcPr>
          <w:p w14:paraId="6AB93EC7" w14:textId="2C1DE5D3" w:rsidR="00DB6334" w:rsidRPr="001A5001" w:rsidRDefault="00371DD6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371DD6">
              <w:rPr>
                <w:rFonts w:ascii="Times New Roman" w:hAnsi="Times New Roman" w:cs="Times New Roman"/>
                <w:color w:val="000000"/>
              </w:rPr>
              <w:t>Moderate risk of bias</w:t>
            </w:r>
          </w:p>
        </w:tc>
        <w:tc>
          <w:tcPr>
            <w:tcW w:w="773" w:type="pct"/>
            <w:hideMark/>
          </w:tcPr>
          <w:p w14:paraId="5FAA356D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 publicly available protocol/SAP; several analytic choices (e.g., bivariate tests by AO type, age, mechanism) → selective emphasis can’t be excluded.</w:t>
            </w:r>
          </w:p>
        </w:tc>
      </w:tr>
      <w:tr w:rsidR="00A66177" w:rsidRPr="00C57D88" w14:paraId="71B194DA" w14:textId="77777777" w:rsidTr="004069D4">
        <w:trPr>
          <w:trHeight w:val="1590"/>
        </w:trPr>
        <w:tc>
          <w:tcPr>
            <w:tcW w:w="266" w:type="pct"/>
          </w:tcPr>
          <w:p w14:paraId="1EF136C3" w14:textId="167DC8BC" w:rsidR="00DB6334" w:rsidRPr="001A5001" w:rsidRDefault="004069D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5</w:t>
            </w:r>
          </w:p>
        </w:tc>
        <w:tc>
          <w:tcPr>
            <w:tcW w:w="437" w:type="pct"/>
          </w:tcPr>
          <w:p w14:paraId="491459B7" w14:textId="4B4E899A" w:rsidR="00DB6334" w:rsidRPr="00C57D88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C57D88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 xml:space="preserve">Klute et al., 2025 </w:t>
            </w:r>
          </w:p>
        </w:tc>
        <w:tc>
          <w:tcPr>
            <w:tcW w:w="700" w:type="pct"/>
            <w:hideMark/>
          </w:tcPr>
          <w:p w14:paraId="5D57EEB1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Plate osteosynthesis versus non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noBreakHyphen/>
              <w:t>surgical treatment in displaced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 xml:space="preserve">proximal humerus 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lastRenderedPageBreak/>
              <w:t>fractures—long term functional outcome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and quality of life</w:t>
            </w:r>
          </w:p>
        </w:tc>
        <w:tc>
          <w:tcPr>
            <w:tcW w:w="477" w:type="pct"/>
            <w:hideMark/>
          </w:tcPr>
          <w:p w14:paraId="116CD65E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lastRenderedPageBreak/>
              <w:t>partial</w:t>
            </w:r>
          </w:p>
        </w:tc>
        <w:tc>
          <w:tcPr>
            <w:tcW w:w="582" w:type="pct"/>
            <w:hideMark/>
          </w:tcPr>
          <w:p w14:paraId="1768945D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32" w:type="pct"/>
            <w:hideMark/>
          </w:tcPr>
          <w:p w14:paraId="221080D0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83" w:type="pct"/>
            <w:hideMark/>
          </w:tcPr>
          <w:p w14:paraId="6E2A7AE9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27" w:type="pct"/>
            <w:hideMark/>
          </w:tcPr>
          <w:p w14:paraId="6EBA2431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Moderate</w:t>
            </w:r>
          </w:p>
        </w:tc>
        <w:tc>
          <w:tcPr>
            <w:tcW w:w="423" w:type="pct"/>
            <w:hideMark/>
          </w:tcPr>
          <w:p w14:paraId="760B6D33" w14:textId="20096D58" w:rsidR="00DB6334" w:rsidRPr="001A5001" w:rsidRDefault="00371DD6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371DD6">
              <w:rPr>
                <w:rFonts w:ascii="Times New Roman" w:hAnsi="Times New Roman" w:cs="Times New Roman"/>
                <w:color w:val="000000"/>
              </w:rPr>
              <w:t>Moderate risk of bias</w:t>
            </w:r>
          </w:p>
        </w:tc>
        <w:tc>
          <w:tcPr>
            <w:tcW w:w="773" w:type="pct"/>
            <w:hideMark/>
          </w:tcPr>
          <w:p w14:paraId="2F69320B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Retrospective; no pre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noBreakHyphen/>
              <w:t>registered analysis plan</w:t>
            </w:r>
          </w:p>
        </w:tc>
      </w:tr>
      <w:tr w:rsidR="00A66177" w:rsidRPr="00C57D88" w14:paraId="13528966" w14:textId="77777777" w:rsidTr="004069D4">
        <w:trPr>
          <w:trHeight w:val="1605"/>
        </w:trPr>
        <w:tc>
          <w:tcPr>
            <w:tcW w:w="266" w:type="pct"/>
          </w:tcPr>
          <w:p w14:paraId="44A86CA0" w14:textId="728A928F" w:rsidR="00DB6334" w:rsidRPr="001A5001" w:rsidRDefault="004069D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6</w:t>
            </w:r>
          </w:p>
        </w:tc>
        <w:tc>
          <w:tcPr>
            <w:tcW w:w="437" w:type="pct"/>
          </w:tcPr>
          <w:p w14:paraId="412C4632" w14:textId="035E14BF" w:rsidR="00DB6334" w:rsidRPr="00C57D88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C57D88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 xml:space="preserve">Ranson et al., 2022 </w:t>
            </w:r>
          </w:p>
        </w:tc>
        <w:tc>
          <w:tcPr>
            <w:tcW w:w="700" w:type="pct"/>
            <w:hideMark/>
          </w:tcPr>
          <w:p w14:paraId="4344C3BF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 change in outcome ten years following locking plate repair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of displaced proximal humerus fractures</w:t>
            </w:r>
          </w:p>
        </w:tc>
        <w:tc>
          <w:tcPr>
            <w:tcW w:w="477" w:type="pct"/>
            <w:hideMark/>
          </w:tcPr>
          <w:p w14:paraId="401654DF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</w:t>
            </w:r>
          </w:p>
        </w:tc>
        <w:tc>
          <w:tcPr>
            <w:tcW w:w="582" w:type="pct"/>
            <w:hideMark/>
          </w:tcPr>
          <w:p w14:paraId="33C2CABA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32" w:type="pct"/>
            <w:hideMark/>
          </w:tcPr>
          <w:p w14:paraId="52E801A2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83" w:type="pct"/>
            <w:hideMark/>
          </w:tcPr>
          <w:p w14:paraId="2993894E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27" w:type="pct"/>
            <w:hideMark/>
          </w:tcPr>
          <w:p w14:paraId="1C074CEE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Moderate</w:t>
            </w:r>
          </w:p>
        </w:tc>
        <w:tc>
          <w:tcPr>
            <w:tcW w:w="423" w:type="pct"/>
            <w:hideMark/>
          </w:tcPr>
          <w:p w14:paraId="5F1F06E6" w14:textId="3AA6D821" w:rsidR="00DB6334" w:rsidRPr="001A5001" w:rsidRDefault="00371DD6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371DD6">
              <w:rPr>
                <w:rFonts w:ascii="Times New Roman" w:hAnsi="Times New Roman" w:cs="Times New Roman"/>
                <w:color w:val="000000"/>
              </w:rPr>
              <w:t>Moderate risk of bias</w:t>
            </w:r>
          </w:p>
        </w:tc>
        <w:tc>
          <w:tcPr>
            <w:tcW w:w="773" w:type="pct"/>
            <w:hideMark/>
          </w:tcPr>
          <w:p w14:paraId="4458877C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 registered/public SAP; multiple outcomes/timepoints available (e.g., 1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noBreakHyphen/>
              <w:t>year vs long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noBreakHyphen/>
              <w:t>term ROM and DASH) with potential for selective emphasis; risk cannot be dismissed</w:t>
            </w:r>
          </w:p>
        </w:tc>
      </w:tr>
      <w:tr w:rsidR="00A66177" w:rsidRPr="00C57D88" w14:paraId="50F707E9" w14:textId="77777777" w:rsidTr="004069D4">
        <w:trPr>
          <w:trHeight w:val="1920"/>
        </w:trPr>
        <w:tc>
          <w:tcPr>
            <w:tcW w:w="266" w:type="pct"/>
          </w:tcPr>
          <w:p w14:paraId="606DD05D" w14:textId="492575FA" w:rsidR="00DB6334" w:rsidRPr="001A5001" w:rsidRDefault="004069D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7</w:t>
            </w:r>
          </w:p>
        </w:tc>
        <w:tc>
          <w:tcPr>
            <w:tcW w:w="437" w:type="pct"/>
          </w:tcPr>
          <w:p w14:paraId="08BEAAE6" w14:textId="4879CA98" w:rsidR="00DB6334" w:rsidRPr="00C57D88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C57D88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 xml:space="preserve">Ockert et al., 2013 </w:t>
            </w:r>
          </w:p>
        </w:tc>
        <w:tc>
          <w:tcPr>
            <w:tcW w:w="700" w:type="pct"/>
            <w:hideMark/>
          </w:tcPr>
          <w:p w14:paraId="6AD0CF01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Long-term functional outcomes (median 10 years)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after locked plating for displaced fractures of the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proximal humerus</w:t>
            </w:r>
          </w:p>
        </w:tc>
        <w:tc>
          <w:tcPr>
            <w:tcW w:w="477" w:type="pct"/>
            <w:hideMark/>
          </w:tcPr>
          <w:p w14:paraId="67A24B7A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</w:t>
            </w:r>
          </w:p>
        </w:tc>
        <w:tc>
          <w:tcPr>
            <w:tcW w:w="582" w:type="pct"/>
            <w:hideMark/>
          </w:tcPr>
          <w:p w14:paraId="583679BC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32" w:type="pct"/>
            <w:hideMark/>
          </w:tcPr>
          <w:p w14:paraId="3CE90926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83" w:type="pct"/>
            <w:hideMark/>
          </w:tcPr>
          <w:p w14:paraId="5310C734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27" w:type="pct"/>
            <w:hideMark/>
          </w:tcPr>
          <w:p w14:paraId="45B6EBE9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Moderate</w:t>
            </w:r>
          </w:p>
        </w:tc>
        <w:tc>
          <w:tcPr>
            <w:tcW w:w="423" w:type="pct"/>
            <w:hideMark/>
          </w:tcPr>
          <w:p w14:paraId="15851134" w14:textId="784281EA" w:rsidR="00DB6334" w:rsidRPr="001A5001" w:rsidRDefault="00371DD6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371DD6">
              <w:rPr>
                <w:rFonts w:ascii="Times New Roman" w:hAnsi="Times New Roman" w:cs="Times New Roman"/>
                <w:color w:val="000000"/>
              </w:rPr>
              <w:t>Moderate risk of bias</w:t>
            </w:r>
          </w:p>
        </w:tc>
        <w:tc>
          <w:tcPr>
            <w:tcW w:w="773" w:type="pct"/>
            <w:hideMark/>
          </w:tcPr>
          <w:p w14:paraId="2CF1BD47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 public protocol or SAP; many possible analytic choices (correlations, regressions, subgroup analyses). Risk of selective reporting cannot be ruled out.</w:t>
            </w:r>
          </w:p>
        </w:tc>
      </w:tr>
      <w:tr w:rsidR="00A66177" w:rsidRPr="00C57D88" w14:paraId="4D093317" w14:textId="77777777" w:rsidTr="004069D4">
        <w:trPr>
          <w:trHeight w:val="1755"/>
        </w:trPr>
        <w:tc>
          <w:tcPr>
            <w:tcW w:w="266" w:type="pct"/>
          </w:tcPr>
          <w:p w14:paraId="2FF75B8C" w14:textId="3D2BE5BE" w:rsidR="00DB6334" w:rsidRPr="001A5001" w:rsidRDefault="004069D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lastRenderedPageBreak/>
              <w:t>8</w:t>
            </w:r>
          </w:p>
        </w:tc>
        <w:tc>
          <w:tcPr>
            <w:tcW w:w="437" w:type="pct"/>
          </w:tcPr>
          <w:p w14:paraId="708097D4" w14:textId="7215C6D5" w:rsidR="00DB6334" w:rsidRPr="00C57D88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C57D8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eastAsia="en-IN" w:bidi="he-IL"/>
                <w14:ligatures w14:val="none"/>
              </w:rPr>
              <w:t xml:space="preserve">Robinson et al., 2019 </w:t>
            </w:r>
          </w:p>
        </w:tc>
        <w:tc>
          <w:tcPr>
            <w:tcW w:w="700" w:type="pct"/>
            <w:hideMark/>
          </w:tcPr>
          <w:p w14:paraId="287D19A2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Complications and Long-Term Outcomes of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Open Reduction and Plate Fixation of Proximal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Humeral Fractures</w:t>
            </w:r>
          </w:p>
        </w:tc>
        <w:tc>
          <w:tcPr>
            <w:tcW w:w="477" w:type="pct"/>
            <w:hideMark/>
          </w:tcPr>
          <w:p w14:paraId="624D19AA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</w:t>
            </w:r>
          </w:p>
        </w:tc>
        <w:tc>
          <w:tcPr>
            <w:tcW w:w="582" w:type="pct"/>
            <w:hideMark/>
          </w:tcPr>
          <w:p w14:paraId="42DE8957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32" w:type="pct"/>
            <w:hideMark/>
          </w:tcPr>
          <w:p w14:paraId="6E47AEBC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83" w:type="pct"/>
            <w:hideMark/>
          </w:tcPr>
          <w:p w14:paraId="4F076439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27" w:type="pct"/>
            <w:hideMark/>
          </w:tcPr>
          <w:p w14:paraId="699CB758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Moderate</w:t>
            </w:r>
          </w:p>
        </w:tc>
        <w:tc>
          <w:tcPr>
            <w:tcW w:w="423" w:type="pct"/>
            <w:hideMark/>
          </w:tcPr>
          <w:p w14:paraId="3C32A69A" w14:textId="63BEB131" w:rsidR="00DB6334" w:rsidRPr="001A5001" w:rsidRDefault="00371DD6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371DD6">
              <w:rPr>
                <w:rFonts w:ascii="Times New Roman" w:hAnsi="Times New Roman" w:cs="Times New Roman"/>
                <w:color w:val="000000"/>
              </w:rPr>
              <w:t>Moderate risk of bias</w:t>
            </w:r>
          </w:p>
        </w:tc>
        <w:tc>
          <w:tcPr>
            <w:tcW w:w="773" w:type="pct"/>
            <w:hideMark/>
          </w:tcPr>
          <w:p w14:paraId="7E2E308B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 publicly available protocol/SAP; multiple outcomes and subgroup/model choices possible → cannot rule out selective reporting</w:t>
            </w:r>
          </w:p>
        </w:tc>
      </w:tr>
      <w:tr w:rsidR="00A66177" w:rsidRPr="00C57D88" w14:paraId="757DF5D2" w14:textId="77777777" w:rsidTr="004069D4">
        <w:trPr>
          <w:trHeight w:val="2070"/>
        </w:trPr>
        <w:tc>
          <w:tcPr>
            <w:tcW w:w="266" w:type="pct"/>
          </w:tcPr>
          <w:p w14:paraId="107F5839" w14:textId="58196F68" w:rsidR="00DB6334" w:rsidRPr="001A5001" w:rsidRDefault="004069D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9</w:t>
            </w:r>
          </w:p>
        </w:tc>
        <w:tc>
          <w:tcPr>
            <w:tcW w:w="437" w:type="pct"/>
          </w:tcPr>
          <w:p w14:paraId="0BDA83C0" w14:textId="79594E17" w:rsidR="00DB6334" w:rsidRPr="00C57D88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C57D88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 xml:space="preserve">Zhang et al., 2024 </w:t>
            </w:r>
          </w:p>
        </w:tc>
        <w:tc>
          <w:tcPr>
            <w:tcW w:w="700" w:type="pct"/>
            <w:hideMark/>
          </w:tcPr>
          <w:p w14:paraId="396395B4" w14:textId="77777777" w:rsidR="00DB6334" w:rsidRPr="001A5001" w:rsidRDefault="00DB6334" w:rsidP="00DB633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What Are the Long-term Outcomes of Locking Plates for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</w:r>
            <w:proofErr w:type="spellStart"/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Nonosteoporotic</w:t>
            </w:r>
            <w:proofErr w:type="spellEnd"/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 xml:space="preserve"> Three-part and Four-part Proximal Humeral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br/>
              <w:t>Fractures With a Minimum 10-year Follow-up Period?</w:t>
            </w:r>
          </w:p>
        </w:tc>
        <w:tc>
          <w:tcPr>
            <w:tcW w:w="477" w:type="pct"/>
            <w:hideMark/>
          </w:tcPr>
          <w:p w14:paraId="3C72EC84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</w:t>
            </w:r>
          </w:p>
        </w:tc>
        <w:tc>
          <w:tcPr>
            <w:tcW w:w="582" w:type="pct"/>
            <w:hideMark/>
          </w:tcPr>
          <w:p w14:paraId="1FE848D1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32" w:type="pct"/>
            <w:hideMark/>
          </w:tcPr>
          <w:p w14:paraId="2D3E2AA1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83" w:type="pct"/>
            <w:hideMark/>
          </w:tcPr>
          <w:p w14:paraId="44F63EE0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Unclear</w:t>
            </w:r>
          </w:p>
        </w:tc>
        <w:tc>
          <w:tcPr>
            <w:tcW w:w="427" w:type="pct"/>
            <w:hideMark/>
          </w:tcPr>
          <w:p w14:paraId="35D6EFCB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Moderate</w:t>
            </w:r>
          </w:p>
        </w:tc>
        <w:tc>
          <w:tcPr>
            <w:tcW w:w="423" w:type="pct"/>
            <w:hideMark/>
          </w:tcPr>
          <w:p w14:paraId="11B9FF1D" w14:textId="1AC238C2" w:rsidR="00DB6334" w:rsidRPr="001A5001" w:rsidRDefault="00371DD6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371DD6">
              <w:rPr>
                <w:rFonts w:ascii="Times New Roman" w:hAnsi="Times New Roman" w:cs="Times New Roman"/>
                <w:color w:val="000000"/>
              </w:rPr>
              <w:t>Moderate risk of bias</w:t>
            </w:r>
          </w:p>
        </w:tc>
        <w:tc>
          <w:tcPr>
            <w:tcW w:w="773" w:type="pct"/>
            <w:hideMark/>
          </w:tcPr>
          <w:p w14:paraId="277CB023" w14:textId="77777777" w:rsidR="00DB6334" w:rsidRPr="001A5001" w:rsidRDefault="00DB6334" w:rsidP="00DB6334">
            <w:pPr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</w:pP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t>No public protocol/SAP; several analytic choices and subgroupings possible (e.g., anatomical</w:t>
            </w:r>
            <w:r w:rsidRPr="001A5001">
              <w:rPr>
                <w:rFonts w:asciiTheme="majorBidi" w:eastAsia="Times New Roman" w:hAnsiTheme="majorBidi" w:cstheme="majorBidi"/>
                <w:color w:val="000000"/>
                <w:kern w:val="0"/>
                <w:lang w:eastAsia="en-IN" w:bidi="he-IL"/>
                <w14:ligatures w14:val="none"/>
              </w:rPr>
              <w:noBreakHyphen/>
              <w:t>reduction strata) → risk can’t be dismissed.</w:t>
            </w:r>
          </w:p>
        </w:tc>
      </w:tr>
    </w:tbl>
    <w:p w14:paraId="047ADBF9" w14:textId="77777777" w:rsidR="001A5001" w:rsidRPr="00C57D88" w:rsidRDefault="001A5001">
      <w:pPr>
        <w:rPr>
          <w:rFonts w:asciiTheme="majorBidi" w:hAnsiTheme="majorBidi" w:cstheme="majorBidi"/>
        </w:rPr>
      </w:pPr>
    </w:p>
    <w:p w14:paraId="5BA75F03" w14:textId="67DF6C74" w:rsidR="001A5001" w:rsidRPr="00C57D88" w:rsidRDefault="001A5001">
      <w:pPr>
        <w:rPr>
          <w:rFonts w:asciiTheme="majorBidi" w:hAnsiTheme="majorBidi" w:cstheme="majorBidi"/>
          <w:b/>
          <w:bCs/>
        </w:rPr>
      </w:pPr>
      <w:proofErr w:type="spellStart"/>
      <w:r w:rsidRPr="00C57D88">
        <w:rPr>
          <w:rFonts w:asciiTheme="majorBidi" w:hAnsiTheme="majorBidi" w:cstheme="majorBidi"/>
          <w:b/>
          <w:bCs/>
        </w:rPr>
        <w:t>RoB</w:t>
      </w:r>
      <w:proofErr w:type="spellEnd"/>
      <w:r w:rsidRPr="00C57D88">
        <w:rPr>
          <w:rFonts w:asciiTheme="majorBidi" w:hAnsiTheme="majorBidi" w:cstheme="majorBidi"/>
          <w:b/>
          <w:bCs/>
        </w:rPr>
        <w:t xml:space="preserve"> 2 Tool for Randomized Controlled Study</w:t>
      </w:r>
      <w:r w:rsidR="004069D4">
        <w:rPr>
          <w:rFonts w:asciiTheme="majorBidi" w:hAnsiTheme="majorBidi" w:cstheme="majorBidi"/>
          <w:b/>
          <w:bCs/>
        </w:rPr>
        <w:t xml:space="preserve"> (</w:t>
      </w:r>
      <w:r w:rsidR="004069D4" w:rsidRPr="00C26216">
        <w:rPr>
          <w:rFonts w:asciiTheme="majorBidi" w:hAnsiTheme="majorBidi" w:cstheme="majorBidi"/>
        </w:rPr>
        <w:t>Fraser et al., 2024</w:t>
      </w:r>
      <w:r w:rsidR="004069D4">
        <w:rPr>
          <w:rFonts w:asciiTheme="majorBidi" w:hAnsiTheme="majorBidi" w:cstheme="majorBidi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89"/>
        <w:gridCol w:w="3246"/>
        <w:gridCol w:w="1459"/>
        <w:gridCol w:w="5654"/>
      </w:tblGrid>
      <w:tr w:rsidR="00E23982" w:rsidRPr="003310F0" w14:paraId="4526DE8C" w14:textId="77777777" w:rsidTr="003310F0">
        <w:tc>
          <w:tcPr>
            <w:tcW w:w="0" w:type="auto"/>
            <w:hideMark/>
          </w:tcPr>
          <w:p w14:paraId="3730EA23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3310F0">
              <w:rPr>
                <w:rFonts w:asciiTheme="majorBidi" w:hAnsiTheme="majorBidi" w:cstheme="majorBidi"/>
                <w:b/>
                <w:bCs/>
              </w:rPr>
              <w:t>Domain</w:t>
            </w:r>
          </w:p>
        </w:tc>
        <w:tc>
          <w:tcPr>
            <w:tcW w:w="0" w:type="auto"/>
            <w:hideMark/>
          </w:tcPr>
          <w:p w14:paraId="6A9319E1" w14:textId="2CEC4475" w:rsidR="003310F0" w:rsidRPr="003310F0" w:rsidRDefault="00E23982" w:rsidP="003310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Signalling </w:t>
            </w:r>
            <w:r w:rsidR="003310F0" w:rsidRPr="003310F0">
              <w:rPr>
                <w:rFonts w:asciiTheme="majorBidi" w:hAnsiTheme="majorBidi" w:cstheme="majorBidi"/>
                <w:b/>
                <w:bCs/>
              </w:rPr>
              <w:t>Questions (Summarised)</w:t>
            </w:r>
          </w:p>
        </w:tc>
        <w:tc>
          <w:tcPr>
            <w:tcW w:w="0" w:type="auto"/>
            <w:hideMark/>
          </w:tcPr>
          <w:p w14:paraId="2854AC6C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3310F0">
              <w:rPr>
                <w:rFonts w:asciiTheme="majorBidi" w:hAnsiTheme="majorBidi" w:cstheme="majorBidi"/>
                <w:b/>
                <w:bCs/>
              </w:rPr>
              <w:t>Response</w:t>
            </w:r>
          </w:p>
        </w:tc>
        <w:tc>
          <w:tcPr>
            <w:tcW w:w="0" w:type="auto"/>
            <w:hideMark/>
          </w:tcPr>
          <w:p w14:paraId="53678359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3310F0">
              <w:rPr>
                <w:rFonts w:asciiTheme="majorBidi" w:hAnsiTheme="majorBidi" w:cstheme="majorBidi"/>
                <w:b/>
                <w:bCs/>
              </w:rPr>
              <w:t>Comments / Rationale</w:t>
            </w:r>
          </w:p>
        </w:tc>
      </w:tr>
      <w:tr w:rsidR="00E23982" w:rsidRPr="003310F0" w14:paraId="13569D71" w14:textId="77777777" w:rsidTr="003310F0">
        <w:tc>
          <w:tcPr>
            <w:tcW w:w="0" w:type="auto"/>
            <w:hideMark/>
          </w:tcPr>
          <w:p w14:paraId="7F348C4E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Domain 1: Randomization process</w:t>
            </w:r>
          </w:p>
        </w:tc>
        <w:tc>
          <w:tcPr>
            <w:tcW w:w="0" w:type="auto"/>
            <w:hideMark/>
          </w:tcPr>
          <w:p w14:paraId="1DF7784F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Was sequence random?</w:t>
            </w:r>
          </w:p>
        </w:tc>
        <w:tc>
          <w:tcPr>
            <w:tcW w:w="0" w:type="auto"/>
            <w:hideMark/>
          </w:tcPr>
          <w:p w14:paraId="39CF3ECC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NI</w:t>
            </w:r>
          </w:p>
        </w:tc>
        <w:tc>
          <w:tcPr>
            <w:tcW w:w="0" w:type="auto"/>
            <w:hideMark/>
          </w:tcPr>
          <w:p w14:paraId="5EA8F89E" w14:textId="2FB2B63D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 xml:space="preserve">Randomization stated but exact method (computer-generated, block, etc.) not described. </w:t>
            </w:r>
          </w:p>
        </w:tc>
      </w:tr>
      <w:tr w:rsidR="00E23982" w:rsidRPr="003310F0" w14:paraId="3EA4509D" w14:textId="77777777" w:rsidTr="003310F0">
        <w:tc>
          <w:tcPr>
            <w:tcW w:w="0" w:type="auto"/>
            <w:hideMark/>
          </w:tcPr>
          <w:p w14:paraId="7CE2BBEF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2150AF65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Was allocation concealed?</w:t>
            </w:r>
          </w:p>
        </w:tc>
        <w:tc>
          <w:tcPr>
            <w:tcW w:w="0" w:type="auto"/>
            <w:hideMark/>
          </w:tcPr>
          <w:p w14:paraId="2F657B00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NI</w:t>
            </w:r>
          </w:p>
        </w:tc>
        <w:tc>
          <w:tcPr>
            <w:tcW w:w="0" w:type="auto"/>
            <w:hideMark/>
          </w:tcPr>
          <w:p w14:paraId="632C8983" w14:textId="6424F565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Concealment method not reported in the 5</w:t>
            </w:r>
            <w:r w:rsidRPr="003310F0">
              <w:rPr>
                <w:rFonts w:asciiTheme="majorBidi" w:hAnsiTheme="majorBidi" w:cstheme="majorBidi"/>
              </w:rPr>
              <w:noBreakHyphen/>
              <w:t>year follow</w:t>
            </w:r>
            <w:r w:rsidRPr="003310F0">
              <w:rPr>
                <w:rFonts w:asciiTheme="majorBidi" w:hAnsiTheme="majorBidi" w:cstheme="majorBidi"/>
              </w:rPr>
              <w:noBreakHyphen/>
              <w:t xml:space="preserve">up publication. </w:t>
            </w:r>
          </w:p>
        </w:tc>
      </w:tr>
      <w:tr w:rsidR="00E23982" w:rsidRPr="003310F0" w14:paraId="49C8D6B5" w14:textId="77777777" w:rsidTr="003310F0">
        <w:tc>
          <w:tcPr>
            <w:tcW w:w="0" w:type="auto"/>
            <w:hideMark/>
          </w:tcPr>
          <w:p w14:paraId="40B571B3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0BD7B1A1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Baseline differences suggesting problems?</w:t>
            </w:r>
          </w:p>
        </w:tc>
        <w:tc>
          <w:tcPr>
            <w:tcW w:w="0" w:type="auto"/>
            <w:hideMark/>
          </w:tcPr>
          <w:p w14:paraId="6CC6198B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PN</w:t>
            </w:r>
          </w:p>
        </w:tc>
        <w:tc>
          <w:tcPr>
            <w:tcW w:w="0" w:type="auto"/>
            <w:hideMark/>
          </w:tcPr>
          <w:p w14:paraId="06CEE236" w14:textId="6562179A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 xml:space="preserve">No concerning baseline imbalance reported. </w:t>
            </w:r>
          </w:p>
        </w:tc>
      </w:tr>
      <w:tr w:rsidR="00E23982" w:rsidRPr="003310F0" w14:paraId="36337E30" w14:textId="77777777" w:rsidTr="003310F0">
        <w:tc>
          <w:tcPr>
            <w:tcW w:w="0" w:type="auto"/>
            <w:hideMark/>
          </w:tcPr>
          <w:p w14:paraId="38E1B439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Judgment</w:t>
            </w:r>
          </w:p>
        </w:tc>
        <w:tc>
          <w:tcPr>
            <w:tcW w:w="0" w:type="auto"/>
            <w:hideMark/>
          </w:tcPr>
          <w:p w14:paraId="45CBB9B6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33A04E24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Some concerns</w:t>
            </w:r>
          </w:p>
        </w:tc>
        <w:tc>
          <w:tcPr>
            <w:tcW w:w="0" w:type="auto"/>
            <w:hideMark/>
          </w:tcPr>
          <w:p w14:paraId="27E27872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E23982" w:rsidRPr="003310F0" w14:paraId="193F2860" w14:textId="77777777" w:rsidTr="003310F0">
        <w:tc>
          <w:tcPr>
            <w:tcW w:w="0" w:type="auto"/>
            <w:hideMark/>
          </w:tcPr>
          <w:p w14:paraId="707CC9EE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Domain 2: Deviations from intended interventions</w:t>
            </w:r>
          </w:p>
        </w:tc>
        <w:tc>
          <w:tcPr>
            <w:tcW w:w="0" w:type="auto"/>
            <w:hideMark/>
          </w:tcPr>
          <w:p w14:paraId="7E5BAF23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Were participants aware of assignment?</w:t>
            </w:r>
          </w:p>
        </w:tc>
        <w:tc>
          <w:tcPr>
            <w:tcW w:w="0" w:type="auto"/>
            <w:hideMark/>
          </w:tcPr>
          <w:p w14:paraId="1E5ABF56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0" w:type="auto"/>
            <w:hideMark/>
          </w:tcPr>
          <w:p w14:paraId="1A6B1631" w14:textId="7F30543F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Single</w:t>
            </w:r>
            <w:r w:rsidRPr="003310F0">
              <w:rPr>
                <w:rFonts w:asciiTheme="majorBidi" w:hAnsiTheme="majorBidi" w:cstheme="majorBidi"/>
              </w:rPr>
              <w:noBreakHyphen/>
              <w:t>blinded; likely patients were aware at long</w:t>
            </w:r>
            <w:r w:rsidRPr="003310F0">
              <w:rPr>
                <w:rFonts w:asciiTheme="majorBidi" w:hAnsiTheme="majorBidi" w:cstheme="majorBidi"/>
              </w:rPr>
              <w:noBreakHyphen/>
              <w:t>term follow</w:t>
            </w:r>
            <w:r w:rsidRPr="003310F0">
              <w:rPr>
                <w:rFonts w:asciiTheme="majorBidi" w:hAnsiTheme="majorBidi" w:cstheme="majorBidi"/>
              </w:rPr>
              <w:noBreakHyphen/>
              <w:t xml:space="preserve">up. </w:t>
            </w:r>
          </w:p>
        </w:tc>
      </w:tr>
      <w:tr w:rsidR="00E23982" w:rsidRPr="003310F0" w14:paraId="3A9025E9" w14:textId="77777777" w:rsidTr="003310F0">
        <w:tc>
          <w:tcPr>
            <w:tcW w:w="0" w:type="auto"/>
            <w:hideMark/>
          </w:tcPr>
          <w:p w14:paraId="26FCA4CC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54AE93F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Were carers aware?</w:t>
            </w:r>
          </w:p>
        </w:tc>
        <w:tc>
          <w:tcPr>
            <w:tcW w:w="0" w:type="auto"/>
            <w:hideMark/>
          </w:tcPr>
          <w:p w14:paraId="65E2E622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0" w:type="auto"/>
            <w:hideMark/>
          </w:tcPr>
          <w:p w14:paraId="4CA394CC" w14:textId="7C1CE4E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 xml:space="preserve">Surgeons cannot be blinded to RTSA vs ORIF. </w:t>
            </w:r>
          </w:p>
        </w:tc>
      </w:tr>
      <w:tr w:rsidR="00E23982" w:rsidRPr="003310F0" w14:paraId="5CB1C781" w14:textId="77777777" w:rsidTr="003310F0">
        <w:tc>
          <w:tcPr>
            <w:tcW w:w="0" w:type="auto"/>
            <w:hideMark/>
          </w:tcPr>
          <w:p w14:paraId="470B2047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0E22C52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Deviations due to trial context?</w:t>
            </w:r>
          </w:p>
        </w:tc>
        <w:tc>
          <w:tcPr>
            <w:tcW w:w="0" w:type="auto"/>
            <w:hideMark/>
          </w:tcPr>
          <w:p w14:paraId="4FCB082D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PN</w:t>
            </w:r>
          </w:p>
        </w:tc>
        <w:tc>
          <w:tcPr>
            <w:tcW w:w="0" w:type="auto"/>
            <w:hideMark/>
          </w:tcPr>
          <w:p w14:paraId="3B057DA4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No deviations reported.</w:t>
            </w:r>
          </w:p>
        </w:tc>
      </w:tr>
      <w:tr w:rsidR="00E23982" w:rsidRPr="003310F0" w14:paraId="67B207AE" w14:textId="77777777" w:rsidTr="003310F0">
        <w:tc>
          <w:tcPr>
            <w:tcW w:w="0" w:type="auto"/>
            <w:hideMark/>
          </w:tcPr>
          <w:p w14:paraId="2B3F9248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0DB95A5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Likely to affect outcomes?</w:t>
            </w:r>
          </w:p>
        </w:tc>
        <w:tc>
          <w:tcPr>
            <w:tcW w:w="0" w:type="auto"/>
            <w:hideMark/>
          </w:tcPr>
          <w:p w14:paraId="4308AB57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PN</w:t>
            </w:r>
          </w:p>
        </w:tc>
        <w:tc>
          <w:tcPr>
            <w:tcW w:w="0" w:type="auto"/>
            <w:hideMark/>
          </w:tcPr>
          <w:p w14:paraId="3EA1FEA0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No deviations affecting Constant score described.</w:t>
            </w:r>
          </w:p>
        </w:tc>
      </w:tr>
      <w:tr w:rsidR="00E23982" w:rsidRPr="003310F0" w14:paraId="03B99D81" w14:textId="77777777" w:rsidTr="003310F0">
        <w:tc>
          <w:tcPr>
            <w:tcW w:w="0" w:type="auto"/>
            <w:hideMark/>
          </w:tcPr>
          <w:p w14:paraId="33DD89F5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55025D7C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Appropriate ITT analysis?</w:t>
            </w:r>
          </w:p>
        </w:tc>
        <w:tc>
          <w:tcPr>
            <w:tcW w:w="0" w:type="auto"/>
            <w:hideMark/>
          </w:tcPr>
          <w:p w14:paraId="56C943F3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PY</w:t>
            </w:r>
          </w:p>
        </w:tc>
        <w:tc>
          <w:tcPr>
            <w:tcW w:w="0" w:type="auto"/>
            <w:hideMark/>
          </w:tcPr>
          <w:p w14:paraId="02409C52" w14:textId="7B866109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 xml:space="preserve">Results appear </w:t>
            </w:r>
            <w:proofErr w:type="spellStart"/>
            <w:r w:rsidRPr="003310F0">
              <w:rPr>
                <w:rFonts w:asciiTheme="majorBidi" w:hAnsiTheme="majorBidi" w:cstheme="majorBidi"/>
              </w:rPr>
              <w:t>analyzed</w:t>
            </w:r>
            <w:proofErr w:type="spellEnd"/>
            <w:r w:rsidRPr="003310F0">
              <w:rPr>
                <w:rFonts w:asciiTheme="majorBidi" w:hAnsiTheme="majorBidi" w:cstheme="majorBidi"/>
              </w:rPr>
              <w:t xml:space="preserve"> by randomized groups. </w:t>
            </w:r>
          </w:p>
        </w:tc>
      </w:tr>
      <w:tr w:rsidR="00E23982" w:rsidRPr="003310F0" w14:paraId="399A0927" w14:textId="77777777" w:rsidTr="003310F0">
        <w:tc>
          <w:tcPr>
            <w:tcW w:w="0" w:type="auto"/>
            <w:hideMark/>
          </w:tcPr>
          <w:p w14:paraId="02DC1BAF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Judgment</w:t>
            </w:r>
          </w:p>
        </w:tc>
        <w:tc>
          <w:tcPr>
            <w:tcW w:w="0" w:type="auto"/>
            <w:hideMark/>
          </w:tcPr>
          <w:p w14:paraId="511ECD6C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25BB9669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Low risk</w:t>
            </w:r>
          </w:p>
        </w:tc>
        <w:tc>
          <w:tcPr>
            <w:tcW w:w="0" w:type="auto"/>
            <w:hideMark/>
          </w:tcPr>
          <w:p w14:paraId="28860C7E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E23982" w:rsidRPr="003310F0" w14:paraId="2EF8AC69" w14:textId="77777777" w:rsidTr="003310F0">
        <w:tc>
          <w:tcPr>
            <w:tcW w:w="0" w:type="auto"/>
            <w:hideMark/>
          </w:tcPr>
          <w:p w14:paraId="655DECAA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Domain 3: Missing outcome data</w:t>
            </w:r>
          </w:p>
        </w:tc>
        <w:tc>
          <w:tcPr>
            <w:tcW w:w="0" w:type="auto"/>
            <w:hideMark/>
          </w:tcPr>
          <w:p w14:paraId="5F4D2B3E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Outcome data available for nearly all?</w:t>
            </w:r>
          </w:p>
        </w:tc>
        <w:tc>
          <w:tcPr>
            <w:tcW w:w="0" w:type="auto"/>
            <w:hideMark/>
          </w:tcPr>
          <w:p w14:paraId="2E80E289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0" w:type="auto"/>
            <w:hideMark/>
          </w:tcPr>
          <w:p w14:paraId="217F62A9" w14:textId="6D457E7E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Only 65/124 had 5</w:t>
            </w:r>
            <w:r w:rsidRPr="003310F0">
              <w:rPr>
                <w:rFonts w:asciiTheme="majorBidi" w:hAnsiTheme="majorBidi" w:cstheme="majorBidi"/>
              </w:rPr>
              <w:noBreakHyphen/>
              <w:t>year Constant scores (~48% follow</w:t>
            </w:r>
            <w:r w:rsidRPr="003310F0">
              <w:rPr>
                <w:rFonts w:asciiTheme="majorBidi" w:hAnsiTheme="majorBidi" w:cstheme="majorBidi"/>
              </w:rPr>
              <w:noBreakHyphen/>
              <w:t xml:space="preserve">up). </w:t>
            </w:r>
          </w:p>
        </w:tc>
      </w:tr>
      <w:tr w:rsidR="00E23982" w:rsidRPr="003310F0" w14:paraId="73C8A6C9" w14:textId="77777777" w:rsidTr="003310F0">
        <w:tc>
          <w:tcPr>
            <w:tcW w:w="0" w:type="auto"/>
            <w:hideMark/>
          </w:tcPr>
          <w:p w14:paraId="14FB08C5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7D8C321F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Evidence result not biased by missing data?</w:t>
            </w:r>
          </w:p>
        </w:tc>
        <w:tc>
          <w:tcPr>
            <w:tcW w:w="0" w:type="auto"/>
            <w:hideMark/>
          </w:tcPr>
          <w:p w14:paraId="066BD72F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0" w:type="auto"/>
            <w:hideMark/>
          </w:tcPr>
          <w:p w14:paraId="722AECBB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No imputation, no sensitivity analysis, no justification.</w:t>
            </w:r>
          </w:p>
        </w:tc>
      </w:tr>
      <w:tr w:rsidR="00E23982" w:rsidRPr="003310F0" w14:paraId="189A6764" w14:textId="77777777" w:rsidTr="003310F0">
        <w:tc>
          <w:tcPr>
            <w:tcW w:w="0" w:type="auto"/>
            <w:hideMark/>
          </w:tcPr>
          <w:p w14:paraId="73B359BD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2869714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Missingness depends on true value?</w:t>
            </w:r>
          </w:p>
        </w:tc>
        <w:tc>
          <w:tcPr>
            <w:tcW w:w="0" w:type="auto"/>
            <w:hideMark/>
          </w:tcPr>
          <w:p w14:paraId="405EB800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Y</w:t>
            </w:r>
          </w:p>
        </w:tc>
        <w:tc>
          <w:tcPr>
            <w:tcW w:w="0" w:type="auto"/>
            <w:hideMark/>
          </w:tcPr>
          <w:p w14:paraId="0CC5BAC2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Highly plausible in elderly fracture patients (complications → loss).</w:t>
            </w:r>
          </w:p>
        </w:tc>
      </w:tr>
      <w:tr w:rsidR="00E23982" w:rsidRPr="003310F0" w14:paraId="693ED2A9" w14:textId="77777777" w:rsidTr="003310F0">
        <w:tc>
          <w:tcPr>
            <w:tcW w:w="0" w:type="auto"/>
            <w:hideMark/>
          </w:tcPr>
          <w:p w14:paraId="767D22AB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39A7F4EE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Likely missingness depended on true value?</w:t>
            </w:r>
          </w:p>
        </w:tc>
        <w:tc>
          <w:tcPr>
            <w:tcW w:w="0" w:type="auto"/>
            <w:hideMark/>
          </w:tcPr>
          <w:p w14:paraId="7B6C1D35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PY</w:t>
            </w:r>
          </w:p>
        </w:tc>
        <w:tc>
          <w:tcPr>
            <w:tcW w:w="0" w:type="auto"/>
            <w:hideMark/>
          </w:tcPr>
          <w:p w14:paraId="7DA976C8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Attrition likely related to outcomes.</w:t>
            </w:r>
          </w:p>
        </w:tc>
      </w:tr>
      <w:tr w:rsidR="00E23982" w:rsidRPr="003310F0" w14:paraId="081CA34A" w14:textId="77777777" w:rsidTr="003310F0">
        <w:tc>
          <w:tcPr>
            <w:tcW w:w="0" w:type="auto"/>
            <w:hideMark/>
          </w:tcPr>
          <w:p w14:paraId="2A248EEA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lastRenderedPageBreak/>
              <w:t>Judgment</w:t>
            </w:r>
          </w:p>
        </w:tc>
        <w:tc>
          <w:tcPr>
            <w:tcW w:w="0" w:type="auto"/>
            <w:hideMark/>
          </w:tcPr>
          <w:p w14:paraId="578B619A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92C2C6F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High risk</w:t>
            </w:r>
          </w:p>
        </w:tc>
        <w:tc>
          <w:tcPr>
            <w:tcW w:w="0" w:type="auto"/>
            <w:hideMark/>
          </w:tcPr>
          <w:p w14:paraId="4EB16FD8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E23982" w:rsidRPr="003310F0" w14:paraId="149C9348" w14:textId="77777777" w:rsidTr="003310F0">
        <w:tc>
          <w:tcPr>
            <w:tcW w:w="0" w:type="auto"/>
            <w:hideMark/>
          </w:tcPr>
          <w:p w14:paraId="4DB0FDFC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Domain 4: Measurement of the outcome</w:t>
            </w:r>
          </w:p>
        </w:tc>
        <w:tc>
          <w:tcPr>
            <w:tcW w:w="0" w:type="auto"/>
            <w:hideMark/>
          </w:tcPr>
          <w:p w14:paraId="1A0C9DEB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Measurement method inappropriate?</w:t>
            </w:r>
          </w:p>
        </w:tc>
        <w:tc>
          <w:tcPr>
            <w:tcW w:w="0" w:type="auto"/>
            <w:hideMark/>
          </w:tcPr>
          <w:p w14:paraId="7112ED07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0" w:type="auto"/>
            <w:hideMark/>
          </w:tcPr>
          <w:p w14:paraId="7E1C0945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Constant score validated.</w:t>
            </w:r>
          </w:p>
        </w:tc>
      </w:tr>
      <w:tr w:rsidR="00E23982" w:rsidRPr="003310F0" w14:paraId="47B2C77B" w14:textId="77777777" w:rsidTr="003310F0">
        <w:tc>
          <w:tcPr>
            <w:tcW w:w="0" w:type="auto"/>
            <w:hideMark/>
          </w:tcPr>
          <w:p w14:paraId="55CAE455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63A66D0A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Measurement differed between groups?</w:t>
            </w:r>
          </w:p>
        </w:tc>
        <w:tc>
          <w:tcPr>
            <w:tcW w:w="0" w:type="auto"/>
            <w:hideMark/>
          </w:tcPr>
          <w:p w14:paraId="02B20283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PN</w:t>
            </w:r>
          </w:p>
        </w:tc>
        <w:tc>
          <w:tcPr>
            <w:tcW w:w="0" w:type="auto"/>
            <w:hideMark/>
          </w:tcPr>
          <w:p w14:paraId="021701F5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Same protocol expected.</w:t>
            </w:r>
          </w:p>
        </w:tc>
      </w:tr>
      <w:tr w:rsidR="00E23982" w:rsidRPr="003310F0" w14:paraId="62D0DFA8" w14:textId="77777777" w:rsidTr="003310F0">
        <w:tc>
          <w:tcPr>
            <w:tcW w:w="0" w:type="auto"/>
            <w:hideMark/>
          </w:tcPr>
          <w:p w14:paraId="309BA25B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5DB045BD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Assessors aware of intervention?</w:t>
            </w:r>
          </w:p>
        </w:tc>
        <w:tc>
          <w:tcPr>
            <w:tcW w:w="0" w:type="auto"/>
            <w:hideMark/>
          </w:tcPr>
          <w:p w14:paraId="4E7044D7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NI</w:t>
            </w:r>
          </w:p>
        </w:tc>
        <w:tc>
          <w:tcPr>
            <w:tcW w:w="0" w:type="auto"/>
            <w:hideMark/>
          </w:tcPr>
          <w:p w14:paraId="440DDC7F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Assessor blinding not stated for 5</w:t>
            </w:r>
            <w:r w:rsidRPr="003310F0">
              <w:rPr>
                <w:rFonts w:asciiTheme="majorBidi" w:hAnsiTheme="majorBidi" w:cstheme="majorBidi"/>
              </w:rPr>
              <w:noBreakHyphen/>
              <w:t>year follow</w:t>
            </w:r>
            <w:r w:rsidRPr="003310F0">
              <w:rPr>
                <w:rFonts w:asciiTheme="majorBidi" w:hAnsiTheme="majorBidi" w:cstheme="majorBidi"/>
              </w:rPr>
              <w:noBreakHyphen/>
              <w:t>up.</w:t>
            </w:r>
          </w:p>
        </w:tc>
      </w:tr>
      <w:tr w:rsidR="00E23982" w:rsidRPr="003310F0" w14:paraId="6B9263D0" w14:textId="77777777" w:rsidTr="003310F0">
        <w:tc>
          <w:tcPr>
            <w:tcW w:w="0" w:type="auto"/>
            <w:hideMark/>
          </w:tcPr>
          <w:p w14:paraId="022122FA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C47765C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Knowledge influencing measurement?</w:t>
            </w:r>
          </w:p>
        </w:tc>
        <w:tc>
          <w:tcPr>
            <w:tcW w:w="0" w:type="auto"/>
            <w:hideMark/>
          </w:tcPr>
          <w:p w14:paraId="6C948156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PN</w:t>
            </w:r>
          </w:p>
        </w:tc>
        <w:tc>
          <w:tcPr>
            <w:tcW w:w="0" w:type="auto"/>
            <w:hideMark/>
          </w:tcPr>
          <w:p w14:paraId="1832AFE3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Objective components reduce risk.</w:t>
            </w:r>
          </w:p>
        </w:tc>
      </w:tr>
      <w:tr w:rsidR="00E23982" w:rsidRPr="003310F0" w14:paraId="6EDF7733" w14:textId="77777777" w:rsidTr="003310F0">
        <w:tc>
          <w:tcPr>
            <w:tcW w:w="0" w:type="auto"/>
            <w:hideMark/>
          </w:tcPr>
          <w:p w14:paraId="6A0C2649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Judgment</w:t>
            </w:r>
          </w:p>
        </w:tc>
        <w:tc>
          <w:tcPr>
            <w:tcW w:w="0" w:type="auto"/>
            <w:hideMark/>
          </w:tcPr>
          <w:p w14:paraId="6F25A4F2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235BD5F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Low risk</w:t>
            </w:r>
          </w:p>
        </w:tc>
        <w:tc>
          <w:tcPr>
            <w:tcW w:w="0" w:type="auto"/>
            <w:hideMark/>
          </w:tcPr>
          <w:p w14:paraId="32AE96E4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E23982" w:rsidRPr="003310F0" w14:paraId="1FA5D4D5" w14:textId="77777777" w:rsidTr="003310F0">
        <w:tc>
          <w:tcPr>
            <w:tcW w:w="0" w:type="auto"/>
            <w:hideMark/>
          </w:tcPr>
          <w:p w14:paraId="0DECDF95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Domain 5: Selection of reported result</w:t>
            </w:r>
          </w:p>
        </w:tc>
        <w:tc>
          <w:tcPr>
            <w:tcW w:w="0" w:type="auto"/>
            <w:hideMark/>
          </w:tcPr>
          <w:p w14:paraId="534A1AF0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Analysis followed prespecified plan?</w:t>
            </w:r>
          </w:p>
        </w:tc>
        <w:tc>
          <w:tcPr>
            <w:tcW w:w="0" w:type="auto"/>
            <w:hideMark/>
          </w:tcPr>
          <w:p w14:paraId="5CF851C9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NI</w:t>
            </w:r>
          </w:p>
        </w:tc>
        <w:tc>
          <w:tcPr>
            <w:tcW w:w="0" w:type="auto"/>
            <w:hideMark/>
          </w:tcPr>
          <w:p w14:paraId="3D667BBD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5</w:t>
            </w:r>
            <w:r w:rsidRPr="003310F0">
              <w:rPr>
                <w:rFonts w:asciiTheme="majorBidi" w:hAnsiTheme="majorBidi" w:cstheme="majorBidi"/>
              </w:rPr>
              <w:noBreakHyphen/>
              <w:t>year analysis plan not reported.</w:t>
            </w:r>
          </w:p>
        </w:tc>
      </w:tr>
      <w:tr w:rsidR="00E23982" w:rsidRPr="003310F0" w14:paraId="7C8CE7D4" w14:textId="77777777" w:rsidTr="003310F0">
        <w:tc>
          <w:tcPr>
            <w:tcW w:w="0" w:type="auto"/>
            <w:hideMark/>
          </w:tcPr>
          <w:p w14:paraId="37E2BAAF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020941C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Multiple outcome measures available?</w:t>
            </w:r>
          </w:p>
        </w:tc>
        <w:tc>
          <w:tcPr>
            <w:tcW w:w="0" w:type="auto"/>
            <w:hideMark/>
          </w:tcPr>
          <w:p w14:paraId="4CDEA30E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PY</w:t>
            </w:r>
          </w:p>
        </w:tc>
        <w:tc>
          <w:tcPr>
            <w:tcW w:w="0" w:type="auto"/>
            <w:hideMark/>
          </w:tcPr>
          <w:p w14:paraId="1422225C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Many functional outcomes exist; potential selective emphasis.</w:t>
            </w:r>
          </w:p>
        </w:tc>
      </w:tr>
      <w:tr w:rsidR="00E23982" w:rsidRPr="003310F0" w14:paraId="7A2AE0C9" w14:textId="77777777" w:rsidTr="003310F0">
        <w:tc>
          <w:tcPr>
            <w:tcW w:w="0" w:type="auto"/>
            <w:hideMark/>
          </w:tcPr>
          <w:p w14:paraId="44A6AA00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8D490C0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Multiple analyses possible?</w:t>
            </w:r>
          </w:p>
        </w:tc>
        <w:tc>
          <w:tcPr>
            <w:tcW w:w="0" w:type="auto"/>
            <w:hideMark/>
          </w:tcPr>
          <w:p w14:paraId="1DC1EBEC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PY</w:t>
            </w:r>
          </w:p>
        </w:tc>
        <w:tc>
          <w:tcPr>
            <w:tcW w:w="0" w:type="auto"/>
            <w:hideMark/>
          </w:tcPr>
          <w:p w14:paraId="33846BDE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 xml:space="preserve">Subgroups (C2/B2; age groups) reported; </w:t>
            </w:r>
            <w:proofErr w:type="spellStart"/>
            <w:r w:rsidRPr="003310F0">
              <w:rPr>
                <w:rFonts w:asciiTheme="majorBidi" w:hAnsiTheme="majorBidi" w:cstheme="majorBidi"/>
              </w:rPr>
              <w:t>prespecification</w:t>
            </w:r>
            <w:proofErr w:type="spellEnd"/>
            <w:r w:rsidRPr="003310F0">
              <w:rPr>
                <w:rFonts w:asciiTheme="majorBidi" w:hAnsiTheme="majorBidi" w:cstheme="majorBidi"/>
              </w:rPr>
              <w:t xml:space="preserve"> unclear.</w:t>
            </w:r>
          </w:p>
        </w:tc>
      </w:tr>
      <w:tr w:rsidR="00E23982" w:rsidRPr="003310F0" w14:paraId="4394A4C3" w14:textId="77777777" w:rsidTr="003310F0">
        <w:tc>
          <w:tcPr>
            <w:tcW w:w="0" w:type="auto"/>
            <w:hideMark/>
          </w:tcPr>
          <w:p w14:paraId="59FE879D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Judgment</w:t>
            </w:r>
          </w:p>
        </w:tc>
        <w:tc>
          <w:tcPr>
            <w:tcW w:w="0" w:type="auto"/>
            <w:hideMark/>
          </w:tcPr>
          <w:p w14:paraId="14A570F9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29EBB941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Some concerns</w:t>
            </w:r>
          </w:p>
        </w:tc>
        <w:tc>
          <w:tcPr>
            <w:tcW w:w="0" w:type="auto"/>
            <w:hideMark/>
          </w:tcPr>
          <w:p w14:paraId="532EC050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</w:tr>
      <w:tr w:rsidR="00E23982" w:rsidRPr="003310F0" w14:paraId="16A5A68E" w14:textId="77777777" w:rsidTr="003310F0">
        <w:tc>
          <w:tcPr>
            <w:tcW w:w="0" w:type="auto"/>
            <w:hideMark/>
          </w:tcPr>
          <w:p w14:paraId="3881B5AA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Overall Risk of Bias</w:t>
            </w:r>
          </w:p>
        </w:tc>
        <w:tc>
          <w:tcPr>
            <w:tcW w:w="0" w:type="auto"/>
            <w:hideMark/>
          </w:tcPr>
          <w:p w14:paraId="63231904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54839B9F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>HIGH RISK</w:t>
            </w:r>
          </w:p>
        </w:tc>
        <w:tc>
          <w:tcPr>
            <w:tcW w:w="0" w:type="auto"/>
            <w:hideMark/>
          </w:tcPr>
          <w:p w14:paraId="57F6158D" w14:textId="77777777" w:rsidR="003310F0" w:rsidRPr="003310F0" w:rsidRDefault="003310F0" w:rsidP="003310F0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3310F0">
              <w:rPr>
                <w:rFonts w:asciiTheme="majorBidi" w:hAnsiTheme="majorBidi" w:cstheme="majorBidi"/>
              </w:rPr>
              <w:t xml:space="preserve">Driven by high missing data; per </w:t>
            </w:r>
            <w:proofErr w:type="spellStart"/>
            <w:r w:rsidRPr="003310F0">
              <w:rPr>
                <w:rFonts w:asciiTheme="majorBidi" w:hAnsiTheme="majorBidi" w:cstheme="majorBidi"/>
              </w:rPr>
              <w:t>RoB</w:t>
            </w:r>
            <w:proofErr w:type="spellEnd"/>
            <w:r w:rsidRPr="003310F0">
              <w:rPr>
                <w:rFonts w:asciiTheme="majorBidi" w:hAnsiTheme="majorBidi" w:cstheme="majorBidi"/>
              </w:rPr>
              <w:t xml:space="preserve"> 2 rules, one “High” domain → overall High.</w:t>
            </w:r>
          </w:p>
        </w:tc>
      </w:tr>
    </w:tbl>
    <w:p w14:paraId="7CCAAD32" w14:textId="77777777" w:rsidR="00B34831" w:rsidRPr="00B34831" w:rsidRDefault="00B34831" w:rsidP="00B34831">
      <w:pPr>
        <w:rPr>
          <w:rFonts w:asciiTheme="majorBidi" w:hAnsiTheme="majorBidi" w:cstheme="majorBidi"/>
          <w:sz w:val="16"/>
          <w:szCs w:val="16"/>
        </w:rPr>
      </w:pPr>
      <w:r w:rsidRPr="00B34831">
        <w:rPr>
          <w:rFonts w:asciiTheme="majorBidi" w:hAnsiTheme="majorBidi" w:cstheme="majorBidi"/>
          <w:sz w:val="16"/>
          <w:szCs w:val="16"/>
        </w:rPr>
        <w:t>Y = Yes; PY = Probably Yes; N = No; PN = Probably No; NI = No Information; NA = Not Applicable; ITT = Intention</w:t>
      </w:r>
      <w:r w:rsidRPr="00B34831">
        <w:rPr>
          <w:rFonts w:asciiTheme="majorBidi" w:hAnsiTheme="majorBidi" w:cstheme="majorBidi"/>
          <w:sz w:val="16"/>
          <w:szCs w:val="16"/>
        </w:rPr>
        <w:noBreakHyphen/>
        <w:t>to</w:t>
      </w:r>
      <w:r w:rsidRPr="00B34831">
        <w:rPr>
          <w:rFonts w:asciiTheme="majorBidi" w:hAnsiTheme="majorBidi" w:cstheme="majorBidi"/>
          <w:sz w:val="16"/>
          <w:szCs w:val="16"/>
        </w:rPr>
        <w:noBreakHyphen/>
        <w:t>Treat; RTSA = Reverse Total Shoulder Arthroplasty; ORIF = Open Reduction and Internal Fixation; RCT = Randomized Controlled Trial.</w:t>
      </w:r>
    </w:p>
    <w:p w14:paraId="0D2A5CC9" w14:textId="2484476B" w:rsidR="00A66177" w:rsidRDefault="001A5001" w:rsidP="002B2242">
      <w:pPr>
        <w:rPr>
          <w:rFonts w:asciiTheme="majorBidi" w:hAnsiTheme="majorBidi" w:cstheme="majorBidi"/>
          <w:b/>
          <w:bCs/>
        </w:rPr>
      </w:pPr>
      <w:r w:rsidRPr="00C57D88">
        <w:rPr>
          <w:rFonts w:asciiTheme="majorBidi" w:hAnsiTheme="majorBidi" w:cstheme="majorBidi"/>
          <w:b/>
          <w:bCs/>
        </w:rPr>
        <w:lastRenderedPageBreak/>
        <w:t>Supplementary Table S</w:t>
      </w:r>
      <w:r w:rsidR="00D729B7">
        <w:rPr>
          <w:rFonts w:asciiTheme="majorBidi" w:hAnsiTheme="majorBidi" w:cstheme="majorBidi"/>
          <w:b/>
          <w:bCs/>
        </w:rPr>
        <w:t>3</w:t>
      </w:r>
      <w:r w:rsidRPr="00C57D88">
        <w:rPr>
          <w:rFonts w:asciiTheme="majorBidi" w:hAnsiTheme="majorBidi" w:cstheme="majorBidi"/>
          <w:b/>
          <w:bCs/>
        </w:rPr>
        <w:t xml:space="preserve">: </w:t>
      </w:r>
      <w:r w:rsidRPr="001A5001">
        <w:rPr>
          <w:rFonts w:asciiTheme="majorBidi" w:hAnsiTheme="majorBidi" w:cstheme="majorBidi"/>
          <w:b/>
          <w:bCs/>
        </w:rPr>
        <w:t xml:space="preserve">GRADE </w:t>
      </w:r>
      <w:r w:rsidRPr="00C57D88">
        <w:rPr>
          <w:rFonts w:asciiTheme="majorBidi" w:hAnsiTheme="majorBidi" w:cstheme="majorBidi"/>
          <w:b/>
          <w:bCs/>
        </w:rPr>
        <w:t>Certainty of Outcomes Assessment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2954"/>
        <w:gridCol w:w="1764"/>
        <w:gridCol w:w="1304"/>
        <w:gridCol w:w="3530"/>
        <w:gridCol w:w="2274"/>
      </w:tblGrid>
      <w:tr w:rsidR="009B0CFD" w:rsidRPr="009B0CFD" w14:paraId="2142FB79" w14:textId="77777777" w:rsidTr="009B0CFD">
        <w:tc>
          <w:tcPr>
            <w:tcW w:w="0" w:type="auto"/>
            <w:hideMark/>
          </w:tcPr>
          <w:p w14:paraId="17EF6296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14:paraId="55A5C678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Effect (as reported)</w:t>
            </w:r>
          </w:p>
        </w:tc>
        <w:tc>
          <w:tcPr>
            <w:tcW w:w="0" w:type="auto"/>
            <w:hideMark/>
          </w:tcPr>
          <w:p w14:paraId="53BBC95A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Heterogeneity</w:t>
            </w:r>
          </w:p>
        </w:tc>
        <w:tc>
          <w:tcPr>
            <w:tcW w:w="0" w:type="auto"/>
            <w:hideMark/>
          </w:tcPr>
          <w:p w14:paraId="662860C7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GRADE Certainty</w:t>
            </w:r>
          </w:p>
        </w:tc>
        <w:tc>
          <w:tcPr>
            <w:tcW w:w="0" w:type="auto"/>
            <w:hideMark/>
          </w:tcPr>
          <w:p w14:paraId="36159F64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Downgrade Reasons</w:t>
            </w:r>
          </w:p>
        </w:tc>
        <w:tc>
          <w:tcPr>
            <w:tcW w:w="0" w:type="auto"/>
            <w:hideMark/>
          </w:tcPr>
          <w:p w14:paraId="769084C9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Notes</w:t>
            </w:r>
          </w:p>
        </w:tc>
      </w:tr>
      <w:tr w:rsidR="009B0CFD" w:rsidRPr="009B0CFD" w14:paraId="08A297A4" w14:textId="77777777" w:rsidTr="009B0CFD">
        <w:tc>
          <w:tcPr>
            <w:tcW w:w="0" w:type="auto"/>
            <w:hideMark/>
          </w:tcPr>
          <w:p w14:paraId="21B60C87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Functional outcomes (Constant, DASH, UCLA, OSS)</w:t>
            </w:r>
          </w:p>
        </w:tc>
        <w:tc>
          <w:tcPr>
            <w:tcW w:w="0" w:type="auto"/>
            <w:hideMark/>
          </w:tcPr>
          <w:p w14:paraId="600B5A07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No significant effect for Constant (MD −11.10), DASH (MD −37.63), UCLA (MD 1.00); OSS showed significant improvement (MD 5.00, p=0.008)</w:t>
            </w:r>
          </w:p>
        </w:tc>
        <w:tc>
          <w:tcPr>
            <w:tcW w:w="0" w:type="auto"/>
            <w:hideMark/>
          </w:tcPr>
          <w:p w14:paraId="2E89A738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Very high (I² = 99–100%)</w:t>
            </w:r>
          </w:p>
        </w:tc>
        <w:tc>
          <w:tcPr>
            <w:tcW w:w="0" w:type="auto"/>
            <w:hideMark/>
          </w:tcPr>
          <w:p w14:paraId="71E0DFAA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Very Low</w:t>
            </w:r>
          </w:p>
        </w:tc>
        <w:tc>
          <w:tcPr>
            <w:tcW w:w="0" w:type="auto"/>
            <w:hideMark/>
          </w:tcPr>
          <w:p w14:paraId="5AF1722B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Risk of bias (observational studies), inconsistency (extreme heterogeneity), imprecision (wide CIs), indirectness (mixed populations/tools), publication bias suspected</w:t>
            </w:r>
          </w:p>
        </w:tc>
        <w:tc>
          <w:tcPr>
            <w:tcW w:w="0" w:type="auto"/>
            <w:hideMark/>
          </w:tcPr>
          <w:p w14:paraId="7BB5CDBC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Only OSS showed benefit; other functional scores inconclusive</w:t>
            </w:r>
          </w:p>
        </w:tc>
      </w:tr>
      <w:tr w:rsidR="009B0CFD" w:rsidRPr="009B0CFD" w14:paraId="29C28489" w14:textId="77777777" w:rsidTr="009B0CFD">
        <w:tc>
          <w:tcPr>
            <w:tcW w:w="0" w:type="auto"/>
            <w:hideMark/>
          </w:tcPr>
          <w:p w14:paraId="60A0293F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Complications</w:t>
            </w:r>
          </w:p>
        </w:tc>
        <w:tc>
          <w:tcPr>
            <w:tcW w:w="0" w:type="auto"/>
            <w:hideMark/>
          </w:tcPr>
          <w:p w14:paraId="7B5B3857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Significant reduction in complications (RR 0.06; 95% CI 0.04–0.10; p&lt;0.00001)</w:t>
            </w:r>
          </w:p>
        </w:tc>
        <w:tc>
          <w:tcPr>
            <w:tcW w:w="0" w:type="auto"/>
            <w:hideMark/>
          </w:tcPr>
          <w:p w14:paraId="758D555E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High (I² = 86%)</w:t>
            </w:r>
          </w:p>
        </w:tc>
        <w:tc>
          <w:tcPr>
            <w:tcW w:w="0" w:type="auto"/>
            <w:hideMark/>
          </w:tcPr>
          <w:p w14:paraId="4A10E96A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Very Low</w:t>
            </w:r>
          </w:p>
        </w:tc>
        <w:tc>
          <w:tcPr>
            <w:tcW w:w="0" w:type="auto"/>
            <w:hideMark/>
          </w:tcPr>
          <w:p w14:paraId="05D76180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Risk of bias, inconsistency (heterogeneity), indirectness (variable definitions of AVN, infection, etc.), publication bias</w:t>
            </w:r>
          </w:p>
        </w:tc>
        <w:tc>
          <w:tcPr>
            <w:tcW w:w="0" w:type="auto"/>
            <w:hideMark/>
          </w:tcPr>
          <w:p w14:paraId="32C424BF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Strong effect size but low confidence due to heterogeneity and inconsistent definitions</w:t>
            </w:r>
          </w:p>
        </w:tc>
      </w:tr>
      <w:tr w:rsidR="009B0CFD" w:rsidRPr="009B0CFD" w14:paraId="34604E16" w14:textId="77777777" w:rsidTr="009B0CFD">
        <w:tc>
          <w:tcPr>
            <w:tcW w:w="0" w:type="auto"/>
            <w:hideMark/>
          </w:tcPr>
          <w:p w14:paraId="26634ABF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Reoperation rate</w:t>
            </w:r>
          </w:p>
        </w:tc>
        <w:tc>
          <w:tcPr>
            <w:tcW w:w="0" w:type="auto"/>
            <w:hideMark/>
          </w:tcPr>
          <w:p w14:paraId="4A374618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Reduced risk (RR 0.34; 95% CI 0.13–0.87; p=0.03)</w:t>
            </w:r>
          </w:p>
        </w:tc>
        <w:tc>
          <w:tcPr>
            <w:tcW w:w="0" w:type="auto"/>
            <w:hideMark/>
          </w:tcPr>
          <w:p w14:paraId="4588F636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Very high (I² = 98%)</w:t>
            </w:r>
          </w:p>
        </w:tc>
        <w:tc>
          <w:tcPr>
            <w:tcW w:w="0" w:type="auto"/>
            <w:hideMark/>
          </w:tcPr>
          <w:p w14:paraId="325A5A3F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Very Low</w:t>
            </w:r>
          </w:p>
        </w:tc>
        <w:tc>
          <w:tcPr>
            <w:tcW w:w="0" w:type="auto"/>
            <w:hideMark/>
          </w:tcPr>
          <w:p w14:paraId="4F44FA8D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Risk of bias, inconsistency, imprecision (variability across studies), indirectness (elective vs unplanned not consistently defined)</w:t>
            </w:r>
          </w:p>
        </w:tc>
        <w:tc>
          <w:tcPr>
            <w:tcW w:w="0" w:type="auto"/>
            <w:hideMark/>
          </w:tcPr>
          <w:p w14:paraId="244CE0FF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Mixed reporting with wide variation in rates</w:t>
            </w:r>
          </w:p>
        </w:tc>
      </w:tr>
      <w:tr w:rsidR="009B0CFD" w:rsidRPr="009B0CFD" w14:paraId="27B5B073" w14:textId="77777777" w:rsidTr="009B0CFD">
        <w:tc>
          <w:tcPr>
            <w:tcW w:w="0" w:type="auto"/>
            <w:hideMark/>
          </w:tcPr>
          <w:p w14:paraId="6DA0655A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Implant removal</w:t>
            </w:r>
          </w:p>
        </w:tc>
        <w:tc>
          <w:tcPr>
            <w:tcW w:w="0" w:type="auto"/>
            <w:hideMark/>
          </w:tcPr>
          <w:p w14:paraId="3D5D12D9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Reduced risk (RR 0.34; 95% CI 0.17–0.67; p=0.002)</w:t>
            </w:r>
          </w:p>
        </w:tc>
        <w:tc>
          <w:tcPr>
            <w:tcW w:w="0" w:type="auto"/>
            <w:hideMark/>
          </w:tcPr>
          <w:p w14:paraId="36A8F110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Very high (I² = 95%)</w:t>
            </w:r>
          </w:p>
        </w:tc>
        <w:tc>
          <w:tcPr>
            <w:tcW w:w="0" w:type="auto"/>
            <w:hideMark/>
          </w:tcPr>
          <w:p w14:paraId="0A34D1AD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Very Low</w:t>
            </w:r>
          </w:p>
        </w:tc>
        <w:tc>
          <w:tcPr>
            <w:tcW w:w="0" w:type="auto"/>
            <w:hideMark/>
          </w:tcPr>
          <w:p w14:paraId="275C8BAD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Risk of bias, inconsistency, indirectness (indications vary widely), imprecision</w:t>
            </w:r>
          </w:p>
        </w:tc>
        <w:tc>
          <w:tcPr>
            <w:tcW w:w="0" w:type="auto"/>
            <w:hideMark/>
          </w:tcPr>
          <w:p w14:paraId="24673DAC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Frequently elective; high variability in indications</w:t>
            </w:r>
          </w:p>
        </w:tc>
      </w:tr>
      <w:tr w:rsidR="009B0CFD" w:rsidRPr="009B0CFD" w14:paraId="07C175E4" w14:textId="77777777" w:rsidTr="009B0CFD">
        <w:tc>
          <w:tcPr>
            <w:tcW w:w="0" w:type="auto"/>
            <w:hideMark/>
          </w:tcPr>
          <w:p w14:paraId="003EF1C4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lastRenderedPageBreak/>
              <w:t>Revision surgery</w:t>
            </w:r>
          </w:p>
        </w:tc>
        <w:tc>
          <w:tcPr>
            <w:tcW w:w="0" w:type="auto"/>
            <w:hideMark/>
          </w:tcPr>
          <w:p w14:paraId="09CD9258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Reduced risk (RR 0.17; 95% CI 0.07–0.45; p=0.0003)</w:t>
            </w:r>
          </w:p>
        </w:tc>
        <w:tc>
          <w:tcPr>
            <w:tcW w:w="0" w:type="auto"/>
            <w:hideMark/>
          </w:tcPr>
          <w:p w14:paraId="2E73FEE8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Very high (I² = 96%)</w:t>
            </w:r>
          </w:p>
        </w:tc>
        <w:tc>
          <w:tcPr>
            <w:tcW w:w="0" w:type="auto"/>
            <w:hideMark/>
          </w:tcPr>
          <w:p w14:paraId="3306D055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Very Low</w:t>
            </w:r>
          </w:p>
        </w:tc>
        <w:tc>
          <w:tcPr>
            <w:tcW w:w="0" w:type="auto"/>
            <w:hideMark/>
          </w:tcPr>
          <w:p w14:paraId="2773111A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Risk of bias, inconsistency, indirectness, imprecision</w:t>
            </w:r>
          </w:p>
        </w:tc>
        <w:tc>
          <w:tcPr>
            <w:tcW w:w="0" w:type="auto"/>
            <w:hideMark/>
          </w:tcPr>
          <w:p w14:paraId="0463E7D4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Statistically strong effect but limited reliability</w:t>
            </w:r>
          </w:p>
        </w:tc>
      </w:tr>
      <w:tr w:rsidR="009B0CFD" w:rsidRPr="009B0CFD" w14:paraId="0A2CC250" w14:textId="77777777" w:rsidTr="009B0CFD">
        <w:tc>
          <w:tcPr>
            <w:tcW w:w="0" w:type="auto"/>
            <w:hideMark/>
          </w:tcPr>
          <w:p w14:paraId="23D45AB3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Overall evidence certainty</w:t>
            </w:r>
          </w:p>
        </w:tc>
        <w:tc>
          <w:tcPr>
            <w:tcW w:w="0" w:type="auto"/>
            <w:hideMark/>
          </w:tcPr>
          <w:p w14:paraId="24A83CF7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 xml:space="preserve">Consistent direction </w:t>
            </w:r>
            <w:proofErr w:type="spellStart"/>
            <w:r w:rsidRPr="009B0CFD">
              <w:rPr>
                <w:rFonts w:asciiTheme="majorBidi" w:hAnsiTheme="majorBidi" w:cstheme="majorBidi"/>
              </w:rPr>
              <w:t>favoring</w:t>
            </w:r>
            <w:proofErr w:type="spellEnd"/>
            <w:r w:rsidRPr="009B0CFD">
              <w:rPr>
                <w:rFonts w:asciiTheme="majorBidi" w:hAnsiTheme="majorBidi" w:cstheme="majorBidi"/>
              </w:rPr>
              <w:t xml:space="preserve"> intervention across outcomes</w:t>
            </w:r>
          </w:p>
        </w:tc>
        <w:tc>
          <w:tcPr>
            <w:tcW w:w="0" w:type="auto"/>
            <w:hideMark/>
          </w:tcPr>
          <w:p w14:paraId="653786D7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Very high (I² 86–100%)</w:t>
            </w:r>
          </w:p>
        </w:tc>
        <w:tc>
          <w:tcPr>
            <w:tcW w:w="0" w:type="auto"/>
            <w:hideMark/>
          </w:tcPr>
          <w:p w14:paraId="1E3CC3A8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  <w:b/>
                <w:bCs/>
              </w:rPr>
              <w:t>Very Low (overall)</w:t>
            </w:r>
          </w:p>
        </w:tc>
        <w:tc>
          <w:tcPr>
            <w:tcW w:w="0" w:type="auto"/>
            <w:hideMark/>
          </w:tcPr>
          <w:p w14:paraId="1C2AC239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Serious risk of bias, extreme inconsistency, indirectness, imprecision, possible publication bias</w:t>
            </w:r>
          </w:p>
        </w:tc>
        <w:tc>
          <w:tcPr>
            <w:tcW w:w="0" w:type="auto"/>
            <w:hideMark/>
          </w:tcPr>
          <w:p w14:paraId="2F69D568" w14:textId="77777777" w:rsidR="009B0CFD" w:rsidRPr="009B0CFD" w:rsidRDefault="009B0CFD" w:rsidP="009B0C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9B0CFD">
              <w:rPr>
                <w:rFonts w:asciiTheme="majorBidi" w:hAnsiTheme="majorBidi" w:cstheme="majorBidi"/>
              </w:rPr>
              <w:t>Evidence not robust enough for strong clinical conclusions</w:t>
            </w:r>
          </w:p>
        </w:tc>
      </w:tr>
    </w:tbl>
    <w:p w14:paraId="4D065AC2" w14:textId="77777777" w:rsidR="001A5001" w:rsidRPr="00C57D88" w:rsidRDefault="001A5001">
      <w:pPr>
        <w:rPr>
          <w:rFonts w:asciiTheme="majorBidi" w:hAnsiTheme="majorBidi" w:cstheme="majorBidi"/>
        </w:rPr>
      </w:pPr>
    </w:p>
    <w:sectPr w:rsidR="001A5001" w:rsidRPr="00C57D88" w:rsidSect="0064539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2F7"/>
    <w:rsid w:val="000102B5"/>
    <w:rsid w:val="000123DD"/>
    <w:rsid w:val="000802CE"/>
    <w:rsid w:val="000E34C2"/>
    <w:rsid w:val="000E4374"/>
    <w:rsid w:val="001A5001"/>
    <w:rsid w:val="0028639C"/>
    <w:rsid w:val="002B2242"/>
    <w:rsid w:val="003310F0"/>
    <w:rsid w:val="00371DD6"/>
    <w:rsid w:val="003B1C30"/>
    <w:rsid w:val="004069D4"/>
    <w:rsid w:val="004E2BF2"/>
    <w:rsid w:val="004E4A45"/>
    <w:rsid w:val="00645390"/>
    <w:rsid w:val="006B69F6"/>
    <w:rsid w:val="006B72F7"/>
    <w:rsid w:val="00722874"/>
    <w:rsid w:val="007A6985"/>
    <w:rsid w:val="007B34F2"/>
    <w:rsid w:val="008136C2"/>
    <w:rsid w:val="009B0098"/>
    <w:rsid w:val="009B0CFD"/>
    <w:rsid w:val="00A66177"/>
    <w:rsid w:val="00AE311B"/>
    <w:rsid w:val="00B34831"/>
    <w:rsid w:val="00BA5281"/>
    <w:rsid w:val="00C57D88"/>
    <w:rsid w:val="00D56157"/>
    <w:rsid w:val="00D729B7"/>
    <w:rsid w:val="00D92B9A"/>
    <w:rsid w:val="00DB6334"/>
    <w:rsid w:val="00E23982"/>
    <w:rsid w:val="00E26B3A"/>
    <w:rsid w:val="00E34FBE"/>
    <w:rsid w:val="00E67A0A"/>
    <w:rsid w:val="00EC1CB3"/>
    <w:rsid w:val="00F26667"/>
    <w:rsid w:val="00F3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9232C"/>
  <w15:chartTrackingRefBased/>
  <w15:docId w15:val="{0CE84EA0-AC6A-4598-A50D-A22B2FBF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B7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7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7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7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7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72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72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72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72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7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7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7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72F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72F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72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72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72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72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7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7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7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7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7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72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B72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72F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7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72F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72F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A500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500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A5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Guires 1</dc:creator>
  <cp:keywords/>
  <dc:description/>
  <cp:lastModifiedBy>jacopo conteduca</cp:lastModifiedBy>
  <cp:revision>7</cp:revision>
  <dcterms:created xsi:type="dcterms:W3CDTF">2026-06-06T09:28:00Z</dcterms:created>
  <dcterms:modified xsi:type="dcterms:W3CDTF">2026-06-15T14:23:00Z</dcterms:modified>
</cp:coreProperties>
</file>