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rFonts w:ascii="Times New Roman" w:hAnsi="Times New Roman"/>
          <w:b/>
          <w:sz w:val="28"/>
        </w:rPr>
        <w:t>Supplementary Materials</w:t>
      </w:r>
    </w:p>
    <w:p>
      <w:pPr>
        <w:spacing w:before="280" w:after="80"/>
      </w:pPr>
      <w:r>
        <w:rPr>
          <w:rFonts w:ascii="Times New Roman" w:hAnsi="Times New Roman"/>
          <w:b/>
          <w:sz w:val="24"/>
        </w:rPr>
        <w:t>SUPPLEMENTARY METHODS</w:t>
      </w:r>
    </w:p>
    <w:p>
      <w:r>
        <w:rPr>
          <w:rFonts w:ascii="Times New Roman" w:hAnsi="Times New Roman"/>
          <w:sz w:val="20"/>
        </w:rPr>
        <w:t>These procedural details expand the analyses named in the main-text Methods (Statistical Analysis). All analyses are reported in the main text; only their computational mechanics are given here.</w:t>
      </w:r>
    </w:p>
    <w:p>
      <w:pPr>
        <w:spacing w:before="120" w:after="60"/>
      </w:pPr>
      <w:r>
        <w:rPr>
          <w:rFonts w:ascii="Times New Roman" w:hAnsi="Times New Roman"/>
          <w:b/>
          <w:i/>
          <w:sz w:val="22"/>
        </w:rPr>
        <w:t>Paired rate difference (H1)</w:t>
      </w:r>
    </w:p>
    <w:p>
      <w:r>
        <w:rPr>
          <w:rFonts w:ascii="Times New Roman" w:hAnsi="Times New Roman"/>
          <w:sz w:val="20"/>
        </w:rPr>
        <w:t>The first-versus-second-knee transfusion rate difference and its 95% confidence interval were derived from the discordant-pair counts using the paired (McNemar) Wald standard error. The discordant-pair ratio and its 95% confidence interval were obtained from the Wilson interval of the conditional discordant proportion.</w:t>
      </w:r>
    </w:p>
    <w:p>
      <w:pPr>
        <w:spacing w:before="120" w:after="60"/>
      </w:pPr>
      <w:r>
        <w:rPr>
          <w:rFonts w:ascii="Times New Roman" w:hAnsi="Times New Roman"/>
          <w:b/>
          <w:i/>
          <w:sz w:val="22"/>
        </w:rPr>
        <w:t>Receiver operating characteristic discrimination and internal validation (H3)</w:t>
      </w:r>
    </w:p>
    <w:p>
      <w:r>
        <w:rPr>
          <w:rFonts w:ascii="Times New Roman" w:hAnsi="Times New Roman"/>
          <w:sz w:val="20"/>
        </w:rPr>
        <w:t>Paired comparisons of the area under the receiver operating characteristic (ROC) curve — the area under the curve (AUC) — used the DeLong placement-value covariance formulation (Sun &amp; Xu, 2014) on identical patients, so that the placement values of two predictors are paired element-wise. Because the multivariable model was fitted and evaluated in the same sample, in-sample optimism was quantified by bootstrap optimism correction (2,000 resamples) for the single-marker and multivariable AUCs and by repeated five-fold cross-validation (200 repetitions) for the Op2 POD0 (immediate postoperative hemoglobin on the second-operation day) single-marker and multivariable models, with the stability of the Youden-optimal cutoff assessed across 2,000 bootstrap resamples. Sensitivity, specificity, and predictive values at the Youden-optimal cutoff are reported with Wilson 95% confidence intervals; these quantify sampling variability at a fixed threshold and do not reflect uncertainty in the data-driven choice of cutoff. The H3 multivariable model was additionally assessed for collinearity (variance inflation factors and condition index) and for calibration by the bootstrap optimism-corrected calibration slope.</w:t>
      </w:r>
    </w:p>
    <w:p>
      <w:pPr>
        <w:spacing w:before="120" w:after="60"/>
      </w:pPr>
      <w:r>
        <w:rPr>
          <w:rFonts w:ascii="Times New Roman" w:hAnsi="Times New Roman"/>
          <w:b/>
          <w:i/>
          <w:sz w:val="22"/>
        </w:rPr>
        <w:t>Objective-trigger sensitivity analyses (H1 robustness)</w:t>
      </w:r>
    </w:p>
    <w:p>
      <w:r>
        <w:rPr>
          <w:rFonts w:ascii="Times New Roman" w:hAnsi="Times New Roman"/>
          <w:sz w:val="20"/>
        </w:rPr>
        <w:t>Because the per-order indication of each transfusion was not separately coded, transfusion was reclassified by an objective hemoglobin proxy — the lowest recorded postoperative hemoglobin ≤ 8.0 g/dL, and, as a stricter lower bound, ≤ 7.0 g/dL — and the paired first-versus-second-knee asymmetry recomputed by McNemar's test. The lowest-recorded-hemoglobin proxy bands among transfused patients (&lt; 7.0, 7.0–8.0, and &gt; 8.0 g/dL) were tabulated for the same reason.</w:t>
      </w:r>
    </w:p>
    <w:p>
      <w:pPr>
        <w:spacing w:before="120" w:after="60"/>
      </w:pPr>
      <w:r>
        <w:rPr>
          <w:rFonts w:ascii="Times New Roman" w:hAnsi="Times New Roman"/>
          <w:b/>
          <w:i/>
          <w:sz w:val="22"/>
        </w:rPr>
        <w:t>Slow-responder robustness (H2)</w:t>
      </w:r>
    </w:p>
    <w:p>
      <w:r>
        <w:rPr>
          <w:rFonts w:ascii="Times New Roman" w:hAnsi="Times New Roman"/>
          <w:sz w:val="20"/>
        </w:rPr>
        <w:t>To remove contamination by intervening first-knee transfusion, the slow-responder logistic analysis was repeated in the subset of patients without first-knee transfusion, whose inter-knee hemoglobin values are uncontaminated by an intervening transfusion. To test whether the absolute Op2 POD0 hemoglobin suppresses the recovery-rate association, the recovery rate was modeled for second-knee transfusion before and after adjustment for the absolute Op2 POD0 level; because Op2 POD0 hemoglobin is itself a component of the recovery-rate calculation, any conditional change reflects this algebraic dependency rather than an independent recovery-rate effect.</w:t>
      </w:r>
    </w:p>
    <w:p>
      <w:pPr>
        <w:spacing w:before="120" w:after="60"/>
      </w:pPr>
      <w:r>
        <w:rPr>
          <w:rFonts w:ascii="Times New Roman" w:hAnsi="Times New Roman"/>
          <w:b/>
          <w:i/>
          <w:sz w:val="22"/>
        </w:rPr>
        <w:t>Study size and precision</w:t>
      </w:r>
    </w:p>
    <w:p>
      <w:r>
        <w:rPr>
          <w:rFonts w:ascii="Times New Roman" w:hAnsi="Times New Roman"/>
          <w:sz w:val="20"/>
        </w:rPr>
        <w:t>At 80% power (α = 0.05, two-sided), the lowest-versus-highest recovery-tertile contrast for H2 (73 versus 68 patients) could detect a between-tertile difference of approximately 21 percentage points — equivalent to an odds ratio of about 3.0, raising the slow-responder tertile to roughly 83% from the observed reference rate of about 62% — and smaller differences could not be reliably excluded.</w:t>
      </w:r>
    </w:p>
    <w:p>
      <w:pPr>
        <w:spacing w:before="120" w:after="60"/>
      </w:pPr>
      <w:r>
        <w:rPr>
          <w:rFonts w:ascii="Times New Roman" w:hAnsi="Times New Roman"/>
          <w:b/>
          <w:i/>
          <w:sz w:val="22"/>
        </w:rPr>
        <w:t>Temporal robustness</w:t>
      </w:r>
    </w:p>
    <w:p>
      <w:r>
        <w:rPr>
          <w:rFonts w:ascii="Times New Roman" w:hAnsi="Times New Roman"/>
          <w:sz w:val="20"/>
        </w:rPr>
        <w:t>The paired asymmetry was additionally examined within calendar-period halves (first versus second half of enrollment) to confirm that the inter-knee gradient persisted despite a secular decline in transfusion over the 2019–2024 study period.</w:t>
      </w:r>
    </w:p>
    <w:p>
      <w:pPr>
        <w:spacing w:before="120" w:after="60"/>
      </w:pPr>
      <w:r>
        <w:rPr>
          <w:rFonts w:ascii="Times New Roman" w:hAnsi="Times New Roman"/>
          <w:b/>
          <w:i/>
          <w:sz w:val="22"/>
        </w:rPr>
        <w:t>Software</w:t>
      </w:r>
    </w:p>
    <w:p>
      <w:r>
        <w:rPr>
          <w:rFonts w:ascii="Times New Roman" w:hAnsi="Times New Roman"/>
          <w:sz w:val="20"/>
        </w:rPr>
        <w:t>Analyses were performed in Python (Python Software Foundation, Beaverton, OR, USA); the full analysis scripts are available from the corresponding author on reasonable request.</w:t>
      </w:r>
    </w:p>
    <w:p/>
    <w:p/>
    <w:p>
      <w:pPr>
        <w:spacing w:before="120" w:after="60"/>
      </w:pPr>
      <w:r>
        <w:rPr>
          <w:rFonts w:ascii="Times New Roman" w:hAnsi="Times New Roman"/>
          <w:b/>
          <w:sz w:val="20"/>
        </w:rPr>
        <w:t>Supplementary Table S1. Hemoglobin trajectory across 10 perioperative timepoints</w:t>
      </w:r>
    </w:p>
    <w:tbl>
      <w:tblPr>
        <w:tblW w:type="pct" w:w="5000"/>
        <w:jc w:val="center"/>
        <w:tblLayout w:type="autofi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Timepoint</w:t>
            </w:r>
          </w:p>
        </w:tc>
        <w:tc>
          <w:tcPr>
            <w:tcW w:type="dxa" w:w="156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Day from Op1</w:t>
            </w:r>
          </w:p>
        </w:tc>
        <w:tc>
          <w:tcPr>
            <w:tcW w:type="dxa" w:w="156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n</w:t>
            </w:r>
          </w:p>
        </w:tc>
        <w:tc>
          <w:tcPr>
            <w:tcW w:type="dxa" w:w="156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Hemoglobin (g/dL), mean ± SD</w:t>
            </w:r>
          </w:p>
        </w:tc>
        <w:tc>
          <w:tcPr>
            <w:tcW w:type="dxa" w:w="156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Median [IQR]</w:t>
            </w:r>
          </w:p>
        </w:tc>
        <w:tc>
          <w:tcPr>
            <w:tcW w:type="dxa" w:w="156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95% CI of mean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Preoperative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−1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13.10 ± 1.29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13.10 [12.33–13.90]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12.92–13.27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Op1 POD0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11.17 ± 1.39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11.30 [10.20–12.10]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10.99–11.36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Op1 POD1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10.21 ± 1.25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10.10 [9.30–11.10]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10.04–10.38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Op1 POD2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9.59 ± 1.14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9.45 [8.70–10.40]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9.43–9.74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Op1 POD5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9.47 ± 1.00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9.40 [8.80–10.10]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9.33–9.60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b/>
                <w:sz w:val="20"/>
              </w:rPr>
              <w:t>Op2 POD0</w:t>
            </w:r>
            <w:r>
              <w:rPr>
                <w:rFonts w:ascii="Times New Roman" w:hAnsi="Times New Roman"/>
                <w:sz w:val="20"/>
              </w:rPr>
              <w:t>†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b/>
                <w:sz w:val="20"/>
              </w:rPr>
              <w:t>9.00 ± 1.05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9.00 [8.23–9.80]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8.86–9.15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Op2 POD1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8.72 ± 0.95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8.60 [8.10–9.38]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8.59–8.85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b/>
                <w:sz w:val="20"/>
              </w:rPr>
              <w:t>Op2 POD2 (nadir)</w:t>
            </w:r>
            <w:r>
              <w:rPr>
                <w:rFonts w:ascii="Times New Roman" w:hAnsi="Times New Roman"/>
                <w:sz w:val="20"/>
              </w:rPr>
              <w:t>‡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b/>
                <w:sz w:val="20"/>
              </w:rPr>
              <w:t>8.65 ± 0.85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8.60 [8.00–9.20]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8.53–8.76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Op2 POD5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9.12 ± 0.95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9.15 [8.43–9.80]</w:t>
            </w:r>
          </w:p>
        </w:tc>
        <w:tc>
          <w:tcPr>
            <w:tcW w:type="dxa" w:w="156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8.99–9.24</w:t>
            </w:r>
          </w:p>
        </w:tc>
      </w:tr>
      <w:tr>
        <w:tc>
          <w:tcPr>
            <w:tcW w:type="dxa" w:w="156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Discharge</w:t>
            </w:r>
          </w:p>
        </w:tc>
        <w:tc>
          <w:tcPr>
            <w:tcW w:type="dxa" w:w="156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156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56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10.60 ± 1.26</w:t>
            </w:r>
          </w:p>
        </w:tc>
        <w:tc>
          <w:tcPr>
            <w:tcW w:type="dxa" w:w="156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10.70 [9.60–11.60]</w:t>
            </w:r>
          </w:p>
        </w:tc>
        <w:tc>
          <w:tcPr>
            <w:tcW w:type="dxa" w:w="156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10.43–10.77</w:t>
            </w:r>
          </w:p>
        </w:tc>
      </w:tr>
    </w:tbl>
    <w:p>
      <w:pPr>
        <w:spacing w:line="276" w:lineRule="auto"/>
      </w:pPr>
      <w:r>
        <w:rPr>
          <w:rFonts w:ascii="Times New Roman" w:hAnsi="Times New Roman"/>
          <w:sz w:val="18"/>
        </w:rPr>
        <w:t>POD = postoperative day; Op1 = first knee; Op2 = second knee; SD = standard deviation; IQR = interquartile range.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>† Op2 POD0 is the immediate postoperative hemoglobin on the day of the second knee arthroplasty (an evening draw after surgery, 2 days after the Op1 POD5 measurement for the 199 patients with the modal 7-day inter-surgical interval; 3–4 days for the 11 patients with 8–9-day intervals) and serves as the candidate postoperative predictor of second-knee transfusion (Table 4).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>‡ Op2 POD2 represents the cohort's hemoglobin nadir.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 xml:space="preserve">Cumulative drop from preoperative to Op2 POD2 nadir is 4.45 g/dL (95% CI 4.28–4.62), corresponding to a 34% relative decline despite the high-dose intravenous iron protocol (ferric carboxymaltose 500 mg preoperative + 1,000 mg on the day of the first knee). The trajectory shows a further net fall of 0.47 g/dL between Op1 POD5 and the immediate postoperative Op2 POD0 measurement (a window that spans the second operation — 2 days in the 7-day-interval majority, 3–4 days in the 11 patients with 8–9-day intervals), indicating that the second knee operates on a depleted hematologic reserve. Mixed-effects regression confirmed that every postoperative timepoint differed significantly from the preoperative baseline (all </w:t>
      </w:r>
      <w:r>
        <w:rPr>
          <w:rFonts w:ascii="Times New Roman" w:hAnsi="Times New Roman"/>
          <w:i/>
          <w:sz w:val="18"/>
        </w:rPr>
        <w:t>p</w:t>
      </w:r>
      <w:r>
        <w:rPr>
          <w:rFonts w:ascii="Times New Roman" w:hAnsi="Times New Roman"/>
          <w:sz w:val="18"/>
        </w:rPr>
        <w:t xml:space="preserve"> &lt; 0.001). See Figure 2 for the corresponding plot.</w:t>
      </w:r>
    </w:p>
    <w:p/>
    <w:p/>
    <w:p>
      <w:pPr>
        <w:spacing w:before="120" w:after="60"/>
      </w:pPr>
      <w:r>
        <w:rPr>
          <w:rFonts w:ascii="Times New Roman" w:hAnsi="Times New Roman"/>
          <w:b/>
          <w:sz w:val="20"/>
        </w:rPr>
        <w:t>Supplementary Table S2. Sensitivity and subgroup analyses for paired transfusion (H1)</w:t>
      </w:r>
    </w:p>
    <w:tbl>
      <w:tblPr>
        <w:tblW w:type="pct" w:w="5000"/>
        <w:jc w:val="center"/>
        <w:tblLayout w:type="autofi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Analysis</w:t>
            </w:r>
          </w:p>
        </w:tc>
        <w:tc>
          <w:tcPr>
            <w:tcW w:type="dxa" w:w="1337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n</w:t>
            </w:r>
          </w:p>
        </w:tc>
        <w:tc>
          <w:tcPr>
            <w:tcW w:type="dxa" w:w="1337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1st-knee transfusion</w:t>
            </w:r>
          </w:p>
        </w:tc>
        <w:tc>
          <w:tcPr>
            <w:tcW w:type="dxa" w:w="1337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2nd-knee transfusion</w:t>
            </w:r>
          </w:p>
        </w:tc>
        <w:tc>
          <w:tcPr>
            <w:tcW w:type="dxa" w:w="1337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Discordant 2nd-only / 1st-only</w:t>
            </w:r>
          </w:p>
        </w:tc>
        <w:tc>
          <w:tcPr>
            <w:tcW w:type="dxa" w:w="1337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Rate difference</w:t>
            </w:r>
          </w:p>
        </w:tc>
        <w:tc>
          <w:tcPr>
            <w:tcW w:type="dxa" w:w="1337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 xml:space="preserve">McNemar </w:t>
            </w:r>
            <w:r>
              <w:rPr>
                <w:rFonts w:ascii="Times New Roman" w:hAnsi="Times New Roman"/>
                <w:b/>
                <w:i/>
                <w:sz w:val="20"/>
              </w:rPr>
              <w:t>p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b/>
                <w:sz w:val="20"/>
              </w:rPr>
              <w:t>Main analysis</w:t>
            </w:r>
            <w:r>
              <w:rPr>
                <w:rFonts w:ascii="Times New Roman" w:hAnsi="Times New Roman"/>
                <w:sz w:val="20"/>
              </w:rPr>
              <w:t xml:space="preserve"> (interval 7–9 days)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31.0% (65)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59.5% (125)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76 / 16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+28.6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7.7 × 10⁻¹⁰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Objective trigger only (Hb ≤ 8.0 proxy) †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14.3% (30)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49.0% (103)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83 / 10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+34.8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8.3 × 10⁻¹⁴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Objective trigger only (Hb ≤ 7.0 proxy) ‡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1.4% (3)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4.8% (10)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 / 2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+3.3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0.065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Sensitivity: 7-day interval only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199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32.2% (64)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60.3% (120)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71 / 15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+28.1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3.0 × 10⁻⁹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First half of enrollment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105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42.9% (45)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66.7% (70)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35 / 10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+23.8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3.5 × 10⁻⁴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Second half of enrollment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105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19.0% (20)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52.4% (55)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41 / 6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+33.3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7.1 × 10⁻⁷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Drain group 2 days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20.0% (14)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55.7% (39)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29 / 4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+35.7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2.9 × 10⁻⁵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Drain group 3 days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36.4% (51)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61.4% (86)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47 / 12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+25.0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9.6 × 10⁻⁶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No preop anemia (WHO)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163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23.9% (39)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54.0% (88)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60 / 11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+30.1 pp</w:t>
            </w:r>
          </w:p>
        </w:tc>
        <w:tc>
          <w:tcPr>
            <w:tcW w:type="dxa" w:w="1337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1.2 × 10⁻⁸</w:t>
            </w:r>
          </w:p>
        </w:tc>
      </w:tr>
      <w:tr>
        <w:tc>
          <w:tcPr>
            <w:tcW w:type="dxa" w:w="1337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Preop anemia (WHO)</w:t>
            </w:r>
          </w:p>
        </w:tc>
        <w:tc>
          <w:tcPr>
            <w:tcW w:type="dxa" w:w="1337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type="dxa" w:w="1337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55.3% (26)</w:t>
            </w:r>
          </w:p>
        </w:tc>
        <w:tc>
          <w:tcPr>
            <w:tcW w:type="dxa" w:w="1337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78.7% (37)</w:t>
            </w:r>
          </w:p>
        </w:tc>
        <w:tc>
          <w:tcPr>
            <w:tcW w:type="dxa" w:w="1337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16 / 5</w:t>
            </w:r>
          </w:p>
        </w:tc>
        <w:tc>
          <w:tcPr>
            <w:tcW w:type="dxa" w:w="1337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+23.4 pp</w:t>
            </w:r>
          </w:p>
        </w:tc>
        <w:tc>
          <w:tcPr>
            <w:tcW w:type="dxa" w:w="1337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0.027</w:t>
            </w:r>
          </w:p>
        </w:tc>
      </w:tr>
    </w:tbl>
    <w:p>
      <w:pPr>
        <w:spacing w:line="276" w:lineRule="auto"/>
      </w:pPr>
      <w:r>
        <w:rPr>
          <w:rFonts w:ascii="Times New Roman" w:hAnsi="Times New Roman"/>
          <w:b/>
          <w:sz w:val="18"/>
        </w:rPr>
        <w:t>Drain × first-knee-transfusion interaction</w:t>
      </w:r>
      <w:r>
        <w:rPr>
          <w:rFonts w:ascii="Times New Roman" w:hAnsi="Times New Roman"/>
          <w:sz w:val="18"/>
        </w:rPr>
        <w:t xml:space="preserve"> (logistic regression on second-knee transfusion):</w:t>
      </w:r>
    </w:p>
    <w:tbl>
      <w:tblPr>
        <w:tblW w:type="pct" w:w="5000"/>
        <w:jc w:val="center"/>
        <w:tblLayout w:type="autofi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Term</w:t>
            </w:r>
          </w:p>
        </w:tc>
        <w:tc>
          <w:tcPr>
            <w:tcW w:type="dxa" w:w="234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Adjusted OR</w:t>
            </w:r>
          </w:p>
        </w:tc>
        <w:tc>
          <w:tcPr>
            <w:tcW w:type="dxa" w:w="234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95% CI</w:t>
            </w:r>
          </w:p>
        </w:tc>
        <w:tc>
          <w:tcPr>
            <w:tcW w:type="dxa" w:w="234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i/>
                <w:sz w:val="20"/>
              </w:rPr>
              <w:t>p</w:t>
            </w:r>
          </w:p>
        </w:tc>
      </w:tr>
      <w:tr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Drain group 3 days (vs 2 days)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1.04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0.53–2.03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0.90</w:t>
            </w:r>
          </w:p>
        </w:tc>
      </w:tr>
      <w:tr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First-knee transfusion (yes vs no)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2.33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0.65–8.31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0.19</w:t>
            </w:r>
          </w:p>
        </w:tc>
      </w:tr>
      <w:tr>
        <w:tc>
          <w:tcPr>
            <w:tcW w:type="dxa" w:w="234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Drain × first-knee transfusion (interaction)</w:t>
            </w:r>
          </w:p>
        </w:tc>
        <w:tc>
          <w:tcPr>
            <w:tcW w:type="dxa" w:w="234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1.25</w:t>
            </w:r>
          </w:p>
        </w:tc>
        <w:tc>
          <w:tcPr>
            <w:tcW w:type="dxa" w:w="234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0.28–5.52</w:t>
            </w:r>
          </w:p>
        </w:tc>
        <w:tc>
          <w:tcPr>
            <w:tcW w:type="dxa" w:w="234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0.77</w:t>
            </w:r>
          </w:p>
        </w:tc>
      </w:tr>
    </w:tbl>
    <w:p>
      <w:pPr>
        <w:spacing w:line="276" w:lineRule="auto"/>
      </w:pPr>
      <w:r>
        <w:rPr>
          <w:rFonts w:ascii="Times New Roman" w:hAnsi="Times New Roman"/>
          <w:b/>
          <w:sz w:val="18"/>
        </w:rPr>
        <w:t>Preop anemia × first-knee-transfusion interaction</w:t>
      </w:r>
      <w:r>
        <w:rPr>
          <w:rFonts w:ascii="Times New Roman" w:hAnsi="Times New Roman"/>
          <w:sz w:val="18"/>
        </w:rPr>
        <w:t xml:space="preserve"> (post hoc, logistic regression on second-knee transfusion):</w:t>
      </w:r>
    </w:p>
    <w:tbl>
      <w:tblPr>
        <w:tblW w:type="pct" w:w="5000"/>
        <w:jc w:val="center"/>
        <w:tblLayout w:type="autofi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Term</w:t>
            </w:r>
          </w:p>
        </w:tc>
        <w:tc>
          <w:tcPr>
            <w:tcW w:type="dxa" w:w="234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Adjusted OR</w:t>
            </w:r>
          </w:p>
        </w:tc>
        <w:tc>
          <w:tcPr>
            <w:tcW w:type="dxa" w:w="234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95% CI</w:t>
            </w:r>
          </w:p>
        </w:tc>
        <w:tc>
          <w:tcPr>
            <w:tcW w:type="dxa" w:w="2340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i/>
                <w:sz w:val="20"/>
              </w:rPr>
              <w:t>p</w:t>
            </w:r>
          </w:p>
        </w:tc>
      </w:tr>
      <w:tr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Preop anemia (vs none)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3.41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1.18–9.89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0.024</w:t>
            </w:r>
          </w:p>
        </w:tc>
      </w:tr>
      <w:tr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First-knee transfusion (yes vs no)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2.72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1.24–5.93</w:t>
            </w:r>
          </w:p>
        </w:tc>
        <w:tc>
          <w:tcPr>
            <w:tcW w:type="dxa" w:w="2340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0.012</w:t>
            </w:r>
          </w:p>
        </w:tc>
      </w:tr>
      <w:tr>
        <w:tc>
          <w:tcPr>
            <w:tcW w:type="dxa" w:w="234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Preop anemia × first-knee transfusion (interaction)</w:t>
            </w:r>
          </w:p>
        </w:tc>
        <w:tc>
          <w:tcPr>
            <w:tcW w:type="dxa" w:w="234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0.48</w:t>
            </w:r>
          </w:p>
        </w:tc>
        <w:tc>
          <w:tcPr>
            <w:tcW w:type="dxa" w:w="234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0.10–2.40</w:t>
            </w:r>
          </w:p>
        </w:tc>
        <w:tc>
          <w:tcPr>
            <w:tcW w:type="dxa" w:w="2340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0.37</w:t>
            </w:r>
          </w:p>
        </w:tc>
      </w:tr>
    </w:tbl>
    <w:p>
      <w:pPr>
        <w:spacing w:line="276" w:lineRule="auto"/>
      </w:pPr>
      <w:r>
        <w:rPr>
          <w:rFonts w:ascii="Times New Roman" w:hAnsi="Times New Roman"/>
          <w:sz w:val="18"/>
        </w:rPr>
        <w:t xml:space="preserve">The second-knee transfusion excess is highly consistent across every subgroup examined (all McNemar </w:t>
      </w:r>
      <w:r>
        <w:rPr>
          <w:rFonts w:ascii="Times New Roman" w:hAnsi="Times New Roman"/>
          <w:i/>
          <w:sz w:val="18"/>
        </w:rPr>
        <w:t>p</w:t>
      </w:r>
      <w:r>
        <w:rPr>
          <w:rFonts w:ascii="Times New Roman" w:hAnsi="Times New Roman"/>
          <w:sz w:val="18"/>
        </w:rPr>
        <w:t xml:space="preserve"> &lt; 0.05; the largest </w:t>
      </w:r>
      <w:r>
        <w:rPr>
          <w:rFonts w:ascii="Times New Roman" w:hAnsi="Times New Roman"/>
          <w:i/>
          <w:sz w:val="18"/>
        </w:rPr>
        <w:t>p</w:t>
      </w:r>
      <w:r>
        <w:rPr>
          <w:rFonts w:ascii="Times New Roman" w:hAnsi="Times New Roman"/>
          <w:sz w:val="18"/>
        </w:rPr>
        <w:t>-value is 0.027 in the post hoc preoperative-anemia stratum). The 7-day-interval and drain-protocol subgroups were pre-specified; the preoperative-anemia stratification, objective-trigger sensitivity, and calendar-period halves (split at the median operation date) were added post hoc. Although the absolute transfusion rate declined over the study period, the second-knee excess persisted in both halves. Both the drain × first-knee-transfusion interaction (</w:t>
      </w:r>
      <w:r>
        <w:rPr>
          <w:rFonts w:ascii="Times New Roman" w:hAnsi="Times New Roman"/>
          <w:i/>
          <w:sz w:val="18"/>
        </w:rPr>
        <w:t>p</w:t>
      </w:r>
      <w:r>
        <w:rPr>
          <w:rFonts w:ascii="Times New Roman" w:hAnsi="Times New Roman"/>
          <w:sz w:val="18"/>
        </w:rPr>
        <w:t xml:space="preserve"> = 0.77) and the post hoc preop-anemia × first-knee-transfusion interaction (</w:t>
      </w:r>
      <w:r>
        <w:rPr>
          <w:rFonts w:ascii="Times New Roman" w:hAnsi="Times New Roman"/>
          <w:i/>
          <w:sz w:val="18"/>
        </w:rPr>
        <w:t>p</w:t>
      </w:r>
      <w:r>
        <w:rPr>
          <w:rFonts w:ascii="Times New Roman" w:hAnsi="Times New Roman"/>
          <w:sz w:val="18"/>
        </w:rPr>
        <w:t xml:space="preserve"> = 0.37) are non-significant, indicating that the inter-knee asymmetry is preserved across both drain-retention policy and baseline anemia status. The preoperative-anemia stratum shows the highest second-knee transfusion rate in absolute terms (78.7%) while the relative excess remains pronounced.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>† Objective-trigger sensitivity analysis: each transfusion is reclassified by an objective hemoglobin ≤ 8.0 g/dL proxy (the lowest value within the corresponding knee's window), since the per-order indication (objective threshold versus symptomatic anemia) was not separately coded. This is a conservative lower bound on the transfusion rate; the preserved asymmetry indicates that the discretionary symptomatic-anemia trigger did not generate the second-knee excess.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 xml:space="preserve">‡ A stricter objective ≤ 7.0 g/dL proxy markedly lowers the modeled absolute rates (first knee 1.4%, second knee 4.8%) while the second-knee excess remains directional, although at these small counts the paired test is no longer significant (9 versus 2 discordant pairs; </w:t>
      </w:r>
      <w:r>
        <w:rPr>
          <w:rFonts w:ascii="Times New Roman" w:hAnsi="Times New Roman"/>
          <w:i/>
          <w:sz w:val="18"/>
        </w:rPr>
        <w:t>p</w:t>
      </w:r>
      <w:r>
        <w:rPr>
          <w:rFonts w:ascii="Times New Roman" w:hAnsi="Times New Roman"/>
          <w:sz w:val="18"/>
        </w:rPr>
        <w:t xml:space="preserve"> = 0.065). Because transfusion truncates the observed hemoglobin decline, the ≤ 7.0 g/dL counterfactual approximates rather than reproduces what would have occurred under a 7.0 g/dL policy. This analysis quantifies how much of the absolute burden is attributable to the institutional ≤ 8.0 g/dL trigger.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>Abbreviations: Hb = hemoglobin; OR = odds ratio; pp = percentage points; WHO = World Health Organization (anemia: Hb &lt; 12 g/dL for women, &lt; 13 g/dL for men).</w:t>
      </w:r>
    </w:p>
    <w:p/>
    <w:p/>
    <w:p>
      <w:pPr>
        <w:spacing w:before="120" w:after="60"/>
      </w:pPr>
      <w:r>
        <w:rPr>
          <w:rFonts w:ascii="Times New Roman" w:hAnsi="Times New Roman"/>
          <w:b/>
          <w:sz w:val="20"/>
        </w:rPr>
        <w:t>Supplementary Table S3. Perioperative complications (n = 210)</w:t>
      </w:r>
    </w:p>
    <w:tbl>
      <w:tblPr>
        <w:tblW w:type="pct" w:w="5000"/>
        <w:jc w:val="center"/>
        <w:tblLayout w:type="autofi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Event</w:t>
            </w:r>
          </w:p>
        </w:tc>
        <w:tc>
          <w:tcPr>
            <w:tcW w:type="dxa" w:w="1872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n (%)</w:t>
            </w:r>
          </w:p>
        </w:tc>
        <w:tc>
          <w:tcPr>
            <w:tcW w:type="dxa" w:w="1872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>95% CI</w:t>
            </w:r>
          </w:p>
        </w:tc>
        <w:tc>
          <w:tcPr>
            <w:tcW w:type="dxa" w:w="1872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 xml:space="preserve">Fisher </w:t>
            </w:r>
            <w:r>
              <w:rPr>
                <w:rFonts w:ascii="Times New Roman" w:hAnsi="Times New Roman"/>
                <w:b/>
                <w:i/>
                <w:sz w:val="20"/>
              </w:rPr>
              <w:t>p</w:t>
            </w:r>
            <w:r>
              <w:rPr>
                <w:rFonts w:ascii="Times New Roman" w:hAnsi="Times New Roman"/>
                <w:b/>
                <w:sz w:val="20"/>
              </w:rPr>
              <w:t xml:space="preserve"> (vs 2nd-knee transfusion)†</w:t>
            </w:r>
          </w:p>
        </w:tc>
        <w:tc>
          <w:tcPr>
            <w:tcW w:type="dxa" w:w="1872"/>
            <w:vAlign w:val="center"/>
            <w:shd w:fill="FFFFFF" w:val="clear"/>
            <w:tcBorders>
              <w:top w:val="single" w:sz="12" w:color="000000"/>
              <w:bottom w:val="single" w:sz="6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>
              <w:rPr>
                <w:b/>
              </w:rPr>
            </w:r>
            <w:r>
              <w:rPr>
                <w:rFonts w:ascii="Times New Roman" w:hAnsi="Times New Roman"/>
                <w:b/>
                <w:sz w:val="20"/>
              </w:rPr>
              <w:t xml:space="preserve">Holm-adjusted </w:t>
            </w:r>
            <w:r>
              <w:rPr>
                <w:rFonts w:ascii="Times New Roman" w:hAnsi="Times New Roman"/>
                <w:b/>
                <w:i/>
                <w:sz w:val="20"/>
              </w:rPr>
              <w:t>p</w:t>
            </w:r>
          </w:p>
        </w:tc>
      </w:tr>
      <w:tr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Hematoma (either side)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 (0.0%)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0.0–1.8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</w:tr>
      <w:tr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Surgical site infection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 (0.0%)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0.0–1.8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</w:tr>
      <w:tr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Deep vein thrombosis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 (0.0%)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0.0–1.8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</w:tr>
      <w:tr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Pulmonary embolism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 (0.0%)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0.0–1.8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type="dxa" w:w="1872"/>
            <w:vAlign w:val="center"/>
            <w:shd w:fill="FFFFFF" w:val="clear"/>
            <w:tcBorders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</w:tr>
      <w:tr>
        <w:tc>
          <w:tcPr>
            <w:tcW w:type="dxa" w:w="1872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Reoperation (any indication) ‡</w:t>
            </w:r>
          </w:p>
        </w:tc>
        <w:tc>
          <w:tcPr>
            <w:tcW w:type="dxa" w:w="1872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4 (1.9%)</w:t>
            </w:r>
          </w:p>
        </w:tc>
        <w:tc>
          <w:tcPr>
            <w:tcW w:type="dxa" w:w="1872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0.7–4.8</w:t>
            </w:r>
          </w:p>
        </w:tc>
        <w:tc>
          <w:tcPr>
            <w:tcW w:type="dxa" w:w="1872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  <w:tc>
          <w:tcPr>
            <w:tcW w:type="dxa" w:w="1872"/>
            <w:vAlign w:val="center"/>
            <w:shd w:fill="FFFFFF" w:val="clear"/>
            <w:tcBorders>
              <w:bottom w:val="single" w:sz="12" w:color="000000"/>
              <w:left w:val="none" w:sz="0"/>
              <w:right w:val="none" w:sz="0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line="276" w:lineRule="auto"/>
            </w:pPr>
            <w:r/>
            <w:r>
              <w:rPr>
                <w:rFonts w:ascii="Times New Roman" w:hAnsi="Times New Roman"/>
                <w:sz w:val="20"/>
              </w:rPr>
              <w:t>1.00</w:t>
            </w:r>
          </w:p>
        </w:tc>
      </w:tr>
    </w:tbl>
    <w:p>
      <w:pPr>
        <w:spacing w:line="276" w:lineRule="auto"/>
      </w:pPr>
      <w:r>
        <w:rPr>
          <w:rFonts w:ascii="Times New Roman" w:hAnsi="Times New Roman"/>
          <w:sz w:val="18"/>
        </w:rPr>
        <w:t>† Two-sided Fisher's exact test comparing event rate between patients who did vs did not receive transfusion after the second knee. Holm-Bonferroni adjustment applied across the 5 complication tests.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 xml:space="preserve">‡ Indications for the four reoperations were two for arthrofibrosis/stiffness requiring manipulation and one for periprosthetic joint infection (PJI), all within 90 days, and one for aseptic loosening later; </w:t>
      </w:r>
      <w:r>
        <w:rPr>
          <w:rFonts w:ascii="Times New Roman" w:hAnsi="Times New Roman"/>
          <w:b/>
          <w:sz w:val="18"/>
        </w:rPr>
        <w:t>none was for bleeding or hematoma</w:t>
      </w:r>
      <w:r>
        <w:rPr>
          <w:rFonts w:ascii="Times New Roman" w:hAnsi="Times New Roman"/>
          <w:sz w:val="18"/>
        </w:rPr>
        <w:t xml:space="preserve"> (the manipulations reflected insufficient rehabilitation). The prefixed complication panel (hematoma, surgical site infection, deep vein thrombosis, pulmonary embolism) applied 30-day case definitions and recorded no surgical site infection within that surveillance window; the single infection-related reoperation was a deep PJI that presented after the 30-day window. Reoperations were captured over the available institutional follow-up rather than within the 30-day window.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>Complication rates were uniformly low. No hematomas, surgical site infections, or thromboembolic events (deep vein thrombosis or pulmonary embolism) were observed within the 30-day surveillance window. Four reoperations (1.9%) occurred over the available follow-up — none for bleeding or hematoma — and none differed in frequency between transfused and non-transfused patients after Holm correction. The low event rates limit any inference about a transfusion–complication association; with zero events for several outcomes the cohort was underpowered for rare complications and the 30-day surveillance window misses most late periprosthetic joint infections, so these data cannot establish safety, and the upper 95% confidence bound (≈ 1.8%) cannot exclude a clinically meaningful rate.</w:t>
      </w:r>
    </w:p>
    <w:p>
      <w:pPr>
        <w:spacing w:line="276" w:lineRule="auto"/>
      </w:pPr>
      <w:r>
        <w:rPr>
          <w:rFonts w:ascii="Times New Roman" w:hAnsi="Times New Roman"/>
          <w:sz w:val="18"/>
        </w:rPr>
        <w:t>Wilson 95% confidence intervals are reported for proportions to handle zero counts. The upper bound of 1.8% for the zero-count events represents the largest event rate compatible with the observed data at α = 0.05.</w:t>
      </w:r>
    </w:p>
    <w:p/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> PAGE 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before="0" w:after="0"/>
    </w:pPr>
    <w:rPr>
      <w:rFonts w:ascii="Times New Roman" w:hAnsi="Times New Roman" w:cs="Times New Roman" w:eastAsia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