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A054" w14:textId="62648164" w:rsidR="004638AE" w:rsidRPr="004638AE" w:rsidRDefault="00DF3FBD" w:rsidP="004638AE">
      <w:pPr>
        <w:spacing w:after="0" w:line="480" w:lineRule="auto"/>
        <w:rPr>
          <w:rFonts w:ascii="Times New Roman" w:eastAsia="Times New Roman" w:hAnsi="Times New Roman" w:cs="Times New Roman"/>
        </w:rPr>
      </w:pPr>
      <w:r w:rsidRPr="00DF3FBD">
        <w:rPr>
          <w:rFonts w:ascii="Times New Roman" w:eastAsia="Times New Roman" w:hAnsi="Times New Roman" w:cs="Times New Roman"/>
          <w:b/>
          <w:bCs/>
        </w:rPr>
        <w:t>Fig. S3. Distribution and normality assessment of the pre–post change (Δ) in the total clinical deficit score.</w:t>
      </w:r>
      <w:r w:rsidR="004638AE" w:rsidRPr="004638AE">
        <w:rPr>
          <w:rFonts w:ascii="Times New Roman" w:eastAsia="Times New Roman" w:hAnsi="Times New Roman" w:cs="Times New Roman"/>
        </w:rPr>
        <w:br/>
        <w:t xml:space="preserve">Histogram and Q–Q plot of the change Δ (pre-post) in the score, used to assess the approximation to normality supporting the use of the paired Student’s </w:t>
      </w:r>
      <w:r w:rsidR="004638AE" w:rsidRPr="004638AE">
        <w:rPr>
          <w:rFonts w:ascii="Times New Roman" w:eastAsia="Times New Roman" w:hAnsi="Times New Roman" w:cs="Times New Roman"/>
          <w:i/>
          <w:iCs/>
        </w:rPr>
        <w:t>t</w:t>
      </w:r>
      <w:r w:rsidR="004638AE" w:rsidRPr="004638AE">
        <w:rPr>
          <w:rFonts w:ascii="Times New Roman" w:eastAsia="Times New Roman" w:hAnsi="Times New Roman" w:cs="Times New Roman"/>
        </w:rPr>
        <w:t xml:space="preserve"> test.</w:t>
      </w:r>
    </w:p>
    <w:p w14:paraId="7D948C9B" w14:textId="77777777" w:rsidR="004638AE" w:rsidRPr="006B588D" w:rsidRDefault="004638AE" w:rsidP="004638AE">
      <w:pPr>
        <w:pStyle w:val="Prrafodelista"/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</w:p>
    <w:p w14:paraId="46E30B32" w14:textId="33F2204C" w:rsidR="004638AE" w:rsidRPr="0017621C" w:rsidRDefault="004638AE" w:rsidP="0017621C">
      <w:pPr>
        <w:spacing w:after="0" w:line="480" w:lineRule="auto"/>
        <w:rPr>
          <w:rFonts w:ascii="Times New Roman" w:eastAsia="Times New Roman" w:hAnsi="Times New Roman" w:cs="Times New Roman"/>
        </w:rPr>
      </w:pPr>
      <w:r w:rsidRPr="0017621C">
        <w:rPr>
          <w:rFonts w:ascii="Times New Roman" w:eastAsia="Cardo" w:hAnsi="Times New Roman" w:cs="Times New Roman"/>
        </w:rPr>
        <w:t>Fig. S</w:t>
      </w:r>
      <w:r w:rsidR="00816350">
        <w:rPr>
          <w:rFonts w:ascii="Times New Roman" w:eastAsia="Cardo" w:hAnsi="Times New Roman" w:cs="Times New Roman"/>
        </w:rPr>
        <w:t>3</w:t>
      </w:r>
      <w:r w:rsidRPr="0017621C">
        <w:rPr>
          <w:rFonts w:ascii="Times New Roman" w:eastAsia="Cardo" w:hAnsi="Times New Roman" w:cs="Times New Roman"/>
        </w:rPr>
        <w:t>. Distribution and normality assessment of the pre–post change (Δ) in the total clinical deficit score.</w:t>
      </w:r>
    </w:p>
    <w:p w14:paraId="65B0E26D" w14:textId="3910F8F8" w:rsidR="00395794" w:rsidRPr="00395794" w:rsidRDefault="00395794" w:rsidP="00395794">
      <w:pPr>
        <w:spacing w:after="0" w:line="480" w:lineRule="auto"/>
        <w:rPr>
          <w:rFonts w:ascii="Times New Roman" w:eastAsia="Times New Roman" w:hAnsi="Times New Roman" w:cs="Times New Roman"/>
          <w:lang w:val="es-ES"/>
        </w:rPr>
      </w:pPr>
      <w:r w:rsidRPr="00395794">
        <w:rPr>
          <w:rFonts w:ascii="Times New Roman" w:eastAsia="Times New Roman" w:hAnsi="Times New Roman" w:cs="Times New Roman"/>
          <w:noProof/>
          <w:lang w:val="es-ES"/>
        </w:rPr>
        <w:drawing>
          <wp:inline distT="0" distB="0" distL="0" distR="0" wp14:anchorId="6A7D5849" wp14:editId="386EBE15">
            <wp:extent cx="6120130" cy="2336165"/>
            <wp:effectExtent l="0" t="0" r="0" b="6985"/>
            <wp:docPr id="1679196275" name="Imagen 2" descr="Gráfico, Histo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96275" name="Imagen 2" descr="Gráfico, Histo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164CB" w14:textId="60826A23" w:rsidR="004638AE" w:rsidRPr="00395794" w:rsidRDefault="004638AE" w:rsidP="00395794">
      <w:pPr>
        <w:spacing w:after="0" w:line="480" w:lineRule="auto"/>
        <w:rPr>
          <w:rFonts w:ascii="Times New Roman" w:eastAsia="Times New Roman" w:hAnsi="Times New Roman" w:cs="Times New Roman"/>
        </w:rPr>
      </w:pPr>
    </w:p>
    <w:p w14:paraId="74F47B3C" w14:textId="77777777" w:rsidR="004638AE" w:rsidRPr="005A7AE7" w:rsidRDefault="004638AE" w:rsidP="004638AE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5A7AE7">
        <w:rPr>
          <w:rFonts w:ascii="Times New Roman" w:eastAsia="Times New Roman" w:hAnsi="Times New Roman" w:cs="Times New Roman"/>
          <w:lang w:val="en-US"/>
        </w:rPr>
        <w:t xml:space="preserve">Left: histogram of </w:t>
      </w:r>
      <w:r w:rsidRPr="00512C88">
        <w:rPr>
          <w:rFonts w:ascii="Times New Roman" w:eastAsia="Times New Roman" w:hAnsi="Times New Roman" w:cs="Times New Roman"/>
          <w:lang w:val="es-ES"/>
        </w:rPr>
        <w:t>Δ</w:t>
      </w:r>
      <w:r w:rsidRPr="005A7AE7">
        <w:rPr>
          <w:rFonts w:ascii="Times New Roman" w:eastAsia="Times New Roman" w:hAnsi="Times New Roman" w:cs="Times New Roman"/>
          <w:lang w:val="en-US"/>
        </w:rPr>
        <w:t xml:space="preserve"> = pre − post. Right: Q–Q plot of </w:t>
      </w:r>
      <w:r w:rsidRPr="00512C88">
        <w:rPr>
          <w:rFonts w:ascii="Times New Roman" w:eastAsia="Times New Roman" w:hAnsi="Times New Roman" w:cs="Times New Roman"/>
          <w:lang w:val="es-ES"/>
        </w:rPr>
        <w:t>Δ</w:t>
      </w:r>
      <w:r w:rsidRPr="005A7AE7">
        <w:rPr>
          <w:rFonts w:ascii="Times New Roman" w:eastAsia="Times New Roman" w:hAnsi="Times New Roman" w:cs="Times New Roman"/>
          <w:lang w:val="en-US"/>
        </w:rPr>
        <w:t xml:space="preserve"> versus the theoretical normal quantiles. These plots were used to assess the normality assumption underlying the paired Student’s t test.</w:t>
      </w:r>
    </w:p>
    <w:p w14:paraId="6228B58A" w14:textId="77777777" w:rsidR="004638AE" w:rsidRPr="006B588D" w:rsidRDefault="004638AE" w:rsidP="004638AE">
      <w:pPr>
        <w:spacing w:after="0" w:line="48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4638AE" w:rsidRPr="006B588D" w:rsidSect="00462E14">
      <w:footerReference w:type="default" r:id="rId8"/>
      <w:pgSz w:w="11906" w:h="16838"/>
      <w:pgMar w:top="1134" w:right="1134" w:bottom="1134" w:left="1134" w:header="709" w:footer="709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0AB0" w14:textId="77777777" w:rsidR="00B62707" w:rsidRDefault="00B62707">
      <w:pPr>
        <w:spacing w:after="0" w:line="240" w:lineRule="auto"/>
      </w:pPr>
      <w:r>
        <w:separator/>
      </w:r>
    </w:p>
  </w:endnote>
  <w:endnote w:type="continuationSeparator" w:id="0">
    <w:p w14:paraId="61A72EC5" w14:textId="77777777" w:rsidR="00B62707" w:rsidRDefault="00B62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d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9240" w14:textId="77777777" w:rsidR="00462E14" w:rsidRDefault="00462E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27528282" w14:textId="77777777" w:rsidR="00462E14" w:rsidRDefault="00462E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B5C8" w14:textId="77777777" w:rsidR="00B62707" w:rsidRDefault="00B62707">
      <w:pPr>
        <w:spacing w:after="0" w:line="240" w:lineRule="auto"/>
      </w:pPr>
      <w:r>
        <w:separator/>
      </w:r>
    </w:p>
  </w:footnote>
  <w:footnote w:type="continuationSeparator" w:id="0">
    <w:p w14:paraId="6B421EAA" w14:textId="77777777" w:rsidR="00B62707" w:rsidRDefault="00B62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489"/>
    <w:multiLevelType w:val="hybridMultilevel"/>
    <w:tmpl w:val="2E9A248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7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20"/>
    <w:rsid w:val="000C7852"/>
    <w:rsid w:val="0017621C"/>
    <w:rsid w:val="002554D1"/>
    <w:rsid w:val="00395794"/>
    <w:rsid w:val="0046107C"/>
    <w:rsid w:val="00462E14"/>
    <w:rsid w:val="004638AE"/>
    <w:rsid w:val="004B3102"/>
    <w:rsid w:val="005064ED"/>
    <w:rsid w:val="00551BAC"/>
    <w:rsid w:val="00650901"/>
    <w:rsid w:val="00816350"/>
    <w:rsid w:val="00844C85"/>
    <w:rsid w:val="00905878"/>
    <w:rsid w:val="009A0DAB"/>
    <w:rsid w:val="00A96034"/>
    <w:rsid w:val="00B62707"/>
    <w:rsid w:val="00DF3FBD"/>
    <w:rsid w:val="00F0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2C0E"/>
  <w15:chartTrackingRefBased/>
  <w15:docId w15:val="{DDABAA54-20C3-494A-97F4-4A79A28F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E14"/>
    <w:rPr>
      <w:rFonts w:ascii="Aptos" w:eastAsia="Aptos" w:hAnsi="Aptos" w:cs="Aptos"/>
      <w:kern w:val="0"/>
      <w:lang w:val="en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01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1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1D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1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1D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1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1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1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1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1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1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1D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1D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1D2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1D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1D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1D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1D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1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1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1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1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1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1D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1D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1D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1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1D2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1D20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rsid w:val="00462E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2E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2E14"/>
    <w:rPr>
      <w:rFonts w:ascii="Aptos" w:eastAsia="Aptos" w:hAnsi="Aptos" w:cs="Aptos"/>
      <w:kern w:val="0"/>
      <w:sz w:val="20"/>
      <w:szCs w:val="20"/>
      <w:lang w:val="en" w:eastAsia="es-ES"/>
      <w14:ligatures w14:val="none"/>
    </w:rPr>
  </w:style>
  <w:style w:type="table" w:customStyle="1" w:styleId="1">
    <w:name w:val="1"/>
    <w:basedOn w:val="Tablanormal"/>
    <w:rsid w:val="00462E14"/>
    <w:pPr>
      <w:spacing w:after="0" w:line="240" w:lineRule="auto"/>
    </w:pPr>
    <w:rPr>
      <w:rFonts w:ascii="Aptos" w:eastAsia="Aptos" w:hAnsi="Aptos" w:cs="Aptos"/>
      <w:kern w:val="0"/>
      <w:lang w:val="en" w:eastAsia="es-ES"/>
      <w14:ligatures w14:val="none"/>
    </w:rPr>
    <w:tblPr>
      <w:tblStyleRowBandSize w:val="1"/>
      <w:tblStyleColBandSize w:val="1"/>
      <w:tblInd w:w="0" w:type="nil"/>
    </w:tblPr>
  </w:style>
  <w:style w:type="character" w:styleId="Nmerodelnea">
    <w:name w:val="line number"/>
    <w:basedOn w:val="Fuentedeprrafopredeter"/>
    <w:uiPriority w:val="99"/>
    <w:semiHidden/>
    <w:unhideWhenUsed/>
    <w:rsid w:val="0046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493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Castano</dc:creator>
  <cp:keywords/>
  <dc:description/>
  <cp:lastModifiedBy>Lorena Castano</cp:lastModifiedBy>
  <cp:revision>7</cp:revision>
  <dcterms:created xsi:type="dcterms:W3CDTF">2026-02-10T16:35:00Z</dcterms:created>
  <dcterms:modified xsi:type="dcterms:W3CDTF">2026-03-30T15:08:00Z</dcterms:modified>
</cp:coreProperties>
</file>