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31D90" w14:textId="22BDA87D" w:rsidR="008A7018" w:rsidRDefault="008A7018">
      <w:pPr>
        <w:widowControl w:val="0"/>
        <w:pBdr>
          <w:top w:val="nil"/>
          <w:left w:val="nil"/>
          <w:bottom w:val="nil"/>
          <w:right w:val="nil"/>
          <w:between w:val="nil"/>
        </w:pBdr>
        <w:spacing w:line="276" w:lineRule="auto"/>
      </w:pPr>
    </w:p>
    <w:p w14:paraId="6C81ED09" w14:textId="77777777" w:rsidR="008A7018" w:rsidRDefault="008A7018">
      <w:pPr>
        <w:rPr>
          <w:rFonts w:ascii="Arial" w:eastAsia="Arial" w:hAnsi="Arial" w:cs="Arial"/>
        </w:rPr>
      </w:pPr>
    </w:p>
    <w:p w14:paraId="4F6F564C" w14:textId="26AF4D28" w:rsidR="008A7018" w:rsidRDefault="008E5154">
      <w:pPr>
        <w:pBdr>
          <w:bottom w:val="single" w:sz="12" w:space="1" w:color="000000"/>
        </w:pBdr>
        <w:rPr>
          <w:rFonts w:ascii="Arial" w:eastAsia="Arial" w:hAnsi="Arial" w:cs="Arial"/>
          <w:highlight w:val="yellow"/>
        </w:rPr>
      </w:pPr>
      <w:r>
        <w:rPr>
          <w:rFonts w:ascii="Arial" w:eastAsia="Arial" w:hAnsi="Arial" w:cs="Arial"/>
          <w:b/>
          <w:sz w:val="28"/>
          <w:szCs w:val="28"/>
        </w:rPr>
        <w:t>Title of the project</w:t>
      </w:r>
    </w:p>
    <w:p w14:paraId="7C152FAE" w14:textId="74908A18" w:rsidR="008A7018" w:rsidRDefault="008E5154" w:rsidP="00154EA0">
      <w:pPr>
        <w:pStyle w:val="NormaleWeb"/>
        <w:spacing w:before="0" w:beforeAutospacing="0" w:after="160" w:afterAutospacing="0"/>
        <w:jc w:val="both"/>
        <w:rPr>
          <w:rFonts w:ascii="Arial Narrow" w:hAnsi="Arial Narrow"/>
          <w:b/>
          <w:bCs/>
          <w:sz w:val="28"/>
          <w:szCs w:val="28"/>
        </w:rPr>
      </w:pPr>
      <w:r w:rsidRPr="008E5154">
        <w:rPr>
          <w:rFonts w:ascii="Arial Narrow" w:hAnsi="Arial Narrow"/>
          <w:b/>
          <w:bCs/>
          <w:sz w:val="28"/>
          <w:szCs w:val="28"/>
        </w:rPr>
        <w:t>Functional Outcomes of Tele-Prehabilitation Strategies Before Lower Limb Arthroplasty: A Three-Arm Parallel Randomized Clinical Trial</w:t>
      </w:r>
    </w:p>
    <w:p w14:paraId="7F43311E" w14:textId="77777777" w:rsidR="008E5154" w:rsidRDefault="008E5154" w:rsidP="00154EA0">
      <w:pPr>
        <w:pStyle w:val="NormaleWeb"/>
        <w:spacing w:before="0" w:beforeAutospacing="0" w:after="160" w:afterAutospacing="0"/>
        <w:jc w:val="both"/>
        <w:rPr>
          <w:rFonts w:eastAsia="Arial"/>
        </w:rPr>
      </w:pPr>
    </w:p>
    <w:p w14:paraId="53D3315A" w14:textId="65DED6E4" w:rsidR="008A7018" w:rsidRDefault="0076306B">
      <w:pPr>
        <w:rPr>
          <w:rFonts w:ascii="Arial" w:eastAsia="Arial" w:hAnsi="Arial" w:cs="Arial"/>
        </w:rPr>
      </w:pPr>
      <w:r>
        <w:rPr>
          <w:rFonts w:ascii="Arial" w:eastAsia="Arial" w:hAnsi="Arial" w:cs="Arial"/>
        </w:rPr>
        <w:t xml:space="preserve">Principal Investigator (P.I.): </w:t>
      </w:r>
      <w:proofErr w:type="spellStart"/>
      <w:r>
        <w:rPr>
          <w:rFonts w:ascii="Arial" w:eastAsia="Arial" w:hAnsi="Arial" w:cs="Arial"/>
        </w:rPr>
        <w:t>dott</w:t>
      </w:r>
      <w:proofErr w:type="spellEnd"/>
      <w:r>
        <w:rPr>
          <w:rFonts w:ascii="Arial" w:eastAsia="Arial" w:hAnsi="Arial" w:cs="Arial"/>
        </w:rPr>
        <w:t>. Luca Marin Ft, Ph.D.</w:t>
      </w:r>
    </w:p>
    <w:p w14:paraId="5B2ADA2F" w14:textId="77777777" w:rsidR="00190D40" w:rsidRDefault="00190D40" w:rsidP="00190D40">
      <w:pPr>
        <w:spacing w:after="60"/>
        <w:jc w:val="both"/>
        <w:rPr>
          <w:rFonts w:ascii="Arial" w:eastAsia="Arial" w:hAnsi="Arial" w:cs="Arial"/>
        </w:rPr>
      </w:pPr>
      <w:r w:rsidRPr="008E5154">
        <w:rPr>
          <w:rFonts w:ascii="Arial" w:eastAsia="Arial" w:hAnsi="Arial" w:cs="Arial"/>
        </w:rPr>
        <w:t>Department of Rehabilitation, Istituto di Cura Città di Pavia, Via Parco Vecchio 27, 27100, Pavia</w:t>
      </w:r>
    </w:p>
    <w:p w14:paraId="16011318" w14:textId="77777777" w:rsidR="00190D40" w:rsidRPr="00154EA0" w:rsidRDefault="00190D40" w:rsidP="00190D40">
      <w:pPr>
        <w:spacing w:after="60"/>
        <w:jc w:val="both"/>
        <w:rPr>
          <w:rFonts w:ascii="Arial" w:eastAsia="Arial" w:hAnsi="Arial" w:cs="Arial"/>
        </w:rPr>
      </w:pPr>
      <w:r w:rsidRPr="008E5154">
        <w:rPr>
          <w:rFonts w:ascii="Arial" w:eastAsia="Arial" w:hAnsi="Arial" w:cs="Arial"/>
        </w:rPr>
        <w:t xml:space="preserve">Laboratory of Adapted </w:t>
      </w:r>
      <w:r>
        <w:rPr>
          <w:rFonts w:ascii="Arial" w:eastAsia="Arial" w:hAnsi="Arial" w:cs="Arial"/>
        </w:rPr>
        <w:t>Motor</w:t>
      </w:r>
      <w:r w:rsidRPr="008E5154">
        <w:rPr>
          <w:rFonts w:ascii="Arial" w:eastAsia="Arial" w:hAnsi="Arial" w:cs="Arial"/>
        </w:rPr>
        <w:t xml:space="preserve"> Activity (LAMA), Department of Public Health, Experimental and Forensic Medicine, University of Pavia</w:t>
      </w:r>
    </w:p>
    <w:p w14:paraId="68192F5F" w14:textId="77777777" w:rsidR="008A7018" w:rsidRDefault="0076306B">
      <w:pPr>
        <w:rPr>
          <w:rFonts w:ascii="Arial" w:eastAsia="Arial" w:hAnsi="Arial" w:cs="Arial"/>
        </w:rPr>
      </w:pPr>
      <w:hyperlink r:id="rId9">
        <w:r>
          <w:rPr>
            <w:rFonts w:ascii="Arial" w:eastAsia="Arial" w:hAnsi="Arial" w:cs="Arial"/>
            <w:color w:val="0563C1"/>
            <w:u w:val="single"/>
          </w:rPr>
          <w:t>luca.marin@unipv.it</w:t>
        </w:r>
      </w:hyperlink>
      <w:r>
        <w:rPr>
          <w:rFonts w:ascii="Arial" w:eastAsia="Arial" w:hAnsi="Arial" w:cs="Arial"/>
        </w:rPr>
        <w:t xml:space="preserve">, </w:t>
      </w:r>
    </w:p>
    <w:p w14:paraId="293B3C02" w14:textId="77777777" w:rsidR="008A7018" w:rsidRDefault="0076306B">
      <w:pPr>
        <w:rPr>
          <w:rFonts w:ascii="Arial" w:eastAsia="Arial" w:hAnsi="Arial" w:cs="Arial"/>
          <w:color w:val="0000FF"/>
        </w:rPr>
      </w:pPr>
      <w:r>
        <w:rPr>
          <w:rFonts w:ascii="Arial" w:eastAsia="Arial" w:hAnsi="Arial" w:cs="Arial"/>
        </w:rPr>
        <w:t xml:space="preserve">0382 433658, 347 2204734 </w:t>
      </w:r>
    </w:p>
    <w:p w14:paraId="39FD5D27" w14:textId="77777777" w:rsidR="008A7018" w:rsidRDefault="008A7018">
      <w:pPr>
        <w:rPr>
          <w:rFonts w:ascii="Arial" w:eastAsia="Arial" w:hAnsi="Arial" w:cs="Arial"/>
        </w:rPr>
      </w:pPr>
    </w:p>
    <w:p w14:paraId="47EB8160" w14:textId="77777777" w:rsidR="008A7018" w:rsidRDefault="008A7018">
      <w:pPr>
        <w:rPr>
          <w:rFonts w:ascii="Arial" w:eastAsia="Arial" w:hAnsi="Arial" w:cs="Arial"/>
        </w:rPr>
      </w:pPr>
    </w:p>
    <w:p w14:paraId="1567C427" w14:textId="77777777" w:rsidR="008A7018" w:rsidRDefault="0076306B">
      <w:pPr>
        <w:rPr>
          <w:rFonts w:ascii="Arial" w:eastAsia="Arial" w:hAnsi="Arial" w:cs="Arial"/>
          <w:b/>
          <w:smallCaps/>
        </w:rPr>
      </w:pPr>
      <w:r>
        <w:br w:type="page"/>
      </w:r>
    </w:p>
    <w:p w14:paraId="080284E8" w14:textId="554ADC72" w:rsidR="008A7018" w:rsidRDefault="008E5154">
      <w:pPr>
        <w:pBdr>
          <w:top w:val="nil"/>
          <w:left w:val="nil"/>
          <w:bottom w:val="nil"/>
          <w:right w:val="nil"/>
          <w:between w:val="nil"/>
        </w:pBdr>
        <w:spacing w:after="60"/>
        <w:jc w:val="both"/>
        <w:rPr>
          <w:rFonts w:ascii="Arial" w:eastAsia="Arial" w:hAnsi="Arial" w:cs="Arial"/>
          <w:color w:val="000000"/>
        </w:rPr>
      </w:pPr>
      <w:r w:rsidRPr="008E5154">
        <w:rPr>
          <w:rFonts w:ascii="Arial" w:eastAsia="Arial" w:hAnsi="Arial" w:cs="Arial"/>
          <w:b/>
          <w:smallCaps/>
          <w:color w:val="000000"/>
        </w:rPr>
        <w:lastRenderedPageBreak/>
        <w:t xml:space="preserve">SIGNATURE FORM FOR THE PROTOCOL   </w:t>
      </w:r>
    </w:p>
    <w:p w14:paraId="63B17891" w14:textId="77777777" w:rsidR="008A7018" w:rsidRDefault="008A7018"/>
    <w:tbl>
      <w:tblPr>
        <w:tblStyle w:val="a"/>
        <w:tblW w:w="8472" w:type="dxa"/>
        <w:tblInd w:w="0" w:type="dxa"/>
        <w:tblLayout w:type="fixed"/>
        <w:tblLook w:val="0000" w:firstRow="0" w:lastRow="0" w:firstColumn="0" w:lastColumn="0" w:noHBand="0" w:noVBand="0"/>
      </w:tblPr>
      <w:tblGrid>
        <w:gridCol w:w="2093"/>
        <w:gridCol w:w="6379"/>
      </w:tblGrid>
      <w:tr w:rsidR="008A7018" w14:paraId="01B37911" w14:textId="77777777">
        <w:trPr>
          <w:trHeight w:val="452"/>
        </w:trPr>
        <w:tc>
          <w:tcPr>
            <w:tcW w:w="2093" w:type="dxa"/>
            <w:vAlign w:val="center"/>
          </w:tcPr>
          <w:p w14:paraId="2A6B4D09" w14:textId="5E9A43F5" w:rsidR="008A7018" w:rsidRDefault="008E5154">
            <w:pPr>
              <w:rPr>
                <w:rFonts w:ascii="Arial" w:eastAsia="Arial" w:hAnsi="Arial" w:cs="Arial"/>
              </w:rPr>
            </w:pPr>
            <w:r>
              <w:rPr>
                <w:rFonts w:ascii="Arial" w:eastAsia="Arial" w:hAnsi="Arial" w:cs="Arial"/>
              </w:rPr>
              <w:t>Title of the study</w:t>
            </w:r>
          </w:p>
        </w:tc>
        <w:tc>
          <w:tcPr>
            <w:tcW w:w="6379" w:type="dxa"/>
            <w:vAlign w:val="center"/>
          </w:tcPr>
          <w:p w14:paraId="71771D7F" w14:textId="07E7C28D" w:rsidR="008A7018" w:rsidRDefault="008A7018">
            <w:pPr>
              <w:pBdr>
                <w:top w:val="nil"/>
                <w:left w:val="nil"/>
                <w:bottom w:val="nil"/>
                <w:right w:val="nil"/>
                <w:between w:val="nil"/>
              </w:pBdr>
              <w:rPr>
                <w:rFonts w:ascii="Arial" w:eastAsia="Arial" w:hAnsi="Arial" w:cs="Arial"/>
                <w:i/>
                <w:color w:val="0000FF"/>
              </w:rPr>
            </w:pPr>
          </w:p>
        </w:tc>
      </w:tr>
    </w:tbl>
    <w:p w14:paraId="59097366" w14:textId="3ED9E049" w:rsidR="00E931C0" w:rsidRPr="00004987" w:rsidRDefault="000E0B2C">
      <w:pPr>
        <w:pBdr>
          <w:top w:val="nil"/>
          <w:left w:val="nil"/>
          <w:bottom w:val="nil"/>
          <w:right w:val="nil"/>
          <w:between w:val="nil"/>
        </w:pBdr>
        <w:spacing w:after="60"/>
        <w:jc w:val="both"/>
        <w:rPr>
          <w:color w:val="FF0000"/>
        </w:rPr>
      </w:pPr>
      <w:r w:rsidRPr="000E0B2C">
        <w:rPr>
          <w:rFonts w:ascii="Arial Narrow" w:hAnsi="Arial Narrow"/>
          <w:b/>
          <w:bCs/>
        </w:rPr>
        <w:t>Functional Outcomes of Tele-Prehabilitation Strategies Before Lower Limb Arthroplasty: A Three-Arm Parallel Randomized Clinical Tria</w:t>
      </w:r>
      <w:r>
        <w:rPr>
          <w:rFonts w:ascii="Arial Narrow" w:hAnsi="Arial Narrow"/>
          <w:b/>
          <w:bCs/>
        </w:rPr>
        <w:t>l</w:t>
      </w:r>
      <w:r w:rsidR="00E931C0" w:rsidRPr="00004987">
        <w:rPr>
          <w:rFonts w:ascii="Arial Narrow" w:hAnsi="Arial Narrow"/>
          <w:b/>
          <w:bCs/>
        </w:rPr>
        <w:t>.</w:t>
      </w:r>
    </w:p>
    <w:p w14:paraId="48A1097F" w14:textId="77777777" w:rsidR="008A7018" w:rsidRDefault="008A7018">
      <w:pPr>
        <w:pBdr>
          <w:top w:val="nil"/>
          <w:left w:val="nil"/>
          <w:bottom w:val="nil"/>
          <w:right w:val="nil"/>
          <w:between w:val="nil"/>
        </w:pBdr>
        <w:spacing w:after="60"/>
        <w:jc w:val="both"/>
      </w:pPr>
    </w:p>
    <w:p w14:paraId="64F62CAB" w14:textId="33B9FBF5" w:rsidR="008A7018" w:rsidRPr="00154EA0" w:rsidRDefault="008E5154">
      <w:pPr>
        <w:pBdr>
          <w:top w:val="nil"/>
          <w:left w:val="nil"/>
          <w:bottom w:val="nil"/>
          <w:right w:val="nil"/>
          <w:between w:val="nil"/>
        </w:pBdr>
        <w:spacing w:after="60"/>
        <w:jc w:val="both"/>
        <w:rPr>
          <w:rFonts w:ascii="Arial" w:eastAsia="Arial" w:hAnsi="Arial" w:cs="Arial"/>
          <w:color w:val="000000"/>
        </w:rPr>
      </w:pPr>
      <w:r w:rsidRPr="008E5154">
        <w:rPr>
          <w:rFonts w:ascii="Arial" w:eastAsia="Arial" w:hAnsi="Arial" w:cs="Arial"/>
          <w:color w:val="000000"/>
        </w:rPr>
        <w:t>The Principal Investigator has approved version 3 of the protocol (dated December 1, 2023) and hereby confirms that the study will be conducted in accordance with the protocol, the current version of the Declaration of Helsinki published by the World Medical Association, and the principles of Good Clinical Practice</w:t>
      </w:r>
      <w:r w:rsidR="0076306B" w:rsidRPr="00154EA0">
        <w:rPr>
          <w:rFonts w:ascii="Arial" w:eastAsia="Arial" w:hAnsi="Arial" w:cs="Arial"/>
          <w:color w:val="000000"/>
        </w:rPr>
        <w:t xml:space="preserve">. </w:t>
      </w:r>
    </w:p>
    <w:p w14:paraId="531C8CAA" w14:textId="77777777" w:rsidR="008A7018" w:rsidRPr="00154EA0" w:rsidRDefault="008A7018">
      <w:pPr>
        <w:pBdr>
          <w:top w:val="nil"/>
          <w:left w:val="nil"/>
          <w:bottom w:val="nil"/>
          <w:right w:val="nil"/>
          <w:between w:val="nil"/>
        </w:pBdr>
        <w:spacing w:before="180" w:after="60"/>
        <w:rPr>
          <w:rFonts w:ascii="Arial" w:eastAsia="Arial" w:hAnsi="Arial" w:cs="Arial"/>
          <w:b/>
          <w:color w:val="000000"/>
        </w:rPr>
      </w:pPr>
    </w:p>
    <w:p w14:paraId="094D28DB" w14:textId="3FA24B6F" w:rsidR="008A7018" w:rsidRPr="00154EA0" w:rsidRDefault="0076306B">
      <w:pPr>
        <w:pBdr>
          <w:top w:val="nil"/>
          <w:left w:val="nil"/>
          <w:bottom w:val="nil"/>
          <w:right w:val="nil"/>
          <w:between w:val="nil"/>
        </w:pBdr>
        <w:spacing w:before="180" w:after="60"/>
        <w:rPr>
          <w:rFonts w:ascii="Arial" w:eastAsia="Arial" w:hAnsi="Arial" w:cs="Arial"/>
          <w:b/>
          <w:color w:val="000000"/>
        </w:rPr>
      </w:pPr>
      <w:r w:rsidRPr="00154EA0">
        <w:rPr>
          <w:rFonts w:ascii="Arial" w:eastAsia="Arial" w:hAnsi="Arial" w:cs="Arial"/>
          <w:b/>
          <w:color w:val="000000"/>
        </w:rPr>
        <w:t xml:space="preserve">Principal Investigator: </w:t>
      </w:r>
    </w:p>
    <w:p w14:paraId="70251DE4" w14:textId="77777777" w:rsidR="008A7018" w:rsidRPr="00154EA0" w:rsidRDefault="008A7018">
      <w:pPr>
        <w:pBdr>
          <w:top w:val="nil"/>
          <w:left w:val="nil"/>
          <w:bottom w:val="nil"/>
          <w:right w:val="nil"/>
          <w:between w:val="nil"/>
        </w:pBdr>
        <w:spacing w:after="60"/>
        <w:jc w:val="both"/>
        <w:rPr>
          <w:rFonts w:ascii="Arial" w:eastAsia="Arial" w:hAnsi="Arial" w:cs="Arial"/>
          <w:color w:val="000000"/>
        </w:rPr>
      </w:pPr>
    </w:p>
    <w:p w14:paraId="5C2D6AEC" w14:textId="60A5E5E6" w:rsidR="00BE7021" w:rsidRPr="00154EA0" w:rsidRDefault="00190D40">
      <w:pPr>
        <w:spacing w:after="60"/>
        <w:jc w:val="both"/>
        <w:rPr>
          <w:rFonts w:ascii="Arial" w:eastAsia="Arial" w:hAnsi="Arial" w:cs="Arial"/>
        </w:rPr>
      </w:pPr>
      <w:r>
        <w:rPr>
          <w:rFonts w:ascii="Arial" w:eastAsia="Arial" w:hAnsi="Arial" w:cs="Arial"/>
        </w:rPr>
        <w:t>Name and Family name</w:t>
      </w:r>
      <w:r w:rsidR="0076306B" w:rsidRPr="00154EA0">
        <w:rPr>
          <w:rFonts w:ascii="Arial" w:eastAsia="Arial" w:hAnsi="Arial" w:cs="Arial"/>
        </w:rPr>
        <w:t xml:space="preserve">: </w:t>
      </w:r>
      <w:r w:rsidR="0076306B" w:rsidRPr="00154EA0">
        <w:rPr>
          <w:rFonts w:ascii="Arial" w:eastAsia="Arial" w:hAnsi="Arial" w:cs="Arial"/>
          <w:b/>
        </w:rPr>
        <w:t>Luca Marin</w:t>
      </w:r>
    </w:p>
    <w:p w14:paraId="1C1D8D86" w14:textId="590FC319" w:rsidR="00BE7021" w:rsidRDefault="008E5154" w:rsidP="00BE7021">
      <w:pPr>
        <w:spacing w:after="60"/>
        <w:jc w:val="both"/>
        <w:rPr>
          <w:rFonts w:ascii="Arial" w:eastAsia="Arial" w:hAnsi="Arial" w:cs="Arial"/>
        </w:rPr>
      </w:pPr>
      <w:r w:rsidRPr="008E5154">
        <w:rPr>
          <w:rFonts w:ascii="Arial" w:eastAsia="Arial" w:hAnsi="Arial" w:cs="Arial"/>
        </w:rPr>
        <w:t>Department of Rehabilitation, Istituto di Cura Città di Pavia, Via Parco Vecchio 27, 27100, Pavia</w:t>
      </w:r>
    </w:p>
    <w:p w14:paraId="74665F2C" w14:textId="1E9451AE" w:rsidR="008E5154" w:rsidRPr="00154EA0" w:rsidRDefault="008E5154" w:rsidP="00BE7021">
      <w:pPr>
        <w:spacing w:after="60"/>
        <w:jc w:val="both"/>
        <w:rPr>
          <w:rFonts w:ascii="Arial" w:eastAsia="Arial" w:hAnsi="Arial" w:cs="Arial"/>
        </w:rPr>
      </w:pPr>
      <w:r w:rsidRPr="008E5154">
        <w:rPr>
          <w:rFonts w:ascii="Arial" w:eastAsia="Arial" w:hAnsi="Arial" w:cs="Arial"/>
        </w:rPr>
        <w:t xml:space="preserve">Laboratory of Adapted </w:t>
      </w:r>
      <w:r>
        <w:rPr>
          <w:rFonts w:ascii="Arial" w:eastAsia="Arial" w:hAnsi="Arial" w:cs="Arial"/>
        </w:rPr>
        <w:t>Motor</w:t>
      </w:r>
      <w:r w:rsidRPr="008E5154">
        <w:rPr>
          <w:rFonts w:ascii="Arial" w:eastAsia="Arial" w:hAnsi="Arial" w:cs="Arial"/>
        </w:rPr>
        <w:t xml:space="preserve"> Activity (LAMA), Department of Public Health, Experimental and Forensic Medicine, University of Pavia</w:t>
      </w:r>
    </w:p>
    <w:p w14:paraId="0995E246" w14:textId="44BEEA0D" w:rsidR="008A7018" w:rsidRPr="00154EA0" w:rsidRDefault="008A7018">
      <w:pPr>
        <w:spacing w:after="60"/>
        <w:jc w:val="both"/>
        <w:rPr>
          <w:rFonts w:ascii="Arial" w:eastAsia="Arial" w:hAnsi="Arial" w:cs="Arial"/>
        </w:rPr>
      </w:pPr>
    </w:p>
    <w:p w14:paraId="6B25BF93" w14:textId="223355DA" w:rsidR="00C416AD" w:rsidRPr="00154EA0" w:rsidRDefault="00C416AD">
      <w:pPr>
        <w:spacing w:after="60"/>
        <w:jc w:val="both"/>
        <w:rPr>
          <w:rFonts w:ascii="Arial" w:eastAsia="Arial" w:hAnsi="Arial" w:cs="Arial"/>
        </w:rPr>
      </w:pPr>
    </w:p>
    <w:p w14:paraId="267151F5" w14:textId="6461DB99" w:rsidR="00C416AD" w:rsidRPr="00154EA0" w:rsidRDefault="00C416AD">
      <w:pPr>
        <w:spacing w:after="60"/>
        <w:jc w:val="both"/>
        <w:rPr>
          <w:rFonts w:ascii="Arial" w:eastAsia="Arial" w:hAnsi="Arial" w:cs="Arial"/>
        </w:rPr>
      </w:pPr>
    </w:p>
    <w:p w14:paraId="1932743F" w14:textId="02FF2EB9" w:rsidR="00C416AD" w:rsidRPr="00154EA0" w:rsidRDefault="00C416AD">
      <w:pPr>
        <w:spacing w:after="60"/>
        <w:jc w:val="both"/>
        <w:rPr>
          <w:rFonts w:ascii="Arial" w:eastAsia="Arial" w:hAnsi="Arial" w:cs="Arial"/>
        </w:rPr>
      </w:pPr>
    </w:p>
    <w:p w14:paraId="12B0217D" w14:textId="77777777" w:rsidR="00D34053" w:rsidRPr="00154EA0" w:rsidRDefault="00D34053">
      <w:pPr>
        <w:spacing w:after="60"/>
        <w:jc w:val="both"/>
        <w:rPr>
          <w:rFonts w:ascii="Arial" w:eastAsia="Arial" w:hAnsi="Arial" w:cs="Arial"/>
        </w:rPr>
      </w:pPr>
    </w:p>
    <w:p w14:paraId="2F86C07D" w14:textId="77777777" w:rsidR="008A7018" w:rsidRDefault="008A7018">
      <w:pPr>
        <w:pBdr>
          <w:top w:val="nil"/>
          <w:left w:val="nil"/>
          <w:bottom w:val="nil"/>
          <w:right w:val="nil"/>
          <w:between w:val="nil"/>
        </w:pBdr>
        <w:spacing w:after="60"/>
        <w:jc w:val="both"/>
        <w:rPr>
          <w:rFonts w:ascii="Arial" w:eastAsia="Arial" w:hAnsi="Arial" w:cs="Arial"/>
          <w:color w:val="000000"/>
        </w:rPr>
      </w:pPr>
    </w:p>
    <w:p w14:paraId="5F93583F" w14:textId="77777777" w:rsidR="008A7018" w:rsidRDefault="008A7018">
      <w:pPr>
        <w:rPr>
          <w:rFonts w:ascii="Arial" w:eastAsia="Arial" w:hAnsi="Arial" w:cs="Arial"/>
          <w:smallCaps/>
        </w:rPr>
      </w:pPr>
    </w:p>
    <w:p w14:paraId="3BF861AD" w14:textId="611F5FA1" w:rsidR="008A7018" w:rsidRDefault="0076306B">
      <w:pPr>
        <w:pBdr>
          <w:top w:val="nil"/>
          <w:left w:val="nil"/>
          <w:bottom w:val="nil"/>
          <w:right w:val="nil"/>
          <w:between w:val="nil"/>
        </w:pBdr>
        <w:tabs>
          <w:tab w:val="left" w:pos="3969"/>
          <w:tab w:val="left" w:pos="9072"/>
        </w:tabs>
        <w:spacing w:before="480" w:after="60"/>
        <w:jc w:val="both"/>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p>
    <w:p w14:paraId="42C7F095" w14:textId="77777777" w:rsidR="008A7018" w:rsidRDefault="008A7018">
      <w:pPr>
        <w:rPr>
          <w:rFonts w:ascii="Arial" w:eastAsia="Arial" w:hAnsi="Arial" w:cs="Arial"/>
          <w:smallCaps/>
          <w:sz w:val="28"/>
          <w:szCs w:val="28"/>
        </w:rPr>
      </w:pPr>
    </w:p>
    <w:p w14:paraId="0B654997" w14:textId="77777777" w:rsidR="008A7018" w:rsidRDefault="008A7018">
      <w:pPr>
        <w:rPr>
          <w:rFonts w:ascii="Arial" w:eastAsia="Arial" w:hAnsi="Arial" w:cs="Arial"/>
          <w:smallCaps/>
          <w:sz w:val="28"/>
          <w:szCs w:val="28"/>
        </w:rPr>
      </w:pPr>
    </w:p>
    <w:p w14:paraId="47C4E7F1" w14:textId="77777777" w:rsidR="008A7018" w:rsidRDefault="008A7018">
      <w:pPr>
        <w:rPr>
          <w:rFonts w:ascii="Arial" w:eastAsia="Arial" w:hAnsi="Arial" w:cs="Arial"/>
          <w:smallCaps/>
          <w:sz w:val="28"/>
          <w:szCs w:val="28"/>
        </w:rPr>
      </w:pPr>
    </w:p>
    <w:p w14:paraId="6802EA55" w14:textId="3B3698BE" w:rsidR="008A7018" w:rsidRDefault="008A7018">
      <w:pPr>
        <w:rPr>
          <w:rFonts w:ascii="Arial" w:eastAsia="Arial" w:hAnsi="Arial" w:cs="Arial"/>
          <w:smallCaps/>
          <w:sz w:val="28"/>
          <w:szCs w:val="28"/>
        </w:rPr>
      </w:pPr>
    </w:p>
    <w:p w14:paraId="388E76DB" w14:textId="4C72947D" w:rsidR="00C0781D" w:rsidRDefault="00C0781D">
      <w:pPr>
        <w:rPr>
          <w:rFonts w:ascii="Arial" w:eastAsia="Arial" w:hAnsi="Arial" w:cs="Arial"/>
          <w:smallCaps/>
          <w:sz w:val="28"/>
          <w:szCs w:val="28"/>
        </w:rPr>
      </w:pPr>
    </w:p>
    <w:p w14:paraId="62B74C96" w14:textId="2D01F3C8" w:rsidR="00C0781D" w:rsidRDefault="00C0781D">
      <w:pPr>
        <w:rPr>
          <w:rFonts w:ascii="Arial" w:eastAsia="Arial" w:hAnsi="Arial" w:cs="Arial"/>
          <w:smallCaps/>
          <w:sz w:val="28"/>
          <w:szCs w:val="28"/>
        </w:rPr>
      </w:pPr>
    </w:p>
    <w:p w14:paraId="451EFD0C" w14:textId="0F401733" w:rsidR="008A7018" w:rsidRDefault="008A7018">
      <w:pPr>
        <w:rPr>
          <w:rFonts w:ascii="Arial" w:eastAsia="Arial" w:hAnsi="Arial" w:cs="Arial"/>
          <w:smallCaps/>
          <w:sz w:val="28"/>
          <w:szCs w:val="28"/>
        </w:rPr>
      </w:pPr>
    </w:p>
    <w:p w14:paraId="684A1A32" w14:textId="5F6F8A86" w:rsidR="006656D4" w:rsidRPr="006656D4" w:rsidRDefault="006656D4" w:rsidP="000E0B2C">
      <w:pPr>
        <w:rPr>
          <w:rFonts w:ascii="Arial" w:eastAsia="Arial" w:hAnsi="Arial" w:cs="Arial"/>
          <w:b/>
          <w:bCs/>
          <w:smallCaps/>
        </w:rPr>
      </w:pPr>
    </w:p>
    <w:p w14:paraId="067021B8" w14:textId="77777777" w:rsidR="002A1A48" w:rsidRPr="009E362F" w:rsidRDefault="002A1A48">
      <w:pPr>
        <w:rPr>
          <w:rFonts w:ascii="Arial" w:eastAsia="Arial" w:hAnsi="Arial" w:cs="Arial"/>
        </w:rPr>
      </w:pPr>
    </w:p>
    <w:p w14:paraId="183E5F20" w14:textId="313A9251" w:rsidR="008A7018" w:rsidRPr="00154EA0" w:rsidRDefault="008E5154" w:rsidP="000E630C">
      <w:pPr>
        <w:pStyle w:val="Titolo1"/>
        <w:numPr>
          <w:ilvl w:val="0"/>
          <w:numId w:val="11"/>
        </w:numPr>
        <w:ind w:left="284" w:hanging="284"/>
        <w:rPr>
          <w:color w:val="000000" w:themeColor="text1"/>
          <w:sz w:val="24"/>
          <w:szCs w:val="24"/>
        </w:rPr>
      </w:pPr>
      <w:r>
        <w:rPr>
          <w:color w:val="000000" w:themeColor="text1"/>
          <w:sz w:val="24"/>
          <w:szCs w:val="24"/>
        </w:rPr>
        <w:lastRenderedPageBreak/>
        <w:t>Introduction and rationale</w:t>
      </w:r>
    </w:p>
    <w:p w14:paraId="3DC85647" w14:textId="3773847C" w:rsidR="001A082A" w:rsidRPr="00154EA0" w:rsidRDefault="008E5154" w:rsidP="008E5154">
      <w:pPr>
        <w:pStyle w:val="NormaleWeb"/>
        <w:jc w:val="both"/>
        <w:rPr>
          <w:rFonts w:ascii="Calibri" w:hAnsi="Calibri" w:cs="Calibri"/>
          <w:color w:val="000000" w:themeColor="text1"/>
        </w:rPr>
      </w:pPr>
      <w:r w:rsidRPr="008E5154">
        <w:rPr>
          <w:rFonts w:ascii="Calibri" w:hAnsi="Calibri" w:cs="Calibri"/>
          <w:color w:val="000000" w:themeColor="text1"/>
        </w:rPr>
        <w:t>The number of total hip and knee arthroplasty procedures has increased substantially in recent years and is expected to rise further in the future</w:t>
      </w:r>
      <w:r w:rsidR="002E2ED7">
        <w:rPr>
          <w:rFonts w:ascii="Calibri" w:hAnsi="Calibri" w:cs="Calibri"/>
          <w:color w:val="000000" w:themeColor="text1"/>
        </w:rPr>
        <w:t xml:space="preserve"> </w:t>
      </w:r>
      <w:r w:rsidR="002E2ED7">
        <w:rPr>
          <w:rFonts w:ascii="Calibri" w:hAnsi="Calibri" w:cs="Calibri"/>
          <w:color w:val="000000" w:themeColor="text1"/>
        </w:rPr>
        <w:fldChar w:fldCharType="begin"/>
      </w:r>
      <w:r w:rsidR="002E2ED7">
        <w:rPr>
          <w:rFonts w:ascii="Calibri" w:hAnsi="Calibri" w:cs="Calibri"/>
          <w:color w:val="000000" w:themeColor="text1"/>
        </w:rPr>
        <w:instrText xml:space="preserve"> ADDIN ZOTERO_ITEM CSL_CITATION {"citationID":"mbdRwmBS","properties":{"formattedCitation":"[1]","plainCitation":"[1]","noteIndex":0},"citationItems":[{"id":10014,"uris":["http://zotero.org/users/8514341/items/YRZJ22XP"],"itemData":{"id":10014,"type":"article-journal","abstract":"Background\nLength of stay (LOS) after hip and knee replacement has decreased steadily in the modern era with enhanced recovery protocols, enabling healthcare systems to address rising surgical demand in an ageing, comorbid population. This study examines trends in LOS, patient characteristics, and their associations for NHS-funded procedures in England, covering a period that includes the COVID-19 pandemic.\n\nMethods\nData from the National Joint Registry and Hospital Episode Statistics were linked to identify patients who underwent primary total hip replacement (THR) and total or unicompartmental (partial) knee replacement (TKR/UKR) in England between January 2010 and March 2022. LOS was analysed using flexible parametric models to estimate median values over time, with subsequent adjustment to examine associations between changing patient characteristics. Trends in 30-day readmission rates were also analysed.\n\nResults\nFrom 2010 to 2022, median LOS decreased from 4.26 days (95% CI 4.22 to 4.30) to 2.75 days (95% CI 2.74 to 2.77) for THR, from 4.35 days (95% CI 4.32 to 4.39) to 2.91 days (95% CI 2.90 to 2.92) for TKR, and from 3.2 days (95% CI 3.16 to 3.25) to 1.91 days (95% CI 1.89 to 1.95) for UKR. Variability also decreased. There were no increases in crude 30-day readmission rates. Trends in patient demographics showed increasing comorbidity, obesity, male sex, affluence, and use of the independent sector, all of which were associated with LOS and had the overall effect of slightly attenuating its reduction. Significant changes in patient characteristics occurred around the time of the COVID-19 pandemic but have since resumed previous trends.\n\nConclusions\nPatients in England now typically stay fewer than three days for total hip or knee replacement and under two days for partial knee replacement. Despite demographic trends towards characteristics associated with longer LOS, reductions have occurred independently of these changes, suggesting potential for further shortening. However, as these diverging trends continue, ensuring equitable access to surgery will be increasingly important.\n\nSupplementary Information\nThe online version contains supplementary material available at 10.1186/s12916-025-04294-6.","container-title":"BMC Medicine","DOI":"10.1186/s12916-025-04294-6","ISSN":"1741-7015","journalAbbreviation":"BMC Med","page":"561","PMID":"41088116","PMCID":"PMC12522415","source":"PubMed Central","title":"Trends in hip and knee replacement length of stay and patient demographics in England: a population-based study of 1,455,842 primary procedures","title-short":"Trends in hip and knee replacement length of stay and patient demographics in England","volume":"23","author":[{"family":"French","given":"Jonathan M R"},{"family":"Deere","given":"Kevin"},{"family":"Sayers","given":"Adrian"},{"family":"Whitehouse","given":"Michael R"}],"issued":{"date-parts":[["2025",10,14]]}}}],"schema":"https://github.com/citation-style-language/schema/raw/master/csl-citation.json"} </w:instrText>
      </w:r>
      <w:r w:rsidR="002E2ED7">
        <w:rPr>
          <w:rFonts w:ascii="Calibri" w:hAnsi="Calibri" w:cs="Calibri"/>
          <w:color w:val="000000" w:themeColor="text1"/>
        </w:rPr>
        <w:fldChar w:fldCharType="separate"/>
      </w:r>
      <w:r w:rsidR="002E2ED7">
        <w:rPr>
          <w:rFonts w:ascii="Calibri" w:hAnsi="Calibri" w:cs="Calibri"/>
          <w:noProof/>
          <w:color w:val="000000" w:themeColor="text1"/>
        </w:rPr>
        <w:t>[1]</w:t>
      </w:r>
      <w:r w:rsidR="002E2ED7">
        <w:rPr>
          <w:rFonts w:ascii="Calibri" w:hAnsi="Calibri" w:cs="Calibri"/>
          <w:color w:val="000000" w:themeColor="text1"/>
        </w:rPr>
        <w:fldChar w:fldCharType="end"/>
      </w:r>
      <w:r w:rsidRPr="008E5154">
        <w:rPr>
          <w:rFonts w:ascii="Calibri" w:hAnsi="Calibri" w:cs="Calibri"/>
          <w:color w:val="000000" w:themeColor="text1"/>
        </w:rPr>
        <w:t>. Although lower limb arthroplasty is generally associated with improvements in pain, function, and quality of life, postoperative recovery remains variable, and some patients continue to experience muscle weakness, functional limitations, impaired mobility, and persistent pain after surgery</w:t>
      </w:r>
      <w:r w:rsidR="002E2ED7">
        <w:rPr>
          <w:rFonts w:ascii="Calibri" w:hAnsi="Calibri" w:cs="Calibri"/>
          <w:color w:val="000000" w:themeColor="text1"/>
        </w:rPr>
        <w:t xml:space="preserve"> </w:t>
      </w:r>
      <w:r w:rsidR="002E2ED7">
        <w:rPr>
          <w:rFonts w:ascii="Calibri" w:hAnsi="Calibri" w:cs="Calibri"/>
          <w:color w:val="000000" w:themeColor="text1"/>
        </w:rPr>
        <w:fldChar w:fldCharType="begin"/>
      </w:r>
      <w:r w:rsidR="002E2ED7">
        <w:rPr>
          <w:rFonts w:ascii="Calibri" w:hAnsi="Calibri" w:cs="Calibri"/>
          <w:color w:val="000000" w:themeColor="text1"/>
        </w:rPr>
        <w:instrText xml:space="preserve"> ADDIN ZOTERO_ITEM CSL_CITATION {"citationID":"sLMgo8ot","properties":{"formattedCitation":"[2]","plainCitation":"[2]","noteIndex":0},"citationItems":[{"id":10016,"uris":["http://zotero.org/users/8514341/items/WM9QDNQJ"],"itemData":{"id":10016,"type":"article-journal","abstract":"Studies have identified demographic, clinical, psychosocial, and perioperative variables associated with persistent pain after a variety of surgeries. This study aimed to perform a systematic review and meta-analysis of factors associated with persistent pain after total knee replacement (TKR) and total hip replacement (THR) surgeries. To meet the inclusion criteria, studies were required to assess variables before or at the time of surgery, include a persistent postsurgical pain (PPSP) outcome measure at least 2 months after a TKR or THR surgery, and include a statistical analysis of the effect of the risk factor(s) on the outcome measure. Outcomes from studies implementing univariate and multivariable statistical models were analyzed separately. Where possible, data from univariate analyses on the same factors were combined in a meta-analysis. Eighty-one studies involving 171,354 patients were included in the review. Because of the heterogeneity of assessment methods, only 44% of the studies allowed meaningful meta-analysis. In meta-analyses, state anxiety (but not trait anxiety) scores and higher depression scores on the Beck Depression Inventory were associated with an increased risk of PPSP after TKR. In the qualitative summary of multivariable analyses, higher preoperative pain scores were associated with PPSP after TKR or THR. This review systematically assessed factors associated with an increased risk of PPSP after TKR and THR and highlights current knowledge gaps that can be addressed by future research.","container-title":"Pain Reports","DOI":"10.1097/PR9.0000000000001052","ISSN":"2471-2531","issue":"1","journalAbbreviation":"Pain Rep","language":"eng","page":"e1052","PMID":"36699992","PMCID":"PMC9833456","source":"PubMed","title":"Factors associated with persistent postsurgical pain after total knee or hip joint replacement: a systematic review and meta-analysis","title-short":"Factors associated with persistent postsurgical pain after total knee or hip joint replacement","volume":"8","author":[{"family":"Ghoshal","given":"Arunangshu"},{"family":"Bhanvadia","given":"Shivam"},{"family":"Singh","given":"Som"},{"family":"Yaeger","given":"Lauren"},{"family":"Haroutounian","given":"Simon"}],"issued":{"date-parts":[["2023",1]]}}}],"schema":"https://github.com/citation-style-language/schema/raw/master/csl-citation.json"} </w:instrText>
      </w:r>
      <w:r w:rsidR="002E2ED7">
        <w:rPr>
          <w:rFonts w:ascii="Calibri" w:hAnsi="Calibri" w:cs="Calibri"/>
          <w:color w:val="000000" w:themeColor="text1"/>
        </w:rPr>
        <w:fldChar w:fldCharType="separate"/>
      </w:r>
      <w:r w:rsidR="002E2ED7">
        <w:rPr>
          <w:rFonts w:ascii="Calibri" w:hAnsi="Calibri" w:cs="Calibri"/>
          <w:noProof/>
          <w:color w:val="000000" w:themeColor="text1"/>
        </w:rPr>
        <w:t>[2]</w:t>
      </w:r>
      <w:r w:rsidR="002E2ED7">
        <w:rPr>
          <w:rFonts w:ascii="Calibri" w:hAnsi="Calibri" w:cs="Calibri"/>
          <w:color w:val="000000" w:themeColor="text1"/>
        </w:rPr>
        <w:fldChar w:fldCharType="end"/>
      </w:r>
      <w:r w:rsidRPr="008E5154">
        <w:rPr>
          <w:rFonts w:ascii="Calibri" w:hAnsi="Calibri" w:cs="Calibri"/>
          <w:color w:val="000000" w:themeColor="text1"/>
        </w:rPr>
        <w:t>. Preoperative physical status is known to influence postoperative recovery after lower limb arthroplasty; however, many patients, particularly older or more fragile individuals, reach surgery with reduced mobility, poor muscle strength, and limited functional capacity</w:t>
      </w:r>
      <w:r w:rsidR="002E2ED7">
        <w:rPr>
          <w:rFonts w:ascii="Calibri" w:hAnsi="Calibri" w:cs="Calibri"/>
          <w:color w:val="000000" w:themeColor="text1"/>
        </w:rPr>
        <w:t xml:space="preserve"> </w:t>
      </w:r>
      <w:r w:rsidR="002E2ED7">
        <w:rPr>
          <w:rFonts w:ascii="Calibri" w:hAnsi="Calibri" w:cs="Calibri"/>
          <w:color w:val="000000" w:themeColor="text1"/>
        </w:rPr>
        <w:fldChar w:fldCharType="begin"/>
      </w:r>
      <w:r w:rsidR="002E2ED7">
        <w:rPr>
          <w:rFonts w:ascii="Calibri" w:hAnsi="Calibri" w:cs="Calibri"/>
          <w:color w:val="000000" w:themeColor="text1"/>
        </w:rPr>
        <w:instrText xml:space="preserve"> ADDIN ZOTERO_ITEM CSL_CITATION {"citationID":"WEWdBLOO","properties":{"formattedCitation":"[3]","plainCitation":"[3]","noteIndex":0},"citationItems":[{"id":10018,"uris":["http://zotero.org/users/8514341/items/SCTAUSJ7"],"itemData":{"id":10018,"type":"article-journal","abstract":"Background\nThis systematic review examines which patient related factors influence functional and clinical outcomes after total hip arthroplasty (THA) in patients with hip osteoarthritis (OA).\n\nMethods\nWe performed a systematic review according to the PRISMA guidelines. We searched databases and trial registries for prospective studies including OA patients who underwent primary THA. Studies with preoperative measurements on predictors, with at least 1 year follow-up were included. Risk of bias and confounding was assessed for two domains: follow-up rate and looking at independent effects.\n\nResults\nThirty-five studies were included (138,039 patients). Only nine studies (29 %) had low risk of bias for all domains thus suggesting an overall low quality of evidence. Studies were heterogeneous in the predictors tested and in the observed directions of the associations. Overall, preoperative function (13 studies (37 %), 2 with low risk of bias) and radiological OA (6 studies (17 %), 1 with low risk of bias) were predictors with the most consistent findings. Worse preoperative function and more severe radiological OA were associated with larger postoperative improvement. However, these patients never reached the level of postoperative functioning as patients with better preoperative function or less severe radiological OA. For age, gender, comorbidity, pain and quality of life the results of studies were conflicting. For BMI, some studies (n = 5, 2 with low risk of bias) found worse outcomes for patients with higher BMI. However, substantial improvement was still achieved regardless of their BMI.\n\nConclusion\nThere is not enough evidence to draw succinct conclusions on preoperative predictors for postoperative outcome in THA, as results of studies are conflicting and the methodological quality is low. Results suggest to focus on preoperative function and radiological osteoarthritis to decide when THA will be most effective. The present mapping of current evidence on the relationship between patient related factors and outcomes provides better information compared to individual studies and may help to set patient expectations before surgery. In addition, these findings may contribute to discussions on how to achieve the best possible postoperative outcome for specific patient groups.\n\nTrial registration\nThis systematic review was registered in Prospero, registration number RD42014009977.\n\nElectronic supplementary material\nThe online version of this article (doi:10.1186/s12891-016-1070-3) contains supplementary material, which is available to authorized users.","container-title":"BMC Musculoskeletal Disorders","DOI":"10.1186/s12891-016-1070-3","ISSN":"1471-2474","journalAbbreviation":"BMC Musculoskelet Disord","page":"212","PMID":"27184266","PMCID":"PMC4869370","source":"PubMed Central","title":"Preoperative predictors for outcomes after total hip replacement in patients with osteoarthritis: a systematic review","title-short":"Preoperative predictors for outcomes after total hip replacement in patients with osteoarthritis","volume":"17","author":[{"family":"Hofstede","given":"Stefanie N."},{"family":"Gademan","given":"Maaike G. J."},{"family":"Vliet Vlieland","given":"Thea P. M."},{"family":"Nelissen","given":"Rob G. H. H."},{"family":"Marang-van de Mheen","given":"Perla J."}],"issued":{"date-parts":[["2016",5,17]]}}}],"schema":"https://github.com/citation-style-language/schema/raw/master/csl-citation.json"} </w:instrText>
      </w:r>
      <w:r w:rsidR="002E2ED7">
        <w:rPr>
          <w:rFonts w:ascii="Calibri" w:hAnsi="Calibri" w:cs="Calibri"/>
          <w:color w:val="000000" w:themeColor="text1"/>
        </w:rPr>
        <w:fldChar w:fldCharType="separate"/>
      </w:r>
      <w:r w:rsidR="002E2ED7">
        <w:rPr>
          <w:rFonts w:ascii="Calibri" w:hAnsi="Calibri" w:cs="Calibri"/>
          <w:noProof/>
          <w:color w:val="000000" w:themeColor="text1"/>
        </w:rPr>
        <w:t>[3]</w:t>
      </w:r>
      <w:r w:rsidR="002E2ED7">
        <w:rPr>
          <w:rFonts w:ascii="Calibri" w:hAnsi="Calibri" w:cs="Calibri"/>
          <w:color w:val="000000" w:themeColor="text1"/>
        </w:rPr>
        <w:fldChar w:fldCharType="end"/>
      </w:r>
      <w:r w:rsidRPr="008E5154">
        <w:rPr>
          <w:rFonts w:ascii="Calibri" w:hAnsi="Calibri" w:cs="Calibri"/>
          <w:color w:val="000000" w:themeColor="text1"/>
        </w:rPr>
        <w:t>.</w:t>
      </w:r>
      <w:r>
        <w:rPr>
          <w:rFonts w:ascii="Calibri" w:hAnsi="Calibri" w:cs="Calibri"/>
          <w:color w:val="000000" w:themeColor="text1"/>
        </w:rPr>
        <w:t xml:space="preserve"> </w:t>
      </w:r>
      <w:r w:rsidRPr="008E5154">
        <w:rPr>
          <w:rFonts w:ascii="Calibri" w:hAnsi="Calibri" w:cs="Calibri"/>
          <w:color w:val="000000" w:themeColor="text1"/>
        </w:rPr>
        <w:t>It is therefore important to identify strategies that may improve preoperative functional status in patients scheduled for elective total hip or knee arthroplasty</w:t>
      </w:r>
      <w:r w:rsidR="002E2ED7">
        <w:rPr>
          <w:rFonts w:ascii="Calibri" w:hAnsi="Calibri" w:cs="Calibri"/>
          <w:color w:val="000000" w:themeColor="text1"/>
        </w:rPr>
        <w:t xml:space="preserve"> </w:t>
      </w:r>
      <w:r w:rsidR="002E2ED7">
        <w:rPr>
          <w:rFonts w:ascii="Calibri" w:hAnsi="Calibri" w:cs="Calibri"/>
          <w:color w:val="000000" w:themeColor="text1"/>
        </w:rPr>
        <w:fldChar w:fldCharType="begin"/>
      </w:r>
      <w:r w:rsidR="002E2ED7">
        <w:rPr>
          <w:rFonts w:ascii="Calibri" w:hAnsi="Calibri" w:cs="Calibri"/>
          <w:color w:val="000000" w:themeColor="text1"/>
        </w:rPr>
        <w:instrText xml:space="preserve"> ADDIN ZOTERO_ITEM CSL_CITATION {"citationID":"MAFYhseV","properties":{"formattedCitation":"[4\\uc0\\u8211{}6]","plainCitation":"[4–6]","noteIndex":0},"citationItems":[{"id":10020,"uris":["http://zotero.org/users/8514341/items/PCNVHZSI"],"itemData":{"id":10020,"type":"article-journal","abstract":"Objective\nTo develop clinical practice guidelines concerning preoperative rehabilitation for hip and knee total arthroplasty.\nMethod\nWe used the SOFMER (French Physical Medicine and Rehabilitation Society) methodology, combining systematic literature review, collection of everyday clinical practice, and external review by a multidisciplinary expert panel, to develop the guidelines. Main outcomes considered in the recommendations were impairment, disability, medico-economic implications and postoperative complications.\nResults\nA preoperative rehabilitation program, comprising at least physical therapy and education, is recommended before total hip and knee arthroplasty. Occupational therapy could be combined with patient home visits. Isolated physical therapy before total knee arthroplasty (TKA) is not recommended. Multidisciplinary rehabilitation comprising at least occupational therapy and education is desirable for the most fragile patients because of major disability, co-morbidity or social problems. Complementary studies are required to confirm the impact of pre-operative rehabilitation before total hip and knee arthroplasty, to define components of rehabilitation and the patients most likely to benefit.\nConclusion\nRehabilitation before total hip and knee arthroplasty contributes to reduced hospital length of and modifying discharge conditions. This rehabilitation necessitates the collaboration of qualified health care professionals in the educational topic and return-home preparation. Preoperative patient assessment is important.","container-title":"Annales de Réadaptation et de Médecine Physique","DOI":"10.1016/j.annrmp.2007.02.002","ISSN":"0168-6054","issue":"3","journalAbbreviation":"Annales de Réadaptation et de Médecine Physique","page":"189-197","source":"ScienceDirect","title":"Could preoperative rehabilitation modify postoperative outcomes after total hip and knee arthroplasty? Elaboration of French clinical practice guidelines","title-short":"Could preoperative rehabilitation modify postoperative outcomes after total hip and knee arthroplasty?","volume":"50","author":[{"family":"Coudeyre","given":"E."},{"family":"Jardin","given":"C."},{"family":"Givron","given":"P."},{"family":"Ribinik","given":"P."},{"family":"Revel","given":"M."},{"family":"Rannou","given":"F."}],"issued":{"date-parts":[["2007",4,1]]}}},{"id":10022,"uris":["http://zotero.org/users/8514341/items/D38VRKHV"],"itemData":{"id":10022,"type":"article-journal","abstract":"OBJECTIVE: To evaluate the effect of a short preoperative exercise intervention on the functional status, pain, and muscle strength of patients before and after total joint arthroplasty.\nMETHODS: A total of 108 men and women scheduled for total hip arthroplasty (THA) or total knee arthroplasty (TKA) were randomized to a 6-week exercise or education (control) intervention immediately prior to surgery. We assessed outcomes through questionnaires and performance measures. Analyses examined differences between groups over the preoperative and immediate postoperative periods and at 8 and 26 weeks postsurgery.\nRESULTS: Among THA patients, the exercise intervention was associated with improvements in preoperative Western Ontario and McMaster Universities Osteoarthritis Index function score (improvement of 2.2 in exercisers versus decline of 3.9 in controls; P = 0.02) and Short Form 36 physical function score (decline of 0.4 in exercisers versus decline of 14.3 in controls; P = 0.003). No significant differences were seen in TKA patients. Exercise participation increased muscle strength preoperatively (18% in THA patients and 20% in TKA patients), whereas the control patients had essentially no change in strength (P &gt; 0.05 for exercise versus education in both THA and TKA groups). Exercise participation prior to total joint arthroplasty substantially reduced the risk of discharge to a rehabilitation facility in THA and TKA patients (adjusted odds ratio 0.27, 95% confidence interval 0.074-0.998). The intervention had no effects on outcomes 8 and 26 weeks postoperatively.\nCONCLUSION: A 6-week presurgical exercise program can safely improve preoperative functional status and muscle strength levels in persons undergoing THA. Additionally, exercise participation prior to total joint arthroplasty dramatically reduces the odds of inpatient rehabilitation.","container-title":"Arthritis and Rheumatism","DOI":"10.1002/art.22223","ISSN":"0004-3591","issue":"5","journalAbbreviation":"Arthritis Rheum","language":"eng","page":"700-708","PMID":"17013852","source":"PubMed","title":"Effect of preoperative exercise on measures of functional status in men and women undergoing total hip and knee arthroplasty","volume":"55","author":[{"family":"Rooks","given":"Daniel S."},{"family":"Huang","given":"Jie"},{"family":"Bierbaum","given":"Benjamin E."},{"family":"Bolus","given":"Sarah A."},{"family":"Rubano","given":"James"},{"family":"Connolly","given":"Christine E."},{"family":"Alpert","given":"Sandra"},{"family":"Iversen","given":"Maura D."},{"family":"Katz","given":"Jeffrey N."}],"issued":{"date-parts":[["2006",10,15]]}}},{"id":10024,"uris":["http://zotero.org/users/8514341/items/KYAQTPM5"],"itemData":{"id":10024,"type":"article-journal","abstract":"BACKGROUND: Health-care costs following acute hospital care have been identified as a major contributor to regional variation in Medicare spending. This study investigated the associations of preoperative physical therapy and post-acute care resource use and its effect on the total cost of care during primary hip or knee arthroplasty.\nMETHODS: Historical claims data were analyzed using the Centers for Medicare &amp; Medicaid Services Limited Data Set files for Diagnosis Related Group 470. Analysis included descriptive statistics of patient demographic characteristics, comorbidities, procedures, and post-acute care utilization patterns, which included skilled nursing facility, home health agency, or inpatient rehabilitation facility, during the ninety-day period after a surgical hospitalization. To evaluate the associations, we used bivariate and multivariate techniques focused on post-acute care use and total episode-of-care costs.\nRESULTS: The Limited Data Set provided 4733 index hip or knee replacement cases for analysis within the thirty-nine-county Medicare hospital referral cluster. Post-acute care utilization was a significant variable in the total cost of care for the ninety-day episode. Overall, 77.0% of patients used post-acute care services after surgery. Post-acute care utilization decreased if preoperative physical therapy was used, with only 54.2% of the preoperative physical therapy cohort using post-acute care services. However, 79.7% of the non-preoperative physical therapy cohort used post-acute care services. After adjusting for demographic characteristics and comorbidities, the use of preoperative physical therapy was associated with a significant 29% reduction in post-acute care use, including an $871 reduction of episode payment driven largely by a reduction in payments for skilled nursing facility ($1093), home health agency ($527), and inpatient rehabilitation ($172).\nCONCLUSIONS: The use of preoperative physical therapy was associated with a 29% decrease in the use of any post-acute care services. This association was sustained after adjusting for comorbidities, demographic characteristics, and procedural variables.\nCLINICAL RELEVANCE: Health-care providers can use this methodology to achieve an integrative, cost-effective, patient care pathway using preoperative physical therapy.","container-title":"The Journal of Bone and Joint Surgery. American Volume","DOI":"10.2106/JBJS.M.01285","ISSN":"1535-1386","issue":"19","journalAbbreviation":"J Bone Joint Surg Am","language":"eng","page":"e165","PMID":"25274793","source":"PubMed","title":"Associations between preoperative physical therapy and post-acute care utilization patterns and cost in total joint replacement","volume":"96","author":[{"family":"Snow","given":"Richard"},{"family":"Granata","given":"Jaymes"},{"family":"Ruhil","given":"Anirudh V. S."},{"family":"Vogel","given":"Karen"},{"family":"McShane","given":"Michael"},{"family":"Wasielewski","given":"Ray"}],"issued":{"date-parts":[["2014",10,1]]}}}],"schema":"https://github.com/citation-style-language/schema/raw/master/csl-citation.json"} </w:instrText>
      </w:r>
      <w:r w:rsidR="002E2ED7">
        <w:rPr>
          <w:rFonts w:ascii="Calibri" w:hAnsi="Calibri" w:cs="Calibri"/>
          <w:color w:val="000000" w:themeColor="text1"/>
        </w:rPr>
        <w:fldChar w:fldCharType="separate"/>
      </w:r>
      <w:r w:rsidR="002E2ED7" w:rsidRPr="002E2ED7">
        <w:rPr>
          <w:rFonts w:ascii="Calibri" w:eastAsia="Calibri" w:hAnsi="Calibri" w:cs="Calibri"/>
          <w:color w:val="000000"/>
          <w:lang w:val="it-IT"/>
        </w:rPr>
        <w:t>[4–6]</w:t>
      </w:r>
      <w:r w:rsidR="002E2ED7">
        <w:rPr>
          <w:rFonts w:ascii="Calibri" w:hAnsi="Calibri" w:cs="Calibri"/>
          <w:color w:val="000000" w:themeColor="text1"/>
        </w:rPr>
        <w:fldChar w:fldCharType="end"/>
      </w:r>
      <w:r w:rsidRPr="008E5154">
        <w:rPr>
          <w:rFonts w:ascii="Calibri" w:hAnsi="Calibri" w:cs="Calibri"/>
          <w:color w:val="000000" w:themeColor="text1"/>
        </w:rPr>
        <w:t>. Prehabilitation includes interventions delivered before surgery with the aim of improving physical condition, functional reserve, and psychological readiness, potentially reducing postoperative complications, length of hospital stay, and need for postoperative care</w:t>
      </w:r>
      <w:r w:rsidR="002E2ED7">
        <w:rPr>
          <w:rFonts w:ascii="Calibri" w:hAnsi="Calibri" w:cs="Calibri"/>
          <w:color w:val="000000" w:themeColor="text1"/>
        </w:rPr>
        <w:t xml:space="preserve"> </w:t>
      </w:r>
      <w:r w:rsidR="002E2ED7">
        <w:rPr>
          <w:rFonts w:ascii="Calibri" w:hAnsi="Calibri" w:cs="Calibri"/>
          <w:color w:val="000000" w:themeColor="text1"/>
        </w:rPr>
        <w:fldChar w:fldCharType="begin"/>
      </w:r>
      <w:r w:rsidR="002E2ED7">
        <w:rPr>
          <w:rFonts w:ascii="Calibri" w:hAnsi="Calibri" w:cs="Calibri"/>
          <w:color w:val="000000" w:themeColor="text1"/>
        </w:rPr>
        <w:instrText xml:space="preserve"> ADDIN ZOTERO_ITEM CSL_CITATION {"citationID":"Oap6vVp5","properties":{"formattedCitation":"[7]","plainCitation":"[7]","noteIndex":0},"citationItems":[{"id":10026,"uris":["http://zotero.org/users/8514341/items/JBV4VS95"],"itemData":{"id":10026,"type":"article-journal","abstract":"We sought to systematically review the evidence on the benefits and harms of prehabilitation interventions for patients who are scheduled to undergo elective, unilateral total knee arthroplasty or total hip arthroplasty surgery for the treatment of primary osteoarthritis. We searched PubMed, Embase, The Cochrane Central Register of Controlled Trials, CINAHL, PsycINFO, Scopus, and ClinicalTrials.gov from January 1, 2005, through May 3, 2021. We selected for inclusion randomized controlled trials and adequately adjusted nonrandomized comparative studies of prehabilitation programs reporting performance-based, patient-reported, or healthcare utilization outcomes. Three researchers extracted study data and assessed risk of bias, verified by an independent researcher. Experts in rehabilitation content and complex interventions independently coded rehabilitation interventions. The team assessed strength of evidence. While large heterogeneity across evaluated prehabilitation programs limited strong conclusions, evidence from 13 total knee arthroplasty randomized controlled trials suggest that prehabilitation may result in increased strength and reduced length of stay and may not lead to increased harms but may be comparable in terms of pain, range of motion, and activities of daily living (all low strength of evidence). There was no evidence or insufficient evidence for all other outcomes after total knee arthroplasty. Although there were six total hip arthroplasty randomized controlled trials, there was no evidence or insufficient evidence for all total hip arthroplasty outcomes.","container-title":"American Journal of Physical Medicine &amp; Rehabilitation","DOI":"10.1097/PHM.0000000000002006","ISSN":"1537-7385","issue":"1","journalAbbreviation":"Am J Phys Med Rehabil","language":"eng","page":"1-10","PMID":"35302954","PMCID":"PMC9464791","source":"PubMed","title":"Prehabilitation for Total Knee or Total Hip Arthroplasty: A Systematic Review","title-short":"Prehabilitation for Total Knee or Total Hip Arthroplasty","volume":"102","author":[{"family":"Konnyu","given":"Kristin J."},{"family":"Thoma","given":"Louise M."},{"family":"Cao","given":"Wangnan"},{"family":"Aaron","given":"Roy K."},{"family":"Panagiotou","given":"Orestis A."},{"family":"Bhuma","given":"Monika Reddy"},{"family":"Adam","given":"Gaelen P."},{"family":"Pinto","given":"Dan"},{"family":"Balk","given":"Ethan M."}],"issued":{"date-parts":[["2023",1,1]]}}}],"schema":"https://github.com/citation-style-language/schema/raw/master/csl-citation.json"} </w:instrText>
      </w:r>
      <w:r w:rsidR="002E2ED7">
        <w:rPr>
          <w:rFonts w:ascii="Calibri" w:hAnsi="Calibri" w:cs="Calibri"/>
          <w:color w:val="000000" w:themeColor="text1"/>
        </w:rPr>
        <w:fldChar w:fldCharType="separate"/>
      </w:r>
      <w:r w:rsidR="002E2ED7">
        <w:rPr>
          <w:rFonts w:ascii="Calibri" w:hAnsi="Calibri" w:cs="Calibri"/>
          <w:noProof/>
          <w:color w:val="000000" w:themeColor="text1"/>
        </w:rPr>
        <w:t>[7]</w:t>
      </w:r>
      <w:r w:rsidR="002E2ED7">
        <w:rPr>
          <w:rFonts w:ascii="Calibri" w:hAnsi="Calibri" w:cs="Calibri"/>
          <w:color w:val="000000" w:themeColor="text1"/>
        </w:rPr>
        <w:fldChar w:fldCharType="end"/>
      </w:r>
      <w:r w:rsidRPr="008E5154">
        <w:rPr>
          <w:rFonts w:ascii="Calibri" w:hAnsi="Calibri" w:cs="Calibri"/>
          <w:color w:val="000000" w:themeColor="text1"/>
        </w:rPr>
        <w:t>. Although the evidence on prehabilitation before lower limb arthroplasty remains heterogeneous, previous studies suggest that preoperative exercise and rehabilitation may improve physical function, reduce pain, and support earlier recovery</w:t>
      </w:r>
      <w:r w:rsidR="002E2ED7">
        <w:rPr>
          <w:rFonts w:ascii="Calibri" w:hAnsi="Calibri" w:cs="Calibri"/>
          <w:color w:val="000000" w:themeColor="text1"/>
        </w:rPr>
        <w:t xml:space="preserve"> </w:t>
      </w:r>
      <w:r w:rsidR="002E2ED7">
        <w:rPr>
          <w:rFonts w:ascii="Calibri" w:hAnsi="Calibri" w:cs="Calibri"/>
          <w:color w:val="000000" w:themeColor="text1"/>
        </w:rPr>
        <w:fldChar w:fldCharType="begin"/>
      </w:r>
      <w:r w:rsidR="002E2ED7">
        <w:rPr>
          <w:rFonts w:ascii="Calibri" w:hAnsi="Calibri" w:cs="Calibri"/>
          <w:color w:val="000000" w:themeColor="text1"/>
        </w:rPr>
        <w:instrText xml:space="preserve"> ADDIN ZOTERO_ITEM CSL_CITATION {"citationID":"wg0Qh1Yt","properties":{"formattedCitation":"[7,8]","plainCitation":"[7,8]","noteIndex":0},"citationItems":[{"id":10026,"uris":["http://zotero.org/users/8514341/items/JBV4VS95"],"itemData":{"id":10026,"type":"article-journal","abstract":"We sought to systematically review the evidence on the benefits and harms of prehabilitation interventions for patients who are scheduled to undergo elective, unilateral total knee arthroplasty or total hip arthroplasty surgery for the treatment of primary osteoarthritis. We searched PubMed, Embase, The Cochrane Central Register of Controlled Trials, CINAHL, PsycINFO, Scopus, and ClinicalTrials.gov from January 1, 2005, through May 3, 2021. We selected for inclusion randomized controlled trials and adequately adjusted nonrandomized comparative studies of prehabilitation programs reporting performance-based, patient-reported, or healthcare utilization outcomes. Three researchers extracted study data and assessed risk of bias, verified by an independent researcher. Experts in rehabilitation content and complex interventions independently coded rehabilitation interventions. The team assessed strength of evidence. While large heterogeneity across evaluated prehabilitation programs limited strong conclusions, evidence from 13 total knee arthroplasty randomized controlled trials suggest that prehabilitation may result in increased strength and reduced length of stay and may not lead to increased harms but may be comparable in terms of pain, range of motion, and activities of daily living (all low strength of evidence). There was no evidence or insufficient evidence for all other outcomes after total knee arthroplasty. Although there were six total hip arthroplasty randomized controlled trials, there was no evidence or insufficient evidence for all total hip arthroplasty outcomes.","container-title":"American Journal of Physical Medicine &amp; Rehabilitation","DOI":"10.1097/PHM.0000000000002006","ISSN":"1537-7385","issue":"1","journalAbbreviation":"Am J Phys Med Rehabil","language":"eng","page":"1-10","PMID":"35302954","PMCID":"PMC9464791","source":"PubMed","title":"Prehabilitation for Total Knee or Total Hip Arthroplasty: A Systematic Review","title-short":"Prehabilitation for Total Knee or Total Hip Arthroplasty","volume":"102","author":[{"family":"Konnyu","given":"Kristin J."},{"family":"Thoma","given":"Louise M."},{"family":"Cao","given":"Wangnan"},{"family":"Aaron","given":"Roy K."},{"family":"Panagiotou","given":"Orestis A."},{"family":"Bhuma","given":"Monika Reddy"},{"family":"Adam","given":"Gaelen P."},{"family":"Pinto","given":"Dan"},{"family":"Balk","given":"Ethan M."}],"issued":{"date-parts":[["2023",1,1]]}}},{"id":10028,"uris":["http://zotero.org/users/8514341/items/PC82GP9P"],"itemData":{"id":10028,"type":"article-journal","abstract":"The aim of this study was to determine the effectiveness of home-based prehabilitation on pre- and postoperative outcomes in participants awaiting total knee (TKA) and hip arthroplasty (THA). A systematic review with meta-analysis of randomized controlled trials (RCTs) of prehabilitation interventions for TKA and THA. MEDLINE, CINAHL, ProQuest, PubMed, Cochrane Library, and Google Scholar databases were searched from inception to October 2022. Evidence was assessed by the PEDro scale and the Cochrane risk-of-bias (ROB2) tool. A total of 22 RCTs (1,601 patients) were identified with good overall quality and low risk of bias. Prehabilitation significantly improved pain prior to TKA (mean difference (MD) -1.02: p = 0.001), with non-significant improvements for function before (MD -0.48; p = 0.06) and after TKA (MD -0.69; p = 0.25). Small preoperative improvements were observed for pain (MD -0.02; p = 0.87) and function (MD -0.18; p = 0.16) prior to THA, but no post THA effect was found for pain (MD 0.19; p = 0.44) and function (MD 0.14; p = 0.68). A trend favouring usual care for improving quality of life (QoL) prior to TKA (MD 0.61; p = 0.34), but no effect on QoL prior (MD 0.03; p = 0.87) or post THA (MD -0.05; p = 0.83) was found. Prehabilitation significantly reduced hospital length of stay (LOS) for TKA (MD -0.43 days; p &lt; 0.001) but not for THA (MD, -0.24; p = 0.12). Compliance was only reported in 11 studies and was excellent with a mean value of 90.5% (SD 6.82). Prehabilitation interventions improve pain and function prior to TKA and THA and reduce hospital LOS, though it is unclear if these effects enhance outcomes postoperatively.","container-title":"Bone &amp; Joint Open","DOI":"10.1302/2633-1462.45.BJO-2023-0021","ISSN":"2633-1462","issue":"5","journalAbbreviation":"Bone Jt Open","language":"eng","page":"315-328","PMID":"37142259","PMCID":"PMC10159731","source":"PubMed","title":"Effects of home-based prehabilitation on pre- and postoperative outcomes following total hip and knee arthroplasty","volume":"4","author":[{"family":"De Klerk","given":"Talitha C."},{"family":"Dounavi","given":"Despoina M."},{"family":"Hamilton","given":"David F."},{"family":"Clement","given":"Nick D."},{"family":"Kaliarntas","given":"Konstantinos T."}],"issued":{"date-parts":[["2023",5,5]]}}}],"schema":"https://github.com/citation-style-language/schema/raw/master/csl-citation.json"} </w:instrText>
      </w:r>
      <w:r w:rsidR="002E2ED7">
        <w:rPr>
          <w:rFonts w:ascii="Calibri" w:hAnsi="Calibri" w:cs="Calibri"/>
          <w:color w:val="000000" w:themeColor="text1"/>
        </w:rPr>
        <w:fldChar w:fldCharType="separate"/>
      </w:r>
      <w:r w:rsidR="002E2ED7">
        <w:rPr>
          <w:rFonts w:ascii="Calibri" w:hAnsi="Calibri" w:cs="Calibri"/>
          <w:noProof/>
          <w:color w:val="000000" w:themeColor="text1"/>
        </w:rPr>
        <w:t>[7,8]</w:t>
      </w:r>
      <w:r w:rsidR="002E2ED7">
        <w:rPr>
          <w:rFonts w:ascii="Calibri" w:hAnsi="Calibri" w:cs="Calibri"/>
          <w:color w:val="000000" w:themeColor="text1"/>
        </w:rPr>
        <w:fldChar w:fldCharType="end"/>
      </w:r>
      <w:r w:rsidRPr="008E5154">
        <w:rPr>
          <w:rFonts w:ascii="Calibri" w:hAnsi="Calibri" w:cs="Calibri"/>
          <w:color w:val="000000" w:themeColor="text1"/>
        </w:rPr>
        <w:t>.</w:t>
      </w:r>
      <w:r>
        <w:rPr>
          <w:rFonts w:ascii="Calibri" w:hAnsi="Calibri" w:cs="Calibri"/>
          <w:color w:val="000000" w:themeColor="text1"/>
        </w:rPr>
        <w:t xml:space="preserve"> </w:t>
      </w:r>
      <w:r w:rsidRPr="008E5154">
        <w:rPr>
          <w:rFonts w:ascii="Calibri" w:hAnsi="Calibri" w:cs="Calibri"/>
          <w:color w:val="000000" w:themeColor="text1"/>
        </w:rPr>
        <w:t>Several types of prehabilitation have been proposed for patients awaiting lower limb arthroplasty, including strengthening exercises, balance and gait training, patient education, neuromuscular electrical stimulation, continuous passive motion, cryotherapy, compression therapy, and psychological interventions</w:t>
      </w:r>
      <w:r w:rsidR="002E2ED7">
        <w:rPr>
          <w:rFonts w:ascii="Calibri" w:hAnsi="Calibri" w:cs="Calibri"/>
          <w:color w:val="000000" w:themeColor="text1"/>
        </w:rPr>
        <w:t xml:space="preserve"> </w:t>
      </w:r>
      <w:r w:rsidR="002E2ED7">
        <w:rPr>
          <w:rFonts w:ascii="Calibri" w:hAnsi="Calibri" w:cs="Calibri"/>
          <w:color w:val="000000" w:themeColor="text1"/>
        </w:rPr>
        <w:fldChar w:fldCharType="begin"/>
      </w:r>
      <w:r w:rsidR="002E2ED7">
        <w:rPr>
          <w:rFonts w:ascii="Calibri" w:hAnsi="Calibri" w:cs="Calibri"/>
          <w:color w:val="000000" w:themeColor="text1"/>
        </w:rPr>
        <w:instrText xml:space="preserve"> ADDIN ZOTERO_ITEM CSL_CITATION {"citationID":"sU34DJX0","properties":{"formattedCitation":"[5,9,10]","plainCitation":"[5,9,10]","noteIndex":0},"citationItems":[{"id":10022,"uris":["http://zotero.org/users/8514341/items/D38VRKHV"],"itemData":{"id":10022,"type":"article-journal","abstract":"OBJECTIVE: To evaluate the effect of a short preoperative exercise intervention on the functional status, pain, and muscle strength of patients before and after total joint arthroplasty.\nMETHODS: A total of 108 men and women scheduled for total hip arthroplasty (THA) or total knee arthroplasty (TKA) were randomized to a 6-week exercise or education (control) intervention immediately prior to surgery. We assessed outcomes through questionnaires and performance measures. Analyses examined differences between groups over the preoperative and immediate postoperative periods and at 8 and 26 weeks postsurgery.\nRESULTS: Among THA patients, the exercise intervention was associated with improvements in preoperative Western Ontario and McMaster Universities Osteoarthritis Index function score (improvement of 2.2 in exercisers versus decline of 3.9 in controls; P = 0.02) and Short Form 36 physical function score (decline of 0.4 in exercisers versus decline of 14.3 in controls; P = 0.003). No significant differences were seen in TKA patients. Exercise participation increased muscle strength preoperatively (18% in THA patients and 20% in TKA patients), whereas the control patients had essentially no change in strength (P &gt; 0.05 for exercise versus education in both THA and TKA groups). Exercise participation prior to total joint arthroplasty substantially reduced the risk of discharge to a rehabilitation facility in THA and TKA patients (adjusted odds ratio 0.27, 95% confidence interval 0.074-0.998). The intervention had no effects on outcomes 8 and 26 weeks postoperatively.\nCONCLUSION: A 6-week presurgical exercise program can safely improve preoperative functional status and muscle strength levels in persons undergoing THA. Additionally, exercise participation prior to total joint arthroplasty dramatically reduces the odds of inpatient rehabilitation.","container-title":"Arthritis and Rheumatism","DOI":"10.1002/art.22223","ISSN":"0004-3591","issue":"5","journalAbbreviation":"Arthritis Rheum","language":"eng","page":"700-708","PMID":"17013852","source":"PubMed","title":"Effect of preoperative exercise on measures of functional status in men and women undergoing total hip and knee arthroplasty","volume":"55","author":[{"family":"Rooks","given":"Daniel S."},{"family":"Huang","given":"Jie"},{"family":"Bierbaum","given":"Benjamin E."},{"family":"Bolus","given":"Sarah A."},{"family":"Rubano","given":"James"},{"family":"Connolly","given":"Christine E."},{"family":"Alpert","given":"Sandra"},{"family":"Iversen","given":"Maura D."},{"family":"Katz","given":"Jeffrey N."}],"issued":{"date-parts":[["2006",10,15]]}}},{"id":10031,"uris":["http://zotero.org/users/8514341/items/35V34MEU"],"itemData":{"id":10031,"type":"article-journal","abstract":"Purpose: To evaluate the effects of prehabilitation (enhancing physical capacity before total hip or knee joint arthroplasty) on pain and physical function of adults with severe hip and knee osteoarthritis (OA). Methods: Consecutive patients (n=650) from 2006 to 2008 with hip or knee OA awaiting total joint arthroplasty (TJA) attended a hospital outpatient clinic for a prehabilitation assessment. All participants completed self-report (Lower Extremity Functional Scale [LEFS] and visual analogue scale for pain [VAS]) and functional performance measures (self-paced walk [SPW], timed stair, and timed up-and-go [TUG] tests). A subset of 28 participants with severe disability participated in a structured outpatient prehabilitation programme. Between-group differences were assessed via independent t-tests; paired Student's t-tests and Wilcoxon signed rank tests were used to compare changes in pain and function following the prehabilitation programme. Results: A total of 28 individuals (16 female) with mean age 67 (SD 10) years and BMI 33 (8) kg/m2 awaiting TJA (10 hips, 18 knees) participated in a prehabilitation programme of 9 (6) weeks' duration. Relative to baseline, there was significant improvement in LEFS score (mean change 7.6; 95% CI, 1.7–13.5; p=0.013), SPW (mean change 0.17 m/s; 95% CI, 0.07–0.26; p=0.001), TUG (mean change 4.2 s; 95% CI, 2.0–6.4; p&lt;0.001), and stair test performance (mean change 3.8 s [SD 14.6]; p=0.005) following prehabilitation. Conclusion: This study presents preliminary evidence that prehabilitation improves physical function even in the most severely compromised patients with OA awaiting TJA.","container-title":"Physiotherapy Canada","DOI":"10.3138/ptc.2011-60","ISSN":"0300-0508","issue":"2","journalAbbreviation":"Physiother Can","page":"116-124","PMID":"24403671","PMCID":"PMC3673788","source":"PubMed Central","title":"Prehabilitation Improves Physical Function of Individuals with Severe Disability from Hip or Knee Osteoarthritis","volume":"65","author":[{"family":"Desmeules","given":"François"},{"family":"Hall","given":"Jayne"},{"family":"Woodhouse","given":"Linda June"}],"issued":{"date-parts":[["2013"]]}}},{"id":10033,"uris":["http://zotero.org/users/8514341/items/W5TFPN4Y"],"itemData":{"id":10033,"type":"article-journal","abstract":"BACKGROUND: A major challenge facing those with late stage osteoarthritis is delayed surgery due to waiting lists. In South Africa patients wait years for a hip/knee arthroplasty. Affected patients require effective management to address their pain, especially while awaiting surgery. Existing literature is mostly available from high income countries exploring effects of interventions during short waiting periods. Research is warranted in low income countries where long waiting periods are common. This study explored the effects of a six-week physiotherapist-led exercise and education intervention on pain in this population.\nMETHODS: A randomised controlled trial was performed at two public hospitals in South Africa. Ethical approval and informed consent was obtained. 74 participants from arthroplasty waiting lists were randomly allocated to an intervention (n = 35) or control group (n = 39). The intervention included six physiotherapist-led group-based sessions (two hours/week of education, exercise and relaxation). The control group received usual care. Data collection was conducted by blinded physiotherapists at baseline, week six, 12 and month six. The primary outcome was pain, measured by the Brief Pain Inventory. Additionally, participants completed an open-ended questionnaire at month six, to gain insight regarding the intervention. Analysis was by intention to treat using two-way analysis of variance and post-hoc Tukey comparisons. Answers to subjective questions were analysed according to common themes that emerged.\nRESULTS: The intervention group had significant improvements compared with the control group with moderate to large effect sizes (ES) on pain severity [week 6: p &lt; 0.01, ES = 0.94, 95 % CI (0.45,1.41), month 6: p = 0.02. ES = 0.74, 95 % CI (0.26,1.2)] and moderate to large effects on pain interference [week 6: p &lt; 0.01, ES = 1.2, 95 % CI (0.70,1.69), week 12: p = 0.04, ES = 0.68, 95 % CI (0.20,1.14), month 6: p &lt; 0.01, ES = 0.98, 95 % CI (0.49,1.45)]. 53 % of participants reported that the intervention improved their pain.\nCONCLUSIONS: The intervention resulted in sustained significant improvements in pain severity and interference in patients with hip/knee osteoarthritis, awaiting arthroplasty compared with a control group. Additionally, participants' individual feedback supported observed significant improvements in pain. Such an intervention appears to be effective in managing pain in this population and should be incorporated into practice for appropriate patients. Further research is being conducted to explore long term and postoperative outcomes.\nCLINICAL TRIAL REGISTRATION: Pan African Clinical Trial Registry, PACTR201409000885765 , PACTR201507001186115 .","container-title":"BMC musculoskeletal disorders","DOI":"10.1186/s12891-016-1088-6","ISSN":"1471-2474","journalAbbreviation":"BMC Musculoskelet Disord","language":"eng","page":"236","PMID":"27233479","PMCID":"PMC4884378","source":"PubMed","title":"Significant improvements in pain after a six-week physiotherapist-led exercise and education intervention, in patients with osteoarthritis awaiting arthroplasty, in South Africa: a randomised controlled trial","title-short":"Significant improvements in pain after a six-week physiotherapist-led exercise and education intervention, in patients with osteoarthritis awaiting arthroplasty, in South Africa","volume":"17","author":[{"family":"Saw","given":"M. M."},{"family":"Kruger-Jakins","given":"T."},{"family":"Edries","given":"N."},{"family":"Parker","given":"R."}],"issued":{"date-parts":[["2016",5,27]]}}}],"schema":"https://github.com/citation-style-language/schema/raw/master/csl-citation.json"} </w:instrText>
      </w:r>
      <w:r w:rsidR="002E2ED7">
        <w:rPr>
          <w:rFonts w:ascii="Calibri" w:hAnsi="Calibri" w:cs="Calibri"/>
          <w:color w:val="000000" w:themeColor="text1"/>
        </w:rPr>
        <w:fldChar w:fldCharType="separate"/>
      </w:r>
      <w:r w:rsidR="002E2ED7">
        <w:rPr>
          <w:rFonts w:ascii="Calibri" w:hAnsi="Calibri" w:cs="Calibri"/>
          <w:noProof/>
          <w:color w:val="000000" w:themeColor="text1"/>
        </w:rPr>
        <w:t>[5,9,10]</w:t>
      </w:r>
      <w:r w:rsidR="002E2ED7">
        <w:rPr>
          <w:rFonts w:ascii="Calibri" w:hAnsi="Calibri" w:cs="Calibri"/>
          <w:color w:val="000000" w:themeColor="text1"/>
        </w:rPr>
        <w:fldChar w:fldCharType="end"/>
      </w:r>
      <w:r w:rsidRPr="008E5154">
        <w:rPr>
          <w:rFonts w:ascii="Calibri" w:hAnsi="Calibri" w:cs="Calibri"/>
          <w:color w:val="000000" w:themeColor="text1"/>
        </w:rPr>
        <w:t>. Among these, exercise-based programs are widely used because improvements in muscle strength, cardiovascular fitness, joint control, and functional capacity may help patients better tolerate surgery and early postoperative rehabilitation.</w:t>
      </w:r>
      <w:r>
        <w:rPr>
          <w:rFonts w:ascii="Calibri" w:hAnsi="Calibri" w:cs="Calibri"/>
          <w:color w:val="000000" w:themeColor="text1"/>
        </w:rPr>
        <w:t xml:space="preserve"> </w:t>
      </w:r>
      <w:r w:rsidRPr="008E5154">
        <w:rPr>
          <w:rFonts w:ascii="Calibri" w:hAnsi="Calibri" w:cs="Calibri"/>
          <w:color w:val="000000" w:themeColor="text1"/>
        </w:rPr>
        <w:t>However, adherence to in-person prehabilitation programs is often limited</w:t>
      </w:r>
      <w:r w:rsidR="002E2ED7">
        <w:rPr>
          <w:rFonts w:ascii="Calibri" w:hAnsi="Calibri" w:cs="Calibri"/>
          <w:color w:val="000000" w:themeColor="text1"/>
        </w:rPr>
        <w:t xml:space="preserve"> </w:t>
      </w:r>
      <w:r w:rsidR="002E2ED7">
        <w:rPr>
          <w:rFonts w:ascii="Calibri" w:hAnsi="Calibri" w:cs="Calibri"/>
          <w:color w:val="000000" w:themeColor="text1"/>
        </w:rPr>
        <w:fldChar w:fldCharType="begin"/>
      </w:r>
      <w:r w:rsidR="002E2ED7">
        <w:rPr>
          <w:rFonts w:ascii="Calibri" w:hAnsi="Calibri" w:cs="Calibri"/>
          <w:color w:val="000000" w:themeColor="text1"/>
        </w:rPr>
        <w:instrText xml:space="preserve"> ADDIN ZOTERO_ITEM CSL_CITATION {"citationID":"JcOjkdKm","properties":{"formattedCitation":"[11]","plainCitation":"[11]","noteIndex":0},"citationItems":[{"id":10035,"uris":["http://zotero.org/users/8514341/items/3S6QPYNX"],"itemData":{"id":10035,"type":"article-journal","abstract":"Prehabilitation offers patients the opportunity to actively participate in their perioperative care by preparing themselves for their upcoming surgery. Experiencing barriers may lead to non-participation, which can result in a reduced functional capacity, delayed post-operative recovery and higher healthcare costs. Insight in the barriers and facilitators to participation in prehabilitation can inform further development and implementation of prehabilitation. The aim of this review was to identify patient-experienced barriers and facilitators for participation in prehabilitation.","container-title":"International Journal of Behavioral Nutrition and Physical Activity","DOI":"10.1186/s12966-023-01474-6","ISSN":"1479-5868","issue":"1","journalAbbreviation":"Int J Behav Nutr Phys Act","language":"en","page":"75","source":"Springer Link","title":"What moves patients to participate in prehabilitation before major surgery? A mixed methods systematic review","title-short":"What moves patients to participate in prehabilitation before major surgery?","volume":"20","author":[{"family":"Velde","given":"Miriam","non-dropping-particle":"van der"},{"family":"Leeden","given":"Marike","non-dropping-particle":"van der"},{"family":"Geleijn","given":"Edwin"},{"family":"Veenhof","given":"Cindy"},{"family":"Valkenet","given":"Karin"}],"issued":{"date-parts":[["2023",6,21]]}}}],"schema":"https://github.com/citation-style-language/schema/raw/master/csl-citation.json"} </w:instrText>
      </w:r>
      <w:r w:rsidR="002E2ED7">
        <w:rPr>
          <w:rFonts w:ascii="Calibri" w:hAnsi="Calibri" w:cs="Calibri"/>
          <w:color w:val="000000" w:themeColor="text1"/>
        </w:rPr>
        <w:fldChar w:fldCharType="separate"/>
      </w:r>
      <w:r w:rsidR="002E2ED7">
        <w:rPr>
          <w:rFonts w:ascii="Calibri" w:hAnsi="Calibri" w:cs="Calibri"/>
          <w:noProof/>
          <w:color w:val="000000" w:themeColor="text1"/>
        </w:rPr>
        <w:t>[11]</w:t>
      </w:r>
      <w:r w:rsidR="002E2ED7">
        <w:rPr>
          <w:rFonts w:ascii="Calibri" w:hAnsi="Calibri" w:cs="Calibri"/>
          <w:color w:val="000000" w:themeColor="text1"/>
        </w:rPr>
        <w:fldChar w:fldCharType="end"/>
      </w:r>
      <w:r w:rsidRPr="008E5154">
        <w:rPr>
          <w:rFonts w:ascii="Calibri" w:hAnsi="Calibri" w:cs="Calibri"/>
          <w:color w:val="000000" w:themeColor="text1"/>
        </w:rPr>
        <w:t>. Patients awaiting arthroplasty may experience pain, reduced mobility, transportation difficulties, low motivation, and scheduling barriers, all of which can reduce participation in center-based programs. For these reasons, telerehabilitation has emerged as a potentially useful alternative to conventional in-person care</w:t>
      </w:r>
      <w:r w:rsidR="002E2ED7">
        <w:rPr>
          <w:rFonts w:ascii="Calibri" w:hAnsi="Calibri" w:cs="Calibri"/>
          <w:color w:val="000000" w:themeColor="text1"/>
        </w:rPr>
        <w:t xml:space="preserve"> </w:t>
      </w:r>
      <w:r w:rsidR="002E2ED7">
        <w:rPr>
          <w:rFonts w:ascii="Calibri" w:hAnsi="Calibri" w:cs="Calibri"/>
          <w:color w:val="000000" w:themeColor="text1"/>
        </w:rPr>
        <w:fldChar w:fldCharType="begin"/>
      </w:r>
      <w:r w:rsidR="002E2ED7">
        <w:rPr>
          <w:rFonts w:ascii="Calibri" w:hAnsi="Calibri" w:cs="Calibri"/>
          <w:color w:val="000000" w:themeColor="text1"/>
        </w:rPr>
        <w:instrText xml:space="preserve"> ADDIN ZOTERO_ITEM CSL_CITATION {"citationID":"OEoXBuVW","properties":{"formattedCitation":"[12]","plainCitation":"[12]","noteIndex":0},"citationItems":[{"id":10037,"uris":["http://zotero.org/users/8514341/items/JFWYYBX7"],"itemData":{"id":10037,"type":"article-journal","abstract":"The role of prehabilitation with a telerehabilitation system prior to total knee arthroplasty","container-title":"Annals of Translational Medicine","DOI":"10.21037/atm.2018.11.27","ISSN":"2305-5847, 2305-5839","issue":"4","language":"en","page":"68-68","publisher":"AME Publishing Company","source":"atm.amegroups.org","title":"The role of prehabilitation with a telerehabilitation system prior to total knee arthroplasty","volume":"7","author":[{"family":"Chughtai","given":"Morad"},{"family":"Shah","given":"Neil V."},{"family":"Sultan","given":"Assem A."},{"family":"Solow","given":"Maximillian"},{"family":"Tiberi","given":"John V."},{"family":"Mehran","given":"Nima"},{"family":"North","given":"Trevor"},{"family":"Moskal","given":"Joseph T."},{"family":"Newman","given":"Jared M."},{"family":"Samuel","given":"Linsen T."},{"family":"Bhave","given":"Anil"},{"family":"Mont","given":"Michael A."}],"issued":{"date-parts":[["2019",2]]}}}],"schema":"https://github.com/citation-style-language/schema/raw/master/csl-citation.json"} </w:instrText>
      </w:r>
      <w:r w:rsidR="002E2ED7">
        <w:rPr>
          <w:rFonts w:ascii="Calibri" w:hAnsi="Calibri" w:cs="Calibri"/>
          <w:color w:val="000000" w:themeColor="text1"/>
        </w:rPr>
        <w:fldChar w:fldCharType="separate"/>
      </w:r>
      <w:r w:rsidR="002E2ED7">
        <w:rPr>
          <w:rFonts w:ascii="Calibri" w:hAnsi="Calibri" w:cs="Calibri"/>
          <w:noProof/>
          <w:color w:val="000000" w:themeColor="text1"/>
        </w:rPr>
        <w:t>[12]</w:t>
      </w:r>
      <w:r w:rsidR="002E2ED7">
        <w:rPr>
          <w:rFonts w:ascii="Calibri" w:hAnsi="Calibri" w:cs="Calibri"/>
          <w:color w:val="000000" w:themeColor="text1"/>
        </w:rPr>
        <w:fldChar w:fldCharType="end"/>
      </w:r>
      <w:r w:rsidRPr="008E5154">
        <w:rPr>
          <w:rFonts w:ascii="Calibri" w:hAnsi="Calibri" w:cs="Calibri"/>
          <w:color w:val="000000" w:themeColor="text1"/>
        </w:rPr>
        <w:t>. Remote delivery may improve access to preoperative rehabilitation, reduce organizational barriers, and support continuity of care while limiting the need for repeated travel to rehabilitation facilities.</w:t>
      </w:r>
      <w:r>
        <w:rPr>
          <w:rFonts w:ascii="Calibri" w:hAnsi="Calibri" w:cs="Calibri"/>
          <w:color w:val="000000" w:themeColor="text1"/>
        </w:rPr>
        <w:t xml:space="preserve"> </w:t>
      </w:r>
      <w:r w:rsidRPr="008E5154">
        <w:rPr>
          <w:rFonts w:ascii="Calibri" w:hAnsi="Calibri" w:cs="Calibri"/>
          <w:color w:val="000000" w:themeColor="text1"/>
        </w:rPr>
        <w:t>Neuromuscular electrical stimulation is commonly used in orthopedic rehabilitation to promote muscle activation and counteract muscle weakness</w:t>
      </w:r>
      <w:r w:rsidR="002E2ED7">
        <w:rPr>
          <w:rFonts w:ascii="Calibri" w:hAnsi="Calibri" w:cs="Calibri"/>
          <w:color w:val="000000" w:themeColor="text1"/>
        </w:rPr>
        <w:t xml:space="preserve"> </w:t>
      </w:r>
      <w:r w:rsidR="002E2ED7">
        <w:rPr>
          <w:rFonts w:ascii="Calibri" w:hAnsi="Calibri" w:cs="Calibri"/>
          <w:color w:val="000000" w:themeColor="text1"/>
        </w:rPr>
        <w:fldChar w:fldCharType="begin"/>
      </w:r>
      <w:r w:rsidR="002E2ED7">
        <w:rPr>
          <w:rFonts w:ascii="Calibri" w:hAnsi="Calibri" w:cs="Calibri"/>
          <w:color w:val="000000" w:themeColor="text1"/>
        </w:rPr>
        <w:instrText xml:space="preserve"> ADDIN ZOTERO_ITEM CSL_CITATION {"citationID":"PRi5uS8W","properties":{"formattedCitation":"[13,14]","plainCitation":"[13,14]","noteIndex":0},"citationItems":[{"id":10038,"uris":["http://zotero.org/users/8514341/items/5KF8HYGP"],"itemData":{"id":10038,"type":"article-journal","abstract":"BACKGROUND: Supervised preoperative muscle strengthening programmes (prehabilitation) can improve recovery after total joint arthroplasty but are considered resource intensive. Neuromuscular electrical stimulation (NMES) has been shown to improve quadriceps femoris muscle (QFM) strength and clinical function in subjects with knee osteoarthritis (OA) however it has not been previously investigated as a prehabilitation modality.\nMETHODS: This pilot study assessed the compliance of a home-based, NMES prehabilitation programme in patients undergoing total knee arthroplasty (TKA). We evaluated its effect on preoperative and postoperative isometric quadriceps femoris muscle (QFM) strength, QFM cross-sectional area (CSA) and clinical function (subjective and objective). Seventeen subjects were recruited with 14 completing the study (NMES group n = 9; Control group n = 5).\nRESULTS: Overall compliance with the programme was excellent (99%). Preoperative QFM strength increased by 28% (p &gt; 0.05) with associated gains in walk, stair-climb and chair-rise times (p &lt; 0.05). Early postoperative strength loss (approximately 50%) was similar in both groups. Only the NMES group demonstrated significant strength (53.3%, p = 0.011) and functional recovery (p &lt; 0.05) from 6 to 12 weeks post-TKA. QFM CSA decreased by 4% in the NMES group compared to a reduction of 12% in the control group (P &gt; 0.05) at 12 weeks postoperatively compared to baseline. There were only limited associations found between objective and subjective functional outcome instruments.\nCONCLUSIONS: This pilot study has shown that preoperative NMES may improve recovery of quadriceps muscle strength and expedite a return to normal activities in patients undergoing TKA for OA. Recommendations for appropriate outcome instruments in future studies of prehabilitation in TKA have been provided.","container-title":"BMC musculoskeletal disorders","DOI":"10.1186/1471-2474-11-119","ISSN":"1471-2474","journalAbbreviation":"BMC Musculoskelet Disord","language":"eng","page":"119","PMID":"20540807","PMCID":"PMC2896350","source":"PubMed","title":"Effects of preoperative neuromuscular electrical stimulation on quadriceps strength and functional recovery in total knee arthroplasty. A pilot study","volume":"11","author":[{"family":"Walls","given":"Raymond J."},{"family":"McHugh","given":"Gavin"},{"family":"O'Gorman","given":"Donal J."},{"family":"Moyna","given":"Niall M."},{"family":"O'Byrne","given":"John M."}],"issued":{"date-parts":[["2010",6,14]]}}},{"id":10040,"uris":["http://zotero.org/users/8514341/items/Y8V7CE5X"],"itemData":{"id":10040,"type":"article-journal","abstract":"Background: This systematic review and meta-analysis aimed to evaluate the effect of neuromuscular electrical stimulation (NMES) on quadriceps muscle strength, pain, and function outcomes following total knee arthroplasty (TKA). Methods: PubMed/Medline, Embase, Web of Science, CENTRAL, Scopus, PsycINFO, PEDro, CINAHL, CNKI, and Wanfang were systematically searched for randomized controlled trials (RCTs) from their inception to 18 June 2021. Results: Nine RCTs that involving 691 patients were included in the meta-analysis. Our pooled analysis showed that NMES improved quadriceps muscle strength after TKA within 1 months [standardized mean difference (SMD): 0.81; 95% CI: 0.51-1.11], 1-2 months (SMD: 0.55; 95% CI: 0.13-0.97), 3-4 months (SMD: 0.42; 95% CI: 0.18-0.66), and 12-13 months (SMD: 0.46; 95% CI: 0.18-0.74), pain between 1 and 2 months [mean difference (MD): -0.62; 95% CI: -1.04 to -0.19], pain between 3 and 6 months (MD: -0.44; 95% CI: -0.74 to -0.14) Western Ontario and McMaster Universities Osteoarthritis Index (WOMAC) between 3 and 4 months (MD: -0.43; 95% CI: -0.82 to -0.05), timed up and go test (TUG) within 1 month (MD: -2.23; 95% CI: -3.40 to -1.07), 3 minutes walk test between 3 and 6 months (MD: 28.35; 95% CI: 14.55-42.15), and SF-36 MCS between 3 and 6 months after TKA (MD: 4.20, 95% CI: 2.41-5.98). Conclusion: As a supplementary treatment after TKA, postoperative NMES could improve the short-term to long-term quadriceps muscle strength, mid-term pain, and mid-term function following TKA. However, many outcomes failed to achieve statistically meaningful changes and minimal clinically important difference (MCID), thus the clinical benefits remained to be confirmed. Level of Evidence: Therapeutic level I. Systematic Review Registration: https://www.crd.york.ac.uk/PROSPERO/, identifier CRD42021265609.","container-title":"Frontiers in Medicine","DOI":"10.3389/fmed.2021.779019","ISSN":"2296-858X","journalAbbreviation":"Front Med (Lausanne)","language":"eng","page":"779019","PMID":"34926522","PMCID":"PMC8677678","source":"PubMed","title":"Effect of Neuromuscular Electrical Stimulation After Total Knee Arthroplasty: A Systematic Review and Meta-Analysis of Randomized Controlled Trials","title-short":"Effect of Neuromuscular Electrical Stimulation After Total Knee Arthroplasty","volume":"8","author":[{"family":"Peng","given":"Linbo"},{"family":"Wang","given":"Kexin"},{"family":"Zeng","given":"Yi"},{"family":"Wu","given":"Yuangang"},{"family":"Si","given":"Haibo"},{"family":"Shen","given":"Bin"}],"issued":{"date-parts":[["2021"]]}}}],"schema":"https://github.com/citation-style-language/schema/raw/master/csl-citation.json"} </w:instrText>
      </w:r>
      <w:r w:rsidR="002E2ED7">
        <w:rPr>
          <w:rFonts w:ascii="Calibri" w:hAnsi="Calibri" w:cs="Calibri"/>
          <w:color w:val="000000" w:themeColor="text1"/>
        </w:rPr>
        <w:fldChar w:fldCharType="separate"/>
      </w:r>
      <w:r w:rsidR="002E2ED7">
        <w:rPr>
          <w:rFonts w:ascii="Calibri" w:hAnsi="Calibri" w:cs="Calibri"/>
          <w:noProof/>
          <w:color w:val="000000" w:themeColor="text1"/>
        </w:rPr>
        <w:t>[13,14]</w:t>
      </w:r>
      <w:r w:rsidR="002E2ED7">
        <w:rPr>
          <w:rFonts w:ascii="Calibri" w:hAnsi="Calibri" w:cs="Calibri"/>
          <w:color w:val="000000" w:themeColor="text1"/>
        </w:rPr>
        <w:fldChar w:fldCharType="end"/>
      </w:r>
      <w:r w:rsidRPr="008E5154">
        <w:rPr>
          <w:rFonts w:ascii="Calibri" w:hAnsi="Calibri" w:cs="Calibri"/>
          <w:color w:val="000000" w:themeColor="text1"/>
        </w:rPr>
        <w:t>. It may be particularly relevant for patients awaiting lower limb arthroplasty because it can induce quadriceps contraction independently of voluntary effort, making it potentially suitable for individuals with pain, reduced exercise tolerance, or difficulty performing active strengthening exercises. Previous evidence suggests that neuromuscular electrical stimulation may improve muscle strength and facilitate functional recovery in patients undergoing knee arthroplasty</w:t>
      </w:r>
      <w:r w:rsidR="002E2ED7">
        <w:rPr>
          <w:rFonts w:ascii="Calibri" w:hAnsi="Calibri" w:cs="Calibri"/>
          <w:color w:val="000000" w:themeColor="text1"/>
        </w:rPr>
        <w:t xml:space="preserve"> </w:t>
      </w:r>
      <w:r w:rsidR="002E2ED7">
        <w:rPr>
          <w:rFonts w:ascii="Calibri" w:hAnsi="Calibri" w:cs="Calibri"/>
          <w:color w:val="000000" w:themeColor="text1"/>
        </w:rPr>
        <w:fldChar w:fldCharType="begin"/>
      </w:r>
      <w:r w:rsidR="002E2ED7">
        <w:rPr>
          <w:rFonts w:ascii="Calibri" w:hAnsi="Calibri" w:cs="Calibri"/>
          <w:color w:val="000000" w:themeColor="text1"/>
        </w:rPr>
        <w:instrText xml:space="preserve"> ADDIN ZOTERO_ITEM CSL_CITATION {"citationID":"4NcDMnSq","properties":{"formattedCitation":"[13,14]","plainCitation":"[13,14]","noteIndex":0},"citationItems":[{"id":10038,"uris":["http://zotero.org/users/8514341/items/5KF8HYGP"],"itemData":{"id":10038,"type":"article-journal","abstract":"BACKGROUND: Supervised preoperative muscle strengthening programmes (prehabilitation) can improve recovery after total joint arthroplasty but are considered resource intensive. Neuromuscular electrical stimulation (NMES) has been shown to improve quadriceps femoris muscle (QFM) strength and clinical function in subjects with knee osteoarthritis (OA) however it has not been previously investigated as a prehabilitation modality.\nMETHODS: This pilot study assessed the compliance of a home-based, NMES prehabilitation programme in patients undergoing total knee arthroplasty (TKA). We evaluated its effect on preoperative and postoperative isometric quadriceps femoris muscle (QFM) strength, QFM cross-sectional area (CSA) and clinical function (subjective and objective). Seventeen subjects were recruited with 14 completing the study (NMES group n = 9; Control group n = 5).\nRESULTS: Overall compliance with the programme was excellent (99%). Preoperative QFM strength increased by 28% (p &gt; 0.05) with associated gains in walk, stair-climb and chair-rise times (p &lt; 0.05). Early postoperative strength loss (approximately 50%) was similar in both groups. Only the NMES group demonstrated significant strength (53.3%, p = 0.011) and functional recovery (p &lt; 0.05) from 6 to 12 weeks post-TKA. QFM CSA decreased by 4% in the NMES group compared to a reduction of 12% in the control group (P &gt; 0.05) at 12 weeks postoperatively compared to baseline. There were only limited associations found between objective and subjective functional outcome instruments.\nCONCLUSIONS: This pilot study has shown that preoperative NMES may improve recovery of quadriceps muscle strength and expedite a return to normal activities in patients undergoing TKA for OA. Recommendations for appropriate outcome instruments in future studies of prehabilitation in TKA have been provided.","container-title":"BMC musculoskeletal disorders","DOI":"10.1186/1471-2474-11-119","ISSN":"1471-2474","journalAbbreviation":"BMC Musculoskelet Disord","language":"eng","page":"119","PMID":"20540807","PMCID":"PMC2896350","source":"PubMed","title":"Effects of preoperative neuromuscular electrical stimulation on quadriceps strength and functional recovery in total knee arthroplasty. A pilot study","volume":"11","author":[{"family":"Walls","given":"Raymond J."},{"family":"McHugh","given":"Gavin"},{"family":"O'Gorman","given":"Donal J."},{"family":"Moyna","given":"Niall M."},{"family":"O'Byrne","given":"John M."}],"issued":{"date-parts":[["2010",6,14]]}}},{"id":10040,"uris":["http://zotero.org/users/8514341/items/Y8V7CE5X"],"itemData":{"id":10040,"type":"article-journal","abstract":"Background: This systematic review and meta-analysis aimed to evaluate the effect of neuromuscular electrical stimulation (NMES) on quadriceps muscle strength, pain, and function outcomes following total knee arthroplasty (TKA). Methods: PubMed/Medline, Embase, Web of Science, CENTRAL, Scopus, PsycINFO, PEDro, CINAHL, CNKI, and Wanfang were systematically searched for randomized controlled trials (RCTs) from their inception to 18 June 2021. Results: Nine RCTs that involving 691 patients were included in the meta-analysis. Our pooled analysis showed that NMES improved quadriceps muscle strength after TKA within 1 months [standardized mean difference (SMD): 0.81; 95% CI: 0.51-1.11], 1-2 months (SMD: 0.55; 95% CI: 0.13-0.97), 3-4 months (SMD: 0.42; 95% CI: 0.18-0.66), and 12-13 months (SMD: 0.46; 95% CI: 0.18-0.74), pain between 1 and 2 months [mean difference (MD): -0.62; 95% CI: -1.04 to -0.19], pain between 3 and 6 months (MD: -0.44; 95% CI: -0.74 to -0.14) Western Ontario and McMaster Universities Osteoarthritis Index (WOMAC) between 3 and 4 months (MD: -0.43; 95% CI: -0.82 to -0.05), timed up and go test (TUG) within 1 month (MD: -2.23; 95% CI: -3.40 to -1.07), 3 minutes walk test between 3 and 6 months (MD: 28.35; 95% CI: 14.55-42.15), and SF-36 MCS between 3 and 6 months after TKA (MD: 4.20, 95% CI: 2.41-5.98). Conclusion: As a supplementary treatment after TKA, postoperative NMES could improve the short-term to long-term quadriceps muscle strength, mid-term pain, and mid-term function following TKA. However, many outcomes failed to achieve statistically meaningful changes and minimal clinically important difference (MCID), thus the clinical benefits remained to be confirmed. Level of Evidence: Therapeutic level I. Systematic Review Registration: https://www.crd.york.ac.uk/PROSPERO/, identifier CRD42021265609.","container-title":"Frontiers in Medicine","DOI":"10.3389/fmed.2021.779019","ISSN":"2296-858X","journalAbbreviation":"Front Med (Lausanne)","language":"eng","page":"779019","PMID":"34926522","PMCID":"PMC8677678","source":"PubMed","title":"Effect of Neuromuscular Electrical Stimulation After Total Knee Arthroplasty: A Systematic Review and Meta-Analysis of Randomized Controlled Trials","title-short":"Effect of Neuromuscular Electrical Stimulation After Total Knee Arthroplasty","volume":"8","author":[{"family":"Peng","given":"Linbo"},{"family":"Wang","given":"Kexin"},{"family":"Zeng","given":"Yi"},{"family":"Wu","given":"Yuangang"},{"family":"Si","given":"Haibo"},{"family":"Shen","given":"Bin"}],"issued":{"date-parts":[["2021"]]}}}],"schema":"https://github.com/citation-style-language/schema/raw/master/csl-citation.json"} </w:instrText>
      </w:r>
      <w:r w:rsidR="002E2ED7">
        <w:rPr>
          <w:rFonts w:ascii="Calibri" w:hAnsi="Calibri" w:cs="Calibri"/>
          <w:color w:val="000000" w:themeColor="text1"/>
        </w:rPr>
        <w:fldChar w:fldCharType="separate"/>
      </w:r>
      <w:r w:rsidR="002E2ED7">
        <w:rPr>
          <w:rFonts w:ascii="Calibri" w:hAnsi="Calibri" w:cs="Calibri"/>
          <w:noProof/>
          <w:color w:val="000000" w:themeColor="text1"/>
        </w:rPr>
        <w:t>[13,14]</w:t>
      </w:r>
      <w:r w:rsidR="002E2ED7">
        <w:rPr>
          <w:rFonts w:ascii="Calibri" w:hAnsi="Calibri" w:cs="Calibri"/>
          <w:color w:val="000000" w:themeColor="text1"/>
        </w:rPr>
        <w:fldChar w:fldCharType="end"/>
      </w:r>
      <w:r w:rsidRPr="008E5154">
        <w:rPr>
          <w:rFonts w:ascii="Calibri" w:hAnsi="Calibri" w:cs="Calibri"/>
          <w:color w:val="000000" w:themeColor="text1"/>
        </w:rPr>
        <w:t>.</w:t>
      </w:r>
      <w:r>
        <w:rPr>
          <w:rFonts w:ascii="Calibri" w:hAnsi="Calibri" w:cs="Calibri"/>
          <w:color w:val="000000" w:themeColor="text1"/>
        </w:rPr>
        <w:t xml:space="preserve"> </w:t>
      </w:r>
      <w:r w:rsidRPr="008E5154">
        <w:rPr>
          <w:rFonts w:ascii="Calibri" w:hAnsi="Calibri" w:cs="Calibri"/>
          <w:color w:val="000000" w:themeColor="text1"/>
        </w:rPr>
        <w:t xml:space="preserve">Exercise-based tele-prehabilitation represents another feasible strategy. Supervised exercise delivered by videoconference allows real-time physiotherapist monitoring, correction of movement execution, and individualized progression. Conversely, a structured brochure-guided home exercise program may represent a simpler and more scalable approach, </w:t>
      </w:r>
      <w:proofErr w:type="gramStart"/>
      <w:r w:rsidRPr="008E5154">
        <w:rPr>
          <w:rFonts w:ascii="Calibri" w:hAnsi="Calibri" w:cs="Calibri"/>
          <w:color w:val="000000" w:themeColor="text1"/>
        </w:rPr>
        <w:t>requiring</w:t>
      </w:r>
      <w:proofErr w:type="gramEnd"/>
      <w:r w:rsidRPr="008E5154">
        <w:rPr>
          <w:rFonts w:ascii="Calibri" w:hAnsi="Calibri" w:cs="Calibri"/>
          <w:color w:val="000000" w:themeColor="text1"/>
        </w:rPr>
        <w:t xml:space="preserve"> fewer healthcare resources while still providing patients with standardized instructions for preoperative strengthening and mobility training.</w:t>
      </w:r>
      <w:r>
        <w:rPr>
          <w:rFonts w:ascii="Calibri" w:hAnsi="Calibri" w:cs="Calibri"/>
          <w:color w:val="000000" w:themeColor="text1"/>
        </w:rPr>
        <w:t xml:space="preserve"> </w:t>
      </w:r>
      <w:r w:rsidRPr="008E5154">
        <w:rPr>
          <w:rFonts w:ascii="Calibri" w:hAnsi="Calibri" w:cs="Calibri"/>
          <w:color w:val="000000" w:themeColor="text1"/>
        </w:rPr>
        <w:t xml:space="preserve">To date, evidence specifically addressing tele-prehabilitation before lower limb arthroplasty remains limited, and few studies have directly compared different remote strategies within the same randomized framework. </w:t>
      </w:r>
      <w:proofErr w:type="gramStart"/>
      <w:r w:rsidRPr="008E5154">
        <w:rPr>
          <w:rFonts w:ascii="Calibri" w:hAnsi="Calibri" w:cs="Calibri"/>
          <w:color w:val="000000" w:themeColor="text1"/>
        </w:rPr>
        <w:t>In particular, it</w:t>
      </w:r>
      <w:proofErr w:type="gramEnd"/>
      <w:r w:rsidRPr="008E5154">
        <w:rPr>
          <w:rFonts w:ascii="Calibri" w:hAnsi="Calibri" w:cs="Calibri"/>
          <w:color w:val="000000" w:themeColor="text1"/>
        </w:rPr>
        <w:t xml:space="preserve"> remains unclear whether technology-assisted neuromuscular electrical stimulation, </w:t>
      </w:r>
      <w:r w:rsidRPr="008E5154">
        <w:rPr>
          <w:rFonts w:ascii="Calibri" w:hAnsi="Calibri" w:cs="Calibri"/>
          <w:color w:val="000000" w:themeColor="text1"/>
        </w:rPr>
        <w:lastRenderedPageBreak/>
        <w:t>physiotherapist-supervised online exercise, and structured unsupervised home exercise differ in their effects on functional outcomes before surgery.</w:t>
      </w:r>
      <w:r>
        <w:rPr>
          <w:rFonts w:ascii="Calibri" w:hAnsi="Calibri" w:cs="Calibri"/>
          <w:color w:val="000000" w:themeColor="text1"/>
        </w:rPr>
        <w:t xml:space="preserve"> </w:t>
      </w:r>
      <w:proofErr w:type="gramStart"/>
      <w:r w:rsidRPr="008E5154">
        <w:rPr>
          <w:rFonts w:ascii="Calibri" w:hAnsi="Calibri" w:cs="Calibri"/>
          <w:color w:val="000000" w:themeColor="text1"/>
        </w:rPr>
        <w:t>On the basis of</w:t>
      </w:r>
      <w:proofErr w:type="gramEnd"/>
      <w:r w:rsidRPr="008E5154">
        <w:rPr>
          <w:rFonts w:ascii="Calibri" w:hAnsi="Calibri" w:cs="Calibri"/>
          <w:color w:val="000000" w:themeColor="text1"/>
        </w:rPr>
        <w:t xml:space="preserve"> this rationale, this study was designed to evaluate and compare the effects of three four-week home-based tele-prehabilitation strategies in patients scheduled for elective total hip or knee arthroplasty: neuromuscular electrical stimulation, physiotherapist-supervised videoconference exercise, and brochure-guided unsupervised home exercise. The proposed study differs from much of the existing literature because the intervention is delivered remotely and because it compares three scalable preoperative rehabilitation approaches with different levels of technological support, therapist supervision, and patient autonomy</w:t>
      </w:r>
      <w:r w:rsidR="00D84A25" w:rsidRPr="00154EA0">
        <w:rPr>
          <w:rFonts w:ascii="Calibri" w:hAnsi="Calibri" w:cs="Calibri"/>
          <w:color w:val="000000" w:themeColor="text1"/>
        </w:rPr>
        <w:t>.</w:t>
      </w:r>
    </w:p>
    <w:p w14:paraId="604E7BD1" w14:textId="079DDA0E" w:rsidR="008A7018" w:rsidRPr="00154EA0" w:rsidRDefault="007E47CD" w:rsidP="000E630C">
      <w:pPr>
        <w:pStyle w:val="Titolo1"/>
        <w:numPr>
          <w:ilvl w:val="0"/>
          <w:numId w:val="11"/>
        </w:numPr>
        <w:ind w:left="142" w:hanging="142"/>
        <w:rPr>
          <w:color w:val="000000" w:themeColor="text1"/>
          <w:sz w:val="24"/>
          <w:szCs w:val="24"/>
          <w:lang w:val="it-IT"/>
        </w:rPr>
      </w:pPr>
      <w:bookmarkStart w:id="0" w:name="_Toc94347114"/>
      <w:r>
        <w:rPr>
          <w:color w:val="000000" w:themeColor="text1"/>
          <w:sz w:val="24"/>
          <w:szCs w:val="24"/>
          <w:lang w:val="it-IT"/>
        </w:rPr>
        <w:t xml:space="preserve"> </w:t>
      </w:r>
      <w:bookmarkEnd w:id="0"/>
      <w:r w:rsidR="00D438C6">
        <w:rPr>
          <w:color w:val="000000" w:themeColor="text1"/>
          <w:sz w:val="24"/>
          <w:szCs w:val="24"/>
          <w:lang w:val="it-IT"/>
        </w:rPr>
        <w:t>Aims and study design</w:t>
      </w:r>
      <w:r w:rsidR="0076306B" w:rsidRPr="00154EA0">
        <w:rPr>
          <w:color w:val="000000" w:themeColor="text1"/>
          <w:sz w:val="24"/>
          <w:szCs w:val="24"/>
          <w:lang w:val="it-IT"/>
        </w:rPr>
        <w:t xml:space="preserve"> </w:t>
      </w:r>
    </w:p>
    <w:p w14:paraId="5F275ECB" w14:textId="0904D419" w:rsidR="008A7018" w:rsidRPr="00154EA0" w:rsidRDefault="0076306B" w:rsidP="00C15BB0">
      <w:pPr>
        <w:pBdr>
          <w:top w:val="nil"/>
          <w:left w:val="nil"/>
          <w:bottom w:val="nil"/>
          <w:right w:val="nil"/>
          <w:between w:val="nil"/>
        </w:pBdr>
        <w:spacing w:after="60"/>
        <w:jc w:val="both"/>
        <w:rPr>
          <w:rFonts w:ascii="Arial" w:hAnsi="Arial" w:cs="Arial"/>
          <w:b/>
          <w:bCs/>
          <w:color w:val="000000" w:themeColor="text1"/>
        </w:rPr>
      </w:pPr>
      <w:r w:rsidRPr="00154EA0">
        <w:rPr>
          <w:rFonts w:ascii="Arial" w:hAnsi="Arial" w:cs="Arial"/>
          <w:b/>
          <w:bCs/>
          <w:color w:val="000000" w:themeColor="text1"/>
        </w:rPr>
        <w:t xml:space="preserve">2.1 </w:t>
      </w:r>
      <w:r w:rsidR="00D438C6">
        <w:rPr>
          <w:rFonts w:ascii="Arial" w:hAnsi="Arial" w:cs="Arial"/>
          <w:b/>
          <w:bCs/>
          <w:color w:val="000000" w:themeColor="text1"/>
        </w:rPr>
        <w:t>Primary aim of the study</w:t>
      </w:r>
    </w:p>
    <w:p w14:paraId="1336E512" w14:textId="77777777" w:rsidR="00D438C6" w:rsidRPr="00D438C6" w:rsidRDefault="00D438C6" w:rsidP="00D438C6">
      <w:pPr>
        <w:spacing w:after="160" w:line="259" w:lineRule="auto"/>
        <w:jc w:val="both"/>
        <w:rPr>
          <w:color w:val="000000" w:themeColor="text1"/>
        </w:rPr>
      </w:pPr>
      <w:r w:rsidRPr="00D438C6">
        <w:rPr>
          <w:color w:val="000000" w:themeColor="text1"/>
        </w:rPr>
        <w:t>The primary objective of this study is to compare the effect of three home-based tele-prehabilitation strategies on functional outcomes in patients scheduled for elective lower limb arthroplasty, including total hip arthroplasty and total knee arthroplasty.</w:t>
      </w:r>
    </w:p>
    <w:p w14:paraId="3BFE9C43" w14:textId="77777777" w:rsidR="00D438C6" w:rsidRPr="00D438C6" w:rsidRDefault="00D438C6" w:rsidP="00D438C6">
      <w:pPr>
        <w:spacing w:after="160" w:line="259" w:lineRule="auto"/>
        <w:jc w:val="both"/>
        <w:rPr>
          <w:color w:val="000000" w:themeColor="text1"/>
        </w:rPr>
      </w:pPr>
      <w:r w:rsidRPr="00D438C6">
        <w:rPr>
          <w:color w:val="000000" w:themeColor="text1"/>
        </w:rPr>
        <w:t>The three strategies are:</w:t>
      </w:r>
    </w:p>
    <w:p w14:paraId="31BD7D13" w14:textId="77777777" w:rsidR="00D438C6" w:rsidRPr="00D438C6" w:rsidRDefault="00D438C6" w:rsidP="00D438C6">
      <w:pPr>
        <w:numPr>
          <w:ilvl w:val="0"/>
          <w:numId w:val="16"/>
        </w:numPr>
        <w:spacing w:after="160" w:line="259" w:lineRule="auto"/>
        <w:jc w:val="both"/>
        <w:rPr>
          <w:color w:val="000000" w:themeColor="text1"/>
        </w:rPr>
      </w:pPr>
      <w:r w:rsidRPr="00D438C6">
        <w:rPr>
          <w:color w:val="000000" w:themeColor="text1"/>
        </w:rPr>
        <w:t>Neuromuscular electrical stimulation of the quadriceps performed at home with a portable device.</w:t>
      </w:r>
    </w:p>
    <w:p w14:paraId="4D74075C" w14:textId="77777777" w:rsidR="00D438C6" w:rsidRPr="00D438C6" w:rsidRDefault="00D438C6" w:rsidP="00D438C6">
      <w:pPr>
        <w:numPr>
          <w:ilvl w:val="0"/>
          <w:numId w:val="16"/>
        </w:numPr>
        <w:spacing w:after="160" w:line="259" w:lineRule="auto"/>
        <w:jc w:val="both"/>
        <w:rPr>
          <w:color w:val="000000" w:themeColor="text1"/>
        </w:rPr>
      </w:pPr>
      <w:r w:rsidRPr="00D438C6">
        <w:rPr>
          <w:color w:val="000000" w:themeColor="text1"/>
        </w:rPr>
        <w:t>Physiotherapist-supervised exercise delivered in real time by videoconference.</w:t>
      </w:r>
    </w:p>
    <w:p w14:paraId="774B3CDE" w14:textId="77777777" w:rsidR="00D438C6" w:rsidRPr="00D438C6" w:rsidRDefault="00D438C6" w:rsidP="00D438C6">
      <w:pPr>
        <w:numPr>
          <w:ilvl w:val="0"/>
          <w:numId w:val="16"/>
        </w:numPr>
        <w:spacing w:after="160" w:line="259" w:lineRule="auto"/>
        <w:jc w:val="both"/>
        <w:rPr>
          <w:color w:val="000000" w:themeColor="text1"/>
        </w:rPr>
      </w:pPr>
      <w:r w:rsidRPr="00D438C6">
        <w:rPr>
          <w:color w:val="000000" w:themeColor="text1"/>
        </w:rPr>
        <w:t>Brochure-guided unsupervised home exercise.</w:t>
      </w:r>
    </w:p>
    <w:p w14:paraId="1C6B18CC" w14:textId="77777777" w:rsidR="00D438C6" w:rsidRPr="00D438C6" w:rsidRDefault="00D438C6" w:rsidP="00D438C6">
      <w:pPr>
        <w:spacing w:after="160" w:line="259" w:lineRule="auto"/>
        <w:jc w:val="both"/>
        <w:rPr>
          <w:color w:val="000000" w:themeColor="text1"/>
        </w:rPr>
      </w:pPr>
      <w:r w:rsidRPr="00D438C6">
        <w:rPr>
          <w:color w:val="000000" w:themeColor="text1"/>
        </w:rPr>
        <w:t>The main functional outcome used for sample size estimation is the Six-Minute Walk Test, which was selected because it is a clinically relevant measure of postoperative functional recovery after lower limb arthroplasty. Additional preoperative functional outcomes will include the 30-Second Chair Stand Test, the Timed Up and Go test, and the Oxford Hip Score or Oxford Knee Score, according to the type of arthroplasty.</w:t>
      </w:r>
    </w:p>
    <w:p w14:paraId="0EBC8CAC" w14:textId="0E3B479C" w:rsidR="00C103F7" w:rsidRPr="00154EA0" w:rsidRDefault="00D84A25" w:rsidP="00C15BB0">
      <w:pPr>
        <w:jc w:val="both"/>
        <w:rPr>
          <w:color w:val="000000" w:themeColor="text1"/>
        </w:rPr>
      </w:pPr>
      <w:r w:rsidRPr="00154EA0">
        <w:rPr>
          <w:color w:val="000000" w:themeColor="text1"/>
        </w:rPr>
        <w:t>.</w:t>
      </w:r>
    </w:p>
    <w:p w14:paraId="1ACFB678" w14:textId="4EE62B2B" w:rsidR="00196363" w:rsidRPr="00154EA0" w:rsidRDefault="00196363" w:rsidP="00196363">
      <w:pPr>
        <w:pStyle w:val="Didascalia"/>
        <w:keepNext/>
        <w:rPr>
          <w:color w:val="000000" w:themeColor="text1"/>
        </w:rPr>
      </w:pPr>
      <w:proofErr w:type="spellStart"/>
      <w:r w:rsidRPr="00154EA0">
        <w:rPr>
          <w:color w:val="000000" w:themeColor="text1"/>
        </w:rPr>
        <w:t>Tabella</w:t>
      </w:r>
      <w:proofErr w:type="spellEnd"/>
      <w:r w:rsidRPr="00154EA0">
        <w:rPr>
          <w:color w:val="000000" w:themeColor="text1"/>
        </w:rPr>
        <w:t xml:space="preserve"> </w:t>
      </w:r>
      <w:r w:rsidR="00012EFB" w:rsidRPr="00154EA0">
        <w:rPr>
          <w:noProof/>
          <w:color w:val="000000" w:themeColor="text1"/>
        </w:rPr>
        <w:fldChar w:fldCharType="begin"/>
      </w:r>
      <w:r w:rsidR="00012EFB" w:rsidRPr="00154EA0">
        <w:rPr>
          <w:noProof/>
          <w:color w:val="000000" w:themeColor="text1"/>
        </w:rPr>
        <w:instrText xml:space="preserve"> SEQ Tabella \* ARABIC </w:instrText>
      </w:r>
      <w:r w:rsidR="00012EFB" w:rsidRPr="00154EA0">
        <w:rPr>
          <w:noProof/>
          <w:color w:val="000000" w:themeColor="text1"/>
        </w:rPr>
        <w:fldChar w:fldCharType="separate"/>
      </w:r>
      <w:r w:rsidR="0055660D" w:rsidRPr="00154EA0">
        <w:rPr>
          <w:noProof/>
          <w:color w:val="000000" w:themeColor="text1"/>
        </w:rPr>
        <w:t>1</w:t>
      </w:r>
      <w:r w:rsidR="00012EFB" w:rsidRPr="00154EA0">
        <w:rPr>
          <w:noProof/>
          <w:color w:val="000000" w:themeColor="text1"/>
        </w:rPr>
        <w:fldChar w:fldCharType="end"/>
      </w:r>
      <w:r w:rsidRPr="00154EA0">
        <w:rPr>
          <w:color w:val="000000" w:themeColor="text1"/>
        </w:rPr>
        <w:t>,Obiettivi</w:t>
      </w:r>
      <w:r w:rsidR="0055660D" w:rsidRPr="00154EA0">
        <w:rPr>
          <w:color w:val="000000" w:themeColor="text1"/>
        </w:rPr>
        <w:t xml:space="preserve">, endpoint ed </w:t>
      </w:r>
      <w:proofErr w:type="spellStart"/>
      <w:r w:rsidR="0055660D" w:rsidRPr="00154EA0">
        <w:rPr>
          <w:color w:val="000000" w:themeColor="text1"/>
        </w:rPr>
        <w:t>unità</w:t>
      </w:r>
      <w:proofErr w:type="spellEnd"/>
      <w:r w:rsidR="0055660D" w:rsidRPr="00154EA0">
        <w:rPr>
          <w:color w:val="000000" w:themeColor="text1"/>
        </w:rPr>
        <w:t xml:space="preserve"> di </w:t>
      </w:r>
      <w:proofErr w:type="spellStart"/>
      <w:r w:rsidR="0055660D" w:rsidRPr="00154EA0">
        <w:rPr>
          <w:color w:val="000000" w:themeColor="text1"/>
        </w:rPr>
        <w:t>misura</w:t>
      </w:r>
      <w:proofErr w:type="spellEnd"/>
    </w:p>
    <w:tbl>
      <w:tblPr>
        <w:tblW w:w="96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51"/>
        <w:gridCol w:w="4252"/>
        <w:gridCol w:w="2126"/>
      </w:tblGrid>
      <w:tr w:rsidR="00D438C6" w:rsidRPr="00154EA0" w14:paraId="2633CB37" w14:textId="77777777" w:rsidTr="00567DCD">
        <w:tc>
          <w:tcPr>
            <w:tcW w:w="3251" w:type="dxa"/>
            <w:vAlign w:val="center"/>
          </w:tcPr>
          <w:p w14:paraId="25B9CD17" w14:textId="469CC973" w:rsidR="00D438C6" w:rsidRPr="00154EA0" w:rsidRDefault="00D438C6" w:rsidP="00D438C6">
            <w:pPr>
              <w:jc w:val="center"/>
              <w:rPr>
                <w:rFonts w:asciiTheme="minorHAnsi" w:hAnsiTheme="minorHAnsi" w:cstheme="minorHAnsi"/>
                <w:b/>
                <w:color w:val="000000" w:themeColor="text1"/>
                <w:sz w:val="20"/>
                <w:szCs w:val="20"/>
              </w:rPr>
            </w:pPr>
            <w:r>
              <w:rPr>
                <w:b/>
                <w:bCs/>
                <w:color w:val="000000"/>
              </w:rPr>
              <w:t>Objective</w:t>
            </w:r>
          </w:p>
        </w:tc>
        <w:tc>
          <w:tcPr>
            <w:tcW w:w="4252" w:type="dxa"/>
            <w:tcMar>
              <w:top w:w="0" w:type="dxa"/>
              <w:left w:w="108" w:type="dxa"/>
              <w:bottom w:w="0" w:type="dxa"/>
              <w:right w:w="108" w:type="dxa"/>
            </w:tcMar>
            <w:vAlign w:val="center"/>
          </w:tcPr>
          <w:p w14:paraId="63FDAC77" w14:textId="11FD101D" w:rsidR="00D438C6" w:rsidRPr="00154EA0" w:rsidRDefault="00D438C6" w:rsidP="00D438C6">
            <w:pPr>
              <w:jc w:val="center"/>
              <w:rPr>
                <w:rFonts w:asciiTheme="minorHAnsi" w:hAnsiTheme="minorHAnsi" w:cstheme="minorHAnsi"/>
                <w:b/>
                <w:color w:val="000000" w:themeColor="text1"/>
                <w:sz w:val="20"/>
                <w:szCs w:val="20"/>
              </w:rPr>
            </w:pPr>
            <w:r>
              <w:rPr>
                <w:b/>
                <w:bCs/>
                <w:color w:val="000000"/>
              </w:rPr>
              <w:t>Endpoint</w:t>
            </w:r>
          </w:p>
        </w:tc>
        <w:tc>
          <w:tcPr>
            <w:tcW w:w="2126" w:type="dxa"/>
            <w:vAlign w:val="center"/>
          </w:tcPr>
          <w:p w14:paraId="15CE4B84" w14:textId="5B350005" w:rsidR="00D438C6" w:rsidRPr="00154EA0" w:rsidRDefault="00D438C6" w:rsidP="00D438C6">
            <w:pPr>
              <w:jc w:val="center"/>
              <w:rPr>
                <w:rFonts w:asciiTheme="minorHAnsi" w:hAnsiTheme="minorHAnsi" w:cstheme="minorHAnsi"/>
                <w:b/>
                <w:color w:val="000000" w:themeColor="text1"/>
                <w:sz w:val="20"/>
                <w:szCs w:val="20"/>
              </w:rPr>
            </w:pPr>
            <w:r>
              <w:rPr>
                <w:b/>
                <w:bCs/>
                <w:color w:val="000000"/>
              </w:rPr>
              <w:t>Unit of measurement</w:t>
            </w:r>
          </w:p>
        </w:tc>
      </w:tr>
      <w:tr w:rsidR="00D438C6" w:rsidRPr="00154EA0" w14:paraId="412C5E47" w14:textId="77777777" w:rsidTr="00567DCD">
        <w:tc>
          <w:tcPr>
            <w:tcW w:w="3251" w:type="dxa"/>
            <w:vAlign w:val="center"/>
          </w:tcPr>
          <w:p w14:paraId="24CBA30F" w14:textId="353AE7BC" w:rsidR="00D438C6" w:rsidRPr="00154EA0" w:rsidRDefault="00D438C6" w:rsidP="00D438C6">
            <w:pPr>
              <w:pBdr>
                <w:top w:val="nil"/>
                <w:left w:val="nil"/>
                <w:bottom w:val="nil"/>
                <w:right w:val="nil"/>
                <w:between w:val="nil"/>
              </w:pBdr>
              <w:jc w:val="both"/>
              <w:rPr>
                <w:rFonts w:asciiTheme="minorHAnsi" w:hAnsiTheme="minorHAnsi" w:cstheme="minorHAnsi"/>
                <w:b/>
                <w:color w:val="000000" w:themeColor="text1"/>
                <w:sz w:val="20"/>
                <w:szCs w:val="20"/>
              </w:rPr>
            </w:pPr>
            <w:r>
              <w:rPr>
                <w:rStyle w:val="Enfasigrassetto"/>
                <w:color w:val="000000"/>
              </w:rPr>
              <w:t>OB 1:</w:t>
            </w:r>
            <w:r>
              <w:rPr>
                <w:rStyle w:val="apple-converted-space"/>
                <w:color w:val="000000"/>
              </w:rPr>
              <w:t> </w:t>
            </w:r>
            <w:r>
              <w:rPr>
                <w:color w:val="000000"/>
              </w:rPr>
              <w:t>To compare functional walking capacity among the three intervention groups.</w:t>
            </w:r>
          </w:p>
        </w:tc>
        <w:tc>
          <w:tcPr>
            <w:tcW w:w="4252" w:type="dxa"/>
            <w:tcMar>
              <w:top w:w="0" w:type="dxa"/>
              <w:left w:w="108" w:type="dxa"/>
              <w:bottom w:w="0" w:type="dxa"/>
              <w:right w:w="108" w:type="dxa"/>
            </w:tcMar>
            <w:vAlign w:val="center"/>
          </w:tcPr>
          <w:p w14:paraId="333B3C35" w14:textId="2D9400D3" w:rsidR="00D438C6" w:rsidRPr="00154EA0" w:rsidRDefault="00D438C6" w:rsidP="00D438C6">
            <w:pPr>
              <w:jc w:val="both"/>
              <w:rPr>
                <w:rFonts w:asciiTheme="minorHAnsi" w:hAnsiTheme="minorHAnsi" w:cstheme="minorHAnsi"/>
                <w:b/>
                <w:color w:val="000000" w:themeColor="text1"/>
                <w:sz w:val="20"/>
                <w:szCs w:val="20"/>
              </w:rPr>
            </w:pPr>
            <w:r>
              <w:rPr>
                <w:rStyle w:val="Enfasigrassetto"/>
                <w:color w:val="000000"/>
              </w:rPr>
              <w:t>EP 1:</w:t>
            </w:r>
            <w:r>
              <w:rPr>
                <w:rStyle w:val="apple-converted-space"/>
                <w:color w:val="000000"/>
              </w:rPr>
              <w:t> </w:t>
            </w:r>
            <w:r>
              <w:rPr>
                <w:color w:val="000000"/>
              </w:rPr>
              <w:t>Six-Minute Walk Test distance assessed postoperatively.</w:t>
            </w:r>
          </w:p>
        </w:tc>
        <w:tc>
          <w:tcPr>
            <w:tcW w:w="2126" w:type="dxa"/>
            <w:vAlign w:val="center"/>
          </w:tcPr>
          <w:p w14:paraId="02819B38" w14:textId="1DF871BA" w:rsidR="00D438C6" w:rsidRPr="00154EA0" w:rsidRDefault="00D438C6" w:rsidP="00D438C6">
            <w:pPr>
              <w:rPr>
                <w:rFonts w:asciiTheme="minorHAnsi" w:hAnsiTheme="minorHAnsi" w:cstheme="minorHAnsi"/>
                <w:color w:val="000000" w:themeColor="text1"/>
                <w:sz w:val="20"/>
                <w:szCs w:val="20"/>
              </w:rPr>
            </w:pPr>
            <w:r>
              <w:rPr>
                <w:color w:val="000000"/>
              </w:rPr>
              <w:t>Meters</w:t>
            </w:r>
          </w:p>
        </w:tc>
      </w:tr>
      <w:tr w:rsidR="00D438C6" w:rsidRPr="00154EA0" w14:paraId="3666DFE2" w14:textId="77777777" w:rsidTr="00567DCD">
        <w:tc>
          <w:tcPr>
            <w:tcW w:w="3251" w:type="dxa"/>
            <w:vAlign w:val="center"/>
          </w:tcPr>
          <w:p w14:paraId="2C07C2AA" w14:textId="459F4A0B" w:rsidR="00D438C6" w:rsidRPr="00154EA0" w:rsidRDefault="00D438C6" w:rsidP="00D438C6">
            <w:pPr>
              <w:pBdr>
                <w:top w:val="nil"/>
                <w:left w:val="nil"/>
                <w:bottom w:val="nil"/>
                <w:right w:val="nil"/>
                <w:between w:val="nil"/>
              </w:pBdr>
              <w:jc w:val="both"/>
              <w:rPr>
                <w:rFonts w:asciiTheme="minorHAnsi" w:hAnsiTheme="minorHAnsi" w:cstheme="minorHAnsi"/>
                <w:color w:val="000000" w:themeColor="text1"/>
                <w:sz w:val="20"/>
                <w:szCs w:val="20"/>
              </w:rPr>
            </w:pPr>
            <w:r>
              <w:rPr>
                <w:rStyle w:val="Enfasigrassetto"/>
                <w:color w:val="000000"/>
              </w:rPr>
              <w:t>OB 2:</w:t>
            </w:r>
            <w:r>
              <w:rPr>
                <w:rStyle w:val="apple-converted-space"/>
                <w:color w:val="000000"/>
              </w:rPr>
              <w:t> </w:t>
            </w:r>
            <w:r>
              <w:rPr>
                <w:color w:val="000000"/>
              </w:rPr>
              <w:t>To compare pre-post changes in lower limb functional capacity among the three groups.</w:t>
            </w:r>
          </w:p>
        </w:tc>
        <w:tc>
          <w:tcPr>
            <w:tcW w:w="4252" w:type="dxa"/>
            <w:tcMar>
              <w:top w:w="0" w:type="dxa"/>
              <w:left w:w="108" w:type="dxa"/>
              <w:bottom w:w="0" w:type="dxa"/>
              <w:right w:w="108" w:type="dxa"/>
            </w:tcMar>
            <w:vAlign w:val="center"/>
          </w:tcPr>
          <w:p w14:paraId="40C3CAC0" w14:textId="0EDEAD5A" w:rsidR="00D438C6" w:rsidRPr="00154EA0" w:rsidRDefault="00D438C6" w:rsidP="00D438C6">
            <w:pPr>
              <w:jc w:val="both"/>
              <w:rPr>
                <w:rFonts w:asciiTheme="minorHAnsi" w:hAnsiTheme="minorHAnsi" w:cstheme="minorHAnsi"/>
                <w:color w:val="000000" w:themeColor="text1"/>
                <w:sz w:val="20"/>
                <w:szCs w:val="20"/>
              </w:rPr>
            </w:pPr>
            <w:r>
              <w:rPr>
                <w:rStyle w:val="Enfasigrassetto"/>
                <w:color w:val="000000"/>
              </w:rPr>
              <w:t>EP 2:</w:t>
            </w:r>
            <w:r>
              <w:rPr>
                <w:rStyle w:val="apple-converted-space"/>
                <w:color w:val="000000"/>
              </w:rPr>
              <w:t> </w:t>
            </w:r>
            <w:r>
              <w:rPr>
                <w:color w:val="000000"/>
              </w:rPr>
              <w:t>Change from baseline to postintervention in the 30-Second Chair Stand Test.</w:t>
            </w:r>
          </w:p>
        </w:tc>
        <w:tc>
          <w:tcPr>
            <w:tcW w:w="2126" w:type="dxa"/>
            <w:vAlign w:val="center"/>
          </w:tcPr>
          <w:p w14:paraId="420E3728" w14:textId="7AB90080" w:rsidR="00D438C6" w:rsidRPr="00154EA0" w:rsidRDefault="00D438C6" w:rsidP="00D438C6">
            <w:pPr>
              <w:rPr>
                <w:rFonts w:asciiTheme="minorHAnsi" w:hAnsiTheme="minorHAnsi" w:cstheme="minorHAnsi"/>
                <w:color w:val="000000" w:themeColor="text1"/>
                <w:sz w:val="20"/>
                <w:szCs w:val="20"/>
              </w:rPr>
            </w:pPr>
            <w:r>
              <w:rPr>
                <w:color w:val="000000"/>
              </w:rPr>
              <w:t>Number of repetitions</w:t>
            </w:r>
          </w:p>
        </w:tc>
      </w:tr>
      <w:tr w:rsidR="00D438C6" w:rsidRPr="00154EA0" w14:paraId="4211ED33" w14:textId="77777777" w:rsidTr="00567DCD">
        <w:trPr>
          <w:trHeight w:val="1025"/>
        </w:trPr>
        <w:tc>
          <w:tcPr>
            <w:tcW w:w="3251" w:type="dxa"/>
            <w:vAlign w:val="center"/>
          </w:tcPr>
          <w:p w14:paraId="23A7BF97" w14:textId="2BD98D8E" w:rsidR="00D438C6" w:rsidRPr="00154EA0" w:rsidRDefault="00D438C6" w:rsidP="00D438C6">
            <w:pPr>
              <w:jc w:val="both"/>
              <w:rPr>
                <w:rFonts w:asciiTheme="minorHAnsi" w:hAnsiTheme="minorHAnsi" w:cstheme="minorHAnsi"/>
                <w:color w:val="000000" w:themeColor="text1"/>
                <w:sz w:val="20"/>
                <w:szCs w:val="20"/>
              </w:rPr>
            </w:pPr>
            <w:r>
              <w:rPr>
                <w:rStyle w:val="Enfasigrassetto"/>
                <w:color w:val="000000"/>
              </w:rPr>
              <w:lastRenderedPageBreak/>
              <w:t>OB 3:</w:t>
            </w:r>
            <w:r>
              <w:rPr>
                <w:rStyle w:val="apple-converted-space"/>
                <w:color w:val="000000"/>
              </w:rPr>
              <w:t> </w:t>
            </w:r>
            <w:r>
              <w:rPr>
                <w:color w:val="000000"/>
              </w:rPr>
              <w:t>To compare pre-post changes in functional mobility among the three groups.</w:t>
            </w:r>
          </w:p>
        </w:tc>
        <w:tc>
          <w:tcPr>
            <w:tcW w:w="4252" w:type="dxa"/>
            <w:tcMar>
              <w:top w:w="0" w:type="dxa"/>
              <w:left w:w="108" w:type="dxa"/>
              <w:bottom w:w="0" w:type="dxa"/>
              <w:right w:w="108" w:type="dxa"/>
            </w:tcMar>
            <w:vAlign w:val="center"/>
          </w:tcPr>
          <w:p w14:paraId="756DB934" w14:textId="42581B8B" w:rsidR="00D438C6" w:rsidRPr="00154EA0" w:rsidRDefault="00D438C6" w:rsidP="00D438C6">
            <w:pPr>
              <w:jc w:val="both"/>
              <w:rPr>
                <w:rFonts w:asciiTheme="minorHAnsi" w:hAnsiTheme="minorHAnsi" w:cstheme="minorHAnsi"/>
                <w:color w:val="000000" w:themeColor="text1"/>
                <w:sz w:val="20"/>
                <w:szCs w:val="20"/>
              </w:rPr>
            </w:pPr>
            <w:r>
              <w:rPr>
                <w:rStyle w:val="Enfasigrassetto"/>
                <w:color w:val="000000"/>
              </w:rPr>
              <w:t>EP 3:</w:t>
            </w:r>
            <w:r>
              <w:rPr>
                <w:rStyle w:val="apple-converted-space"/>
                <w:color w:val="000000"/>
              </w:rPr>
              <w:t> </w:t>
            </w:r>
            <w:r>
              <w:rPr>
                <w:color w:val="000000"/>
              </w:rPr>
              <w:t>Change from baseline to postintervention in the Timed Up and Go test.</w:t>
            </w:r>
          </w:p>
        </w:tc>
        <w:tc>
          <w:tcPr>
            <w:tcW w:w="2126" w:type="dxa"/>
            <w:vAlign w:val="center"/>
          </w:tcPr>
          <w:p w14:paraId="3F9E96F4" w14:textId="4925686E" w:rsidR="00D438C6" w:rsidRPr="00154EA0" w:rsidRDefault="00D438C6" w:rsidP="00D438C6">
            <w:pPr>
              <w:rPr>
                <w:rFonts w:asciiTheme="minorHAnsi" w:hAnsiTheme="minorHAnsi" w:cstheme="minorHAnsi"/>
                <w:color w:val="000000" w:themeColor="text1"/>
                <w:sz w:val="20"/>
                <w:szCs w:val="20"/>
              </w:rPr>
            </w:pPr>
            <w:r>
              <w:rPr>
                <w:color w:val="000000"/>
              </w:rPr>
              <w:t>Seconds</w:t>
            </w:r>
          </w:p>
        </w:tc>
      </w:tr>
      <w:tr w:rsidR="00D438C6" w:rsidRPr="00154EA0" w14:paraId="7BCB2E76" w14:textId="77777777" w:rsidTr="00567DCD">
        <w:tc>
          <w:tcPr>
            <w:tcW w:w="3251" w:type="dxa"/>
            <w:vAlign w:val="center"/>
          </w:tcPr>
          <w:p w14:paraId="5AAC8F0B" w14:textId="74390BE6" w:rsidR="00D438C6" w:rsidRPr="00154EA0" w:rsidRDefault="00D438C6" w:rsidP="00D438C6">
            <w:pPr>
              <w:jc w:val="both"/>
              <w:rPr>
                <w:rFonts w:asciiTheme="minorHAnsi" w:hAnsiTheme="minorHAnsi" w:cstheme="minorHAnsi"/>
                <w:color w:val="000000" w:themeColor="text1"/>
                <w:sz w:val="20"/>
                <w:szCs w:val="20"/>
              </w:rPr>
            </w:pPr>
            <w:r>
              <w:rPr>
                <w:rStyle w:val="Enfasigrassetto"/>
                <w:color w:val="000000"/>
              </w:rPr>
              <w:t>OB 4:</w:t>
            </w:r>
            <w:r>
              <w:rPr>
                <w:rStyle w:val="apple-converted-space"/>
                <w:color w:val="000000"/>
              </w:rPr>
              <w:t> </w:t>
            </w:r>
            <w:r>
              <w:rPr>
                <w:color w:val="000000"/>
              </w:rPr>
              <w:t>To compare pre-post changes in joint-specific symptoms and function among the three groups.</w:t>
            </w:r>
          </w:p>
        </w:tc>
        <w:tc>
          <w:tcPr>
            <w:tcW w:w="4252" w:type="dxa"/>
            <w:tcMar>
              <w:top w:w="0" w:type="dxa"/>
              <w:left w:w="108" w:type="dxa"/>
              <w:bottom w:w="0" w:type="dxa"/>
              <w:right w:w="108" w:type="dxa"/>
            </w:tcMar>
            <w:vAlign w:val="center"/>
          </w:tcPr>
          <w:p w14:paraId="5991275E" w14:textId="4B8A75B5" w:rsidR="00D438C6" w:rsidRPr="00154EA0" w:rsidRDefault="00D438C6" w:rsidP="00D438C6">
            <w:pPr>
              <w:jc w:val="both"/>
              <w:rPr>
                <w:rFonts w:asciiTheme="minorHAnsi" w:hAnsiTheme="minorHAnsi" w:cstheme="minorHAnsi"/>
                <w:color w:val="000000" w:themeColor="text1"/>
                <w:sz w:val="20"/>
                <w:szCs w:val="20"/>
              </w:rPr>
            </w:pPr>
            <w:r>
              <w:rPr>
                <w:rStyle w:val="Enfasigrassetto"/>
                <w:color w:val="000000"/>
              </w:rPr>
              <w:t>EP 4:</w:t>
            </w:r>
            <w:r>
              <w:rPr>
                <w:rStyle w:val="apple-converted-space"/>
                <w:color w:val="000000"/>
              </w:rPr>
              <w:t> </w:t>
            </w:r>
            <w:r>
              <w:rPr>
                <w:color w:val="000000"/>
              </w:rPr>
              <w:t>Change from baseline to postintervention in the Oxford Hip Score or Oxford Knee Score, according to arthroplasty type.</w:t>
            </w:r>
          </w:p>
        </w:tc>
        <w:tc>
          <w:tcPr>
            <w:tcW w:w="2126" w:type="dxa"/>
            <w:vAlign w:val="center"/>
          </w:tcPr>
          <w:p w14:paraId="0CB44BC3" w14:textId="3C201A99" w:rsidR="00D438C6" w:rsidRPr="00154EA0" w:rsidRDefault="00D438C6" w:rsidP="00D438C6">
            <w:pPr>
              <w:rPr>
                <w:rFonts w:asciiTheme="minorHAnsi" w:hAnsiTheme="minorHAnsi" w:cstheme="minorHAnsi"/>
                <w:color w:val="000000" w:themeColor="text1"/>
                <w:sz w:val="20"/>
                <w:szCs w:val="20"/>
              </w:rPr>
            </w:pPr>
            <w:r>
              <w:rPr>
                <w:color w:val="000000"/>
              </w:rPr>
              <w:t>Score from 0 to 48</w:t>
            </w:r>
          </w:p>
        </w:tc>
      </w:tr>
      <w:tr w:rsidR="00D438C6" w:rsidRPr="00154EA0" w14:paraId="6605E062" w14:textId="77777777" w:rsidTr="00567DCD">
        <w:tc>
          <w:tcPr>
            <w:tcW w:w="3251" w:type="dxa"/>
            <w:vAlign w:val="center"/>
          </w:tcPr>
          <w:p w14:paraId="0550BBE2" w14:textId="11E7DA1F" w:rsidR="00D438C6" w:rsidRPr="006749E2" w:rsidRDefault="00D438C6" w:rsidP="00D438C6">
            <w:pPr>
              <w:jc w:val="both"/>
              <w:rPr>
                <w:rFonts w:asciiTheme="minorHAnsi" w:hAnsiTheme="minorHAnsi" w:cstheme="minorHAnsi"/>
                <w:color w:val="000000" w:themeColor="text1"/>
                <w:sz w:val="20"/>
                <w:szCs w:val="20"/>
              </w:rPr>
            </w:pPr>
            <w:r>
              <w:rPr>
                <w:rStyle w:val="Enfasigrassetto"/>
                <w:color w:val="000000"/>
              </w:rPr>
              <w:t>OB 5:</w:t>
            </w:r>
            <w:r>
              <w:rPr>
                <w:rStyle w:val="apple-converted-space"/>
                <w:color w:val="000000"/>
              </w:rPr>
              <w:t> </w:t>
            </w:r>
            <w:r>
              <w:rPr>
                <w:color w:val="000000"/>
              </w:rPr>
              <w:t>To compare early postoperative recovery among the three groups.</w:t>
            </w:r>
          </w:p>
        </w:tc>
        <w:tc>
          <w:tcPr>
            <w:tcW w:w="4252" w:type="dxa"/>
            <w:tcMar>
              <w:top w:w="0" w:type="dxa"/>
              <w:left w:w="108" w:type="dxa"/>
              <w:bottom w:w="0" w:type="dxa"/>
              <w:right w:w="108" w:type="dxa"/>
            </w:tcMar>
            <w:vAlign w:val="center"/>
          </w:tcPr>
          <w:p w14:paraId="145899A5" w14:textId="06A78D4A" w:rsidR="00D438C6" w:rsidRPr="00154EA0" w:rsidRDefault="00D438C6" w:rsidP="00D438C6">
            <w:pPr>
              <w:jc w:val="both"/>
              <w:rPr>
                <w:rFonts w:asciiTheme="minorHAnsi" w:hAnsiTheme="minorHAnsi" w:cstheme="minorHAnsi"/>
                <w:b/>
                <w:color w:val="000000" w:themeColor="text1"/>
                <w:sz w:val="20"/>
                <w:szCs w:val="20"/>
              </w:rPr>
            </w:pPr>
            <w:r>
              <w:rPr>
                <w:rStyle w:val="Enfasigrassetto"/>
                <w:color w:val="000000"/>
              </w:rPr>
              <w:t>EP 5:</w:t>
            </w:r>
            <w:r>
              <w:rPr>
                <w:rStyle w:val="apple-converted-space"/>
                <w:color w:val="000000"/>
              </w:rPr>
              <w:t> </w:t>
            </w:r>
            <w:r>
              <w:rPr>
                <w:color w:val="000000"/>
              </w:rPr>
              <w:t>Six-Minute Walk Test distance assessed on postoperative day 4 and postoperative day 10.</w:t>
            </w:r>
          </w:p>
        </w:tc>
        <w:tc>
          <w:tcPr>
            <w:tcW w:w="2126" w:type="dxa"/>
            <w:vAlign w:val="center"/>
          </w:tcPr>
          <w:p w14:paraId="0A9A8C52" w14:textId="1A2B148E" w:rsidR="00D438C6" w:rsidRPr="00154EA0" w:rsidRDefault="00D438C6" w:rsidP="00D438C6">
            <w:pPr>
              <w:rPr>
                <w:rFonts w:asciiTheme="minorHAnsi" w:hAnsiTheme="minorHAnsi" w:cstheme="minorHAnsi"/>
                <w:color w:val="000000" w:themeColor="text1"/>
                <w:sz w:val="20"/>
                <w:szCs w:val="20"/>
              </w:rPr>
            </w:pPr>
            <w:r>
              <w:rPr>
                <w:color w:val="000000"/>
              </w:rPr>
              <w:t>Meters</w:t>
            </w:r>
          </w:p>
        </w:tc>
      </w:tr>
      <w:tr w:rsidR="00D438C6" w:rsidRPr="00A265CB" w14:paraId="6A7EDD11" w14:textId="77777777" w:rsidTr="00567DCD">
        <w:tc>
          <w:tcPr>
            <w:tcW w:w="3251" w:type="dxa"/>
            <w:vAlign w:val="center"/>
          </w:tcPr>
          <w:p w14:paraId="0A7DEB18" w14:textId="476B388B" w:rsidR="00D438C6" w:rsidRPr="00154EA0" w:rsidRDefault="00D438C6" w:rsidP="00D438C6">
            <w:pPr>
              <w:jc w:val="both"/>
              <w:rPr>
                <w:rFonts w:asciiTheme="minorHAnsi" w:hAnsiTheme="minorHAnsi" w:cstheme="minorHAnsi"/>
                <w:color w:val="000000" w:themeColor="text1"/>
                <w:sz w:val="20"/>
                <w:szCs w:val="20"/>
              </w:rPr>
            </w:pPr>
            <w:r>
              <w:rPr>
                <w:rStyle w:val="Enfasigrassetto"/>
                <w:color w:val="000000"/>
              </w:rPr>
              <w:t>OB 6:</w:t>
            </w:r>
            <w:r>
              <w:rPr>
                <w:rStyle w:val="apple-converted-space"/>
                <w:color w:val="000000"/>
              </w:rPr>
              <w:t> </w:t>
            </w:r>
            <w:r>
              <w:rPr>
                <w:color w:val="000000"/>
              </w:rPr>
              <w:t>To compare hospital resource use among the three groups.</w:t>
            </w:r>
          </w:p>
        </w:tc>
        <w:tc>
          <w:tcPr>
            <w:tcW w:w="4252" w:type="dxa"/>
            <w:tcMar>
              <w:top w:w="0" w:type="dxa"/>
              <w:left w:w="108" w:type="dxa"/>
              <w:bottom w:w="0" w:type="dxa"/>
              <w:right w:w="108" w:type="dxa"/>
            </w:tcMar>
            <w:vAlign w:val="center"/>
          </w:tcPr>
          <w:p w14:paraId="1BB0A2E1" w14:textId="7BDBC0F4" w:rsidR="00D438C6" w:rsidRPr="00154EA0" w:rsidRDefault="00D438C6" w:rsidP="00D438C6">
            <w:pPr>
              <w:jc w:val="both"/>
              <w:rPr>
                <w:rFonts w:asciiTheme="minorHAnsi" w:hAnsiTheme="minorHAnsi" w:cstheme="minorHAnsi"/>
                <w:color w:val="000000" w:themeColor="text1"/>
                <w:sz w:val="20"/>
                <w:szCs w:val="20"/>
              </w:rPr>
            </w:pPr>
            <w:r>
              <w:rPr>
                <w:rStyle w:val="Enfasigrassetto"/>
                <w:color w:val="000000"/>
              </w:rPr>
              <w:t>EP 6:</w:t>
            </w:r>
            <w:r>
              <w:rPr>
                <w:rStyle w:val="apple-converted-space"/>
                <w:color w:val="000000"/>
              </w:rPr>
              <w:t> </w:t>
            </w:r>
            <w:r>
              <w:rPr>
                <w:color w:val="000000"/>
              </w:rPr>
              <w:t>Length of hospital stay, defined as number of days from surgery to discharge.</w:t>
            </w:r>
          </w:p>
        </w:tc>
        <w:tc>
          <w:tcPr>
            <w:tcW w:w="2126" w:type="dxa"/>
            <w:vAlign w:val="center"/>
          </w:tcPr>
          <w:p w14:paraId="65B4F744" w14:textId="13F4FEED" w:rsidR="00D438C6" w:rsidRPr="00154EA0" w:rsidRDefault="00D438C6" w:rsidP="00D438C6">
            <w:pPr>
              <w:rPr>
                <w:rFonts w:asciiTheme="minorHAnsi" w:hAnsiTheme="minorHAnsi" w:cstheme="minorHAnsi"/>
                <w:color w:val="000000" w:themeColor="text1"/>
                <w:sz w:val="20"/>
                <w:szCs w:val="20"/>
              </w:rPr>
            </w:pPr>
            <w:r>
              <w:rPr>
                <w:color w:val="000000"/>
              </w:rPr>
              <w:t>Number of days</w:t>
            </w:r>
          </w:p>
        </w:tc>
      </w:tr>
    </w:tbl>
    <w:p w14:paraId="0434E443" w14:textId="12615DE4" w:rsidR="008A7018" w:rsidRPr="006C1CAB" w:rsidRDefault="006C1CAB" w:rsidP="00527061">
      <w:pPr>
        <w:pStyle w:val="Titolo2"/>
        <w:numPr>
          <w:ilvl w:val="0"/>
          <w:numId w:val="0"/>
        </w:numPr>
        <w:tabs>
          <w:tab w:val="left" w:pos="851"/>
        </w:tabs>
        <w:jc w:val="both"/>
        <w:rPr>
          <w:sz w:val="22"/>
          <w:szCs w:val="22"/>
          <w:lang w:val="it-IT"/>
        </w:rPr>
      </w:pPr>
      <w:bookmarkStart w:id="1" w:name="_heading=h.4d34og8" w:colFirst="0" w:colLast="0"/>
      <w:bookmarkStart w:id="2" w:name="_Toc94347115"/>
      <w:bookmarkEnd w:id="1"/>
      <w:r w:rsidRPr="006C1CAB">
        <w:rPr>
          <w:sz w:val="22"/>
          <w:szCs w:val="22"/>
          <w:lang w:val="it-IT"/>
        </w:rPr>
        <w:t>2.</w:t>
      </w:r>
      <w:r>
        <w:rPr>
          <w:sz w:val="22"/>
          <w:szCs w:val="22"/>
          <w:lang w:val="it-IT"/>
        </w:rPr>
        <w:t>2</w:t>
      </w:r>
      <w:r w:rsidR="0076306B" w:rsidRPr="006C1CAB">
        <w:rPr>
          <w:sz w:val="22"/>
          <w:szCs w:val="22"/>
          <w:lang w:val="it-IT"/>
        </w:rPr>
        <w:t xml:space="preserve"> </w:t>
      </w:r>
      <w:bookmarkEnd w:id="2"/>
      <w:r w:rsidR="00D438C6">
        <w:rPr>
          <w:sz w:val="22"/>
          <w:szCs w:val="22"/>
          <w:lang w:val="it-IT"/>
        </w:rPr>
        <w:t>Study design</w:t>
      </w:r>
      <w:r w:rsidR="0076306B" w:rsidRPr="006C1CAB">
        <w:rPr>
          <w:sz w:val="22"/>
          <w:szCs w:val="22"/>
          <w:lang w:val="it-IT"/>
        </w:rPr>
        <w:t xml:space="preserve"> </w:t>
      </w:r>
    </w:p>
    <w:p w14:paraId="64611F98" w14:textId="7902FF99" w:rsidR="00527061" w:rsidRPr="00471DBC" w:rsidRDefault="00190D40" w:rsidP="00527061">
      <w:pPr>
        <w:pBdr>
          <w:top w:val="nil"/>
          <w:left w:val="nil"/>
          <w:bottom w:val="nil"/>
          <w:right w:val="nil"/>
          <w:between w:val="nil"/>
        </w:pBdr>
        <w:spacing w:after="60"/>
        <w:jc w:val="both"/>
        <w:rPr>
          <w:rFonts w:asciiTheme="minorHAnsi" w:eastAsia="Arial" w:hAnsiTheme="minorHAnsi" w:cstheme="minorHAnsi"/>
          <w:color w:val="000000" w:themeColor="text1"/>
        </w:rPr>
      </w:pPr>
      <w:r w:rsidRPr="00190D40">
        <w:rPr>
          <w:rFonts w:asciiTheme="minorHAnsi" w:eastAsia="Arial" w:hAnsiTheme="minorHAnsi" w:cstheme="minorHAnsi"/>
          <w:color w:val="000000" w:themeColor="text1"/>
        </w:rPr>
        <w:t xml:space="preserve">This is a randomized controlled trial with </w:t>
      </w:r>
      <w:r>
        <w:rPr>
          <w:rFonts w:asciiTheme="minorHAnsi" w:eastAsia="Arial" w:hAnsiTheme="minorHAnsi" w:cstheme="minorHAnsi"/>
          <w:color w:val="000000" w:themeColor="text1"/>
        </w:rPr>
        <w:t>three</w:t>
      </w:r>
      <w:r w:rsidRPr="00190D40">
        <w:rPr>
          <w:rFonts w:asciiTheme="minorHAnsi" w:eastAsia="Arial" w:hAnsiTheme="minorHAnsi" w:cstheme="minorHAnsi"/>
          <w:color w:val="000000" w:themeColor="text1"/>
        </w:rPr>
        <w:t xml:space="preserve"> parallel arms; it will be conducted in accordance with the protocol, the Declaration of Helsinki</w:t>
      </w:r>
      <w:r w:rsidR="002E2ED7">
        <w:rPr>
          <w:rFonts w:asciiTheme="minorHAnsi" w:eastAsia="Arial" w:hAnsiTheme="minorHAnsi" w:cstheme="minorHAnsi"/>
          <w:color w:val="000000" w:themeColor="text1"/>
        </w:rPr>
        <w:t xml:space="preserve"> </w:t>
      </w:r>
      <w:r w:rsidR="002E2ED7">
        <w:rPr>
          <w:rFonts w:asciiTheme="minorHAnsi" w:eastAsia="Arial" w:hAnsiTheme="minorHAnsi" w:cstheme="minorHAnsi"/>
          <w:color w:val="000000" w:themeColor="text1"/>
        </w:rPr>
        <w:fldChar w:fldCharType="begin"/>
      </w:r>
      <w:r w:rsidR="002E2ED7">
        <w:rPr>
          <w:rFonts w:asciiTheme="minorHAnsi" w:eastAsia="Arial" w:hAnsiTheme="minorHAnsi" w:cstheme="minorHAnsi"/>
          <w:color w:val="000000" w:themeColor="text1"/>
        </w:rPr>
        <w:instrText xml:space="preserve"> ADDIN ZOTERO_ITEM CSL_CITATION {"citationID":"gvlVlEzD","properties":{"formattedCitation":"[15]","plainCitation":"[15]","noteIndex":0},"citationItems":[{"id":1827,"uris":["http://zotero.org/users/8514341/items/9RK2CSQ3"],"itemData":{"id":1827,"type":"article-journal","container-title":"JAMA","DOI":"10.1001/jama.2013.281053","ISSN":"1538-3598","issue":"20","journalAbbreviation":"JAMA","language":"eng","page":"2191-2194","PMID":"24141714","source":"PubMed","title":"World Medical Association Declaration of Helsinki: ethical principles for medical research involving human subjects","title-short":"World Medical Association Declaration of Helsinki","volume":"310","author":[{"literal":"World Medical Association"}],"issued":{"date-parts":[["2013",11,27]]}}}],"schema":"https://github.com/citation-style-language/schema/raw/master/csl-citation.json"} </w:instrText>
      </w:r>
      <w:r w:rsidR="002E2ED7">
        <w:rPr>
          <w:rFonts w:asciiTheme="minorHAnsi" w:eastAsia="Arial" w:hAnsiTheme="minorHAnsi" w:cstheme="minorHAnsi"/>
          <w:color w:val="000000" w:themeColor="text1"/>
        </w:rPr>
        <w:fldChar w:fldCharType="separate"/>
      </w:r>
      <w:r w:rsidR="002E2ED7">
        <w:rPr>
          <w:rFonts w:asciiTheme="minorHAnsi" w:eastAsia="Arial" w:hAnsiTheme="minorHAnsi" w:cstheme="minorHAnsi"/>
          <w:noProof/>
          <w:color w:val="000000" w:themeColor="text1"/>
        </w:rPr>
        <w:t>[15]</w:t>
      </w:r>
      <w:r w:rsidR="002E2ED7">
        <w:rPr>
          <w:rFonts w:asciiTheme="minorHAnsi" w:eastAsia="Arial" w:hAnsiTheme="minorHAnsi" w:cstheme="minorHAnsi"/>
          <w:color w:val="000000" w:themeColor="text1"/>
        </w:rPr>
        <w:fldChar w:fldCharType="end"/>
      </w:r>
      <w:r w:rsidRPr="00190D40">
        <w:rPr>
          <w:rFonts w:asciiTheme="minorHAnsi" w:eastAsia="Arial" w:hAnsiTheme="minorHAnsi" w:cstheme="minorHAnsi"/>
          <w:color w:val="000000" w:themeColor="text1"/>
        </w:rPr>
        <w:t>, and the principles of good clinical practice.</w:t>
      </w:r>
      <w:r w:rsidR="00DB6DA5" w:rsidRPr="00471DBC">
        <w:rPr>
          <w:rFonts w:asciiTheme="minorHAnsi" w:eastAsia="Arial" w:hAnsiTheme="minorHAnsi" w:cstheme="minorHAnsi"/>
          <w:color w:val="000000" w:themeColor="text1"/>
        </w:rPr>
        <w:t>.</w:t>
      </w:r>
    </w:p>
    <w:p w14:paraId="2F02E76F" w14:textId="51C36AD5" w:rsidR="008A7018" w:rsidRPr="005B1C7C" w:rsidRDefault="00E22E23" w:rsidP="002D4A80">
      <w:pPr>
        <w:pStyle w:val="Titolo1"/>
        <w:numPr>
          <w:ilvl w:val="0"/>
          <w:numId w:val="0"/>
        </w:numPr>
        <w:jc w:val="both"/>
        <w:rPr>
          <w:sz w:val="24"/>
          <w:szCs w:val="24"/>
          <w:lang w:val="it-IT"/>
        </w:rPr>
      </w:pPr>
      <w:bookmarkStart w:id="3" w:name="_Toc94347116"/>
      <w:r>
        <w:rPr>
          <w:sz w:val="24"/>
          <w:szCs w:val="24"/>
          <w:lang w:val="it-IT"/>
        </w:rPr>
        <w:t xml:space="preserve">3 </w:t>
      </w:r>
      <w:bookmarkEnd w:id="3"/>
      <w:r w:rsidR="00190D40">
        <w:rPr>
          <w:sz w:val="24"/>
          <w:szCs w:val="24"/>
          <w:lang w:val="it-IT"/>
        </w:rPr>
        <w:t>Population and study methods</w:t>
      </w:r>
      <w:r w:rsidR="0076306B" w:rsidRPr="005B1C7C">
        <w:rPr>
          <w:sz w:val="24"/>
          <w:szCs w:val="24"/>
          <w:lang w:val="it-IT"/>
        </w:rPr>
        <w:t xml:space="preserve"> </w:t>
      </w:r>
    </w:p>
    <w:p w14:paraId="1D754D04" w14:textId="18C86A07" w:rsidR="008A7018" w:rsidRPr="0076306B" w:rsidRDefault="0076306B" w:rsidP="00E22E23">
      <w:pPr>
        <w:pStyle w:val="Titolo1"/>
        <w:numPr>
          <w:ilvl w:val="0"/>
          <w:numId w:val="0"/>
        </w:numPr>
        <w:ind w:left="432" w:hanging="432"/>
        <w:jc w:val="both"/>
        <w:rPr>
          <w:color w:val="000000"/>
          <w:sz w:val="22"/>
          <w:szCs w:val="22"/>
          <w:lang w:val="it-IT"/>
        </w:rPr>
      </w:pPr>
      <w:bookmarkStart w:id="4" w:name="_Toc94347117"/>
      <w:r w:rsidRPr="0076306B">
        <w:rPr>
          <w:color w:val="000000"/>
          <w:sz w:val="22"/>
          <w:szCs w:val="22"/>
          <w:lang w:val="it-IT"/>
        </w:rPr>
        <w:t xml:space="preserve">3.1 </w:t>
      </w:r>
      <w:bookmarkEnd w:id="4"/>
      <w:r w:rsidR="00190D40" w:rsidRPr="00190D40">
        <w:rPr>
          <w:caps w:val="0"/>
          <w:color w:val="000000"/>
          <w:sz w:val="22"/>
          <w:szCs w:val="22"/>
          <w:lang w:val="it-IT"/>
        </w:rPr>
        <w:t xml:space="preserve">Study </w:t>
      </w:r>
      <w:proofErr w:type="spellStart"/>
      <w:r w:rsidR="00190D40" w:rsidRPr="00190D40">
        <w:rPr>
          <w:caps w:val="0"/>
          <w:color w:val="000000"/>
          <w:sz w:val="22"/>
          <w:szCs w:val="22"/>
          <w:lang w:val="it-IT"/>
        </w:rPr>
        <w:t>population</w:t>
      </w:r>
      <w:proofErr w:type="spellEnd"/>
      <w:r w:rsidR="00190D40" w:rsidRPr="00190D40">
        <w:rPr>
          <w:caps w:val="0"/>
          <w:color w:val="000000"/>
          <w:sz w:val="22"/>
          <w:szCs w:val="22"/>
          <w:lang w:val="it-IT"/>
        </w:rPr>
        <w:t xml:space="preserve">, </w:t>
      </w:r>
      <w:proofErr w:type="spellStart"/>
      <w:r w:rsidR="00190D40" w:rsidRPr="00190D40">
        <w:rPr>
          <w:caps w:val="0"/>
          <w:color w:val="000000"/>
          <w:sz w:val="22"/>
          <w:szCs w:val="22"/>
          <w:lang w:val="it-IT"/>
        </w:rPr>
        <w:t>inclusion</w:t>
      </w:r>
      <w:proofErr w:type="spellEnd"/>
      <w:r w:rsidR="00190D40" w:rsidRPr="00190D40">
        <w:rPr>
          <w:caps w:val="0"/>
          <w:color w:val="000000"/>
          <w:sz w:val="22"/>
          <w:szCs w:val="22"/>
          <w:lang w:val="it-IT"/>
        </w:rPr>
        <w:t xml:space="preserve"> and </w:t>
      </w:r>
      <w:proofErr w:type="spellStart"/>
      <w:r w:rsidR="00190D40" w:rsidRPr="00190D40">
        <w:rPr>
          <w:caps w:val="0"/>
          <w:color w:val="000000"/>
          <w:sz w:val="22"/>
          <w:szCs w:val="22"/>
          <w:lang w:val="it-IT"/>
        </w:rPr>
        <w:t>exclusion</w:t>
      </w:r>
      <w:proofErr w:type="spellEnd"/>
      <w:r w:rsidR="00190D40" w:rsidRPr="00190D40">
        <w:rPr>
          <w:caps w:val="0"/>
          <w:color w:val="000000"/>
          <w:sz w:val="22"/>
          <w:szCs w:val="22"/>
          <w:lang w:val="it-IT"/>
        </w:rPr>
        <w:t xml:space="preserve"> </w:t>
      </w:r>
      <w:proofErr w:type="spellStart"/>
      <w:r w:rsidR="00190D40" w:rsidRPr="00190D40">
        <w:rPr>
          <w:caps w:val="0"/>
          <w:color w:val="000000"/>
          <w:sz w:val="22"/>
          <w:szCs w:val="22"/>
          <w:lang w:val="it-IT"/>
        </w:rPr>
        <w:t>criteria</w:t>
      </w:r>
      <w:proofErr w:type="spellEnd"/>
    </w:p>
    <w:p w14:paraId="22A5B8A8" w14:textId="2B38974D" w:rsidR="008A7018" w:rsidRPr="00471DBC" w:rsidRDefault="00190D40" w:rsidP="00190D40">
      <w:pPr>
        <w:jc w:val="both"/>
        <w:rPr>
          <w:rFonts w:asciiTheme="minorHAnsi" w:eastAsia="Arial" w:hAnsiTheme="minorHAnsi" w:cstheme="minorHAnsi"/>
          <w:color w:val="000000" w:themeColor="text1"/>
        </w:rPr>
      </w:pPr>
      <w:r w:rsidRPr="00190D40">
        <w:rPr>
          <w:rFonts w:asciiTheme="minorHAnsi" w:eastAsia="Arial" w:hAnsiTheme="minorHAnsi" w:cstheme="minorHAnsi"/>
          <w:color w:val="000000" w:themeColor="text1"/>
        </w:rPr>
        <w:t>Participants will be recruited from the Minimally Invasive Surgery Unit, Department of Orthopedic Surgery, Istituto di Cura “Città di Pavia,” Pavia, Italy. The study population will include patients scheduled for elective lower limb arthroplasty, specifically total hip arthroplasty or total knee arthroplasty. Recruitment will take place during the study period, from April 15, 2023, to October 15, 2023.A total of 60 participants will be enrolled and randomly allocated to one of three home-based tele-prehabilitation programs: neuromuscular electrical stimulation, physiotherapist-supervised videoconference exercise, or brochure-guided unsupervised home exercise</w:t>
      </w:r>
      <w:r w:rsidR="0076306B" w:rsidRPr="00471DBC">
        <w:rPr>
          <w:rFonts w:asciiTheme="minorHAnsi" w:eastAsia="Arial" w:hAnsiTheme="minorHAnsi" w:cstheme="minorHAnsi"/>
          <w:color w:val="000000" w:themeColor="text1"/>
        </w:rPr>
        <w:t>.</w:t>
      </w:r>
    </w:p>
    <w:p w14:paraId="3CC6D4D1" w14:textId="77777777" w:rsidR="00190D40" w:rsidRDefault="00190D40" w:rsidP="000C6598">
      <w:pPr>
        <w:jc w:val="both"/>
        <w:rPr>
          <w:rFonts w:asciiTheme="minorHAnsi" w:eastAsia="Arial" w:hAnsiTheme="minorHAnsi" w:cstheme="minorHAnsi"/>
          <w:i/>
          <w:color w:val="000000" w:themeColor="text1"/>
        </w:rPr>
      </w:pPr>
    </w:p>
    <w:p w14:paraId="4AA9D235" w14:textId="447E4FC3" w:rsidR="008A7018" w:rsidRPr="00190D40" w:rsidRDefault="00190D40" w:rsidP="000C6598">
      <w:pPr>
        <w:jc w:val="both"/>
        <w:rPr>
          <w:rFonts w:asciiTheme="minorHAnsi" w:eastAsia="Arial" w:hAnsiTheme="minorHAnsi" w:cstheme="minorHAnsi"/>
          <w:color w:val="000000" w:themeColor="text1"/>
        </w:rPr>
      </w:pPr>
      <w:r w:rsidRPr="00190D40">
        <w:rPr>
          <w:rFonts w:asciiTheme="minorHAnsi" w:eastAsia="Arial" w:hAnsiTheme="minorHAnsi" w:cstheme="minorHAnsi"/>
          <w:i/>
          <w:color w:val="000000" w:themeColor="text1"/>
        </w:rPr>
        <w:t>Inclusion criteria</w:t>
      </w:r>
      <w:r w:rsidR="0076306B" w:rsidRPr="00190D40">
        <w:rPr>
          <w:rFonts w:asciiTheme="minorHAnsi" w:eastAsia="Arial" w:hAnsiTheme="minorHAnsi" w:cstheme="minorHAnsi"/>
          <w:color w:val="000000" w:themeColor="text1"/>
        </w:rPr>
        <w:t>:</w:t>
      </w:r>
    </w:p>
    <w:p w14:paraId="4E54BA31" w14:textId="77777777" w:rsidR="00190D40" w:rsidRPr="00190D40" w:rsidRDefault="00190D40" w:rsidP="00190D40">
      <w:pPr>
        <w:pStyle w:val="NormaleWeb"/>
        <w:rPr>
          <w:rFonts w:asciiTheme="minorHAnsi" w:hAnsiTheme="minorHAnsi" w:cstheme="minorHAnsi"/>
          <w:color w:val="000000"/>
        </w:rPr>
      </w:pPr>
      <w:r w:rsidRPr="00190D40">
        <w:rPr>
          <w:rFonts w:asciiTheme="minorHAnsi" w:hAnsiTheme="minorHAnsi" w:cstheme="minorHAnsi"/>
          <w:color w:val="000000"/>
        </w:rPr>
        <w:t xml:space="preserve">Participants will be eligible for inclusion if they meet </w:t>
      </w:r>
      <w:proofErr w:type="gramStart"/>
      <w:r w:rsidRPr="00190D40">
        <w:rPr>
          <w:rFonts w:asciiTheme="minorHAnsi" w:hAnsiTheme="minorHAnsi" w:cstheme="minorHAnsi"/>
          <w:color w:val="000000"/>
        </w:rPr>
        <w:t>all of</w:t>
      </w:r>
      <w:proofErr w:type="gramEnd"/>
      <w:r w:rsidRPr="00190D40">
        <w:rPr>
          <w:rFonts w:asciiTheme="minorHAnsi" w:hAnsiTheme="minorHAnsi" w:cstheme="minorHAnsi"/>
          <w:color w:val="000000"/>
        </w:rPr>
        <w:t xml:space="preserve"> the following criteria:</w:t>
      </w:r>
    </w:p>
    <w:p w14:paraId="2377CDAF" w14:textId="77777777" w:rsidR="00190D40" w:rsidRPr="00190D40" w:rsidRDefault="00190D40" w:rsidP="00190D40">
      <w:pPr>
        <w:numPr>
          <w:ilvl w:val="0"/>
          <w:numId w:val="17"/>
        </w:numPr>
        <w:spacing w:before="100" w:beforeAutospacing="1" w:after="100" w:afterAutospacing="1"/>
        <w:rPr>
          <w:rFonts w:asciiTheme="minorHAnsi" w:hAnsiTheme="minorHAnsi" w:cstheme="minorHAnsi"/>
          <w:color w:val="000000"/>
        </w:rPr>
      </w:pPr>
      <w:r w:rsidRPr="00190D40">
        <w:rPr>
          <w:rFonts w:asciiTheme="minorHAnsi" w:hAnsiTheme="minorHAnsi" w:cstheme="minorHAnsi"/>
          <w:color w:val="000000"/>
        </w:rPr>
        <w:t>Scheduled for elective total hip arthroplasty or total knee arthroplasty.</w:t>
      </w:r>
    </w:p>
    <w:p w14:paraId="461A6AEC" w14:textId="77777777" w:rsidR="00190D40" w:rsidRPr="00190D40" w:rsidRDefault="00190D40" w:rsidP="00190D40">
      <w:pPr>
        <w:numPr>
          <w:ilvl w:val="0"/>
          <w:numId w:val="17"/>
        </w:numPr>
        <w:spacing w:before="100" w:beforeAutospacing="1" w:after="100" w:afterAutospacing="1"/>
        <w:rPr>
          <w:rFonts w:asciiTheme="minorHAnsi" w:hAnsiTheme="minorHAnsi" w:cstheme="minorHAnsi"/>
          <w:color w:val="000000"/>
        </w:rPr>
      </w:pPr>
      <w:r w:rsidRPr="00190D40">
        <w:rPr>
          <w:rFonts w:asciiTheme="minorHAnsi" w:hAnsiTheme="minorHAnsi" w:cstheme="minorHAnsi"/>
          <w:color w:val="000000"/>
        </w:rPr>
        <w:t>Aged between 55 and 80 years at the time of recruitment.</w:t>
      </w:r>
    </w:p>
    <w:p w14:paraId="7E84A9FC" w14:textId="77777777" w:rsidR="00190D40" w:rsidRPr="00190D40" w:rsidRDefault="00190D40" w:rsidP="00190D40">
      <w:pPr>
        <w:numPr>
          <w:ilvl w:val="0"/>
          <w:numId w:val="17"/>
        </w:numPr>
        <w:spacing w:before="100" w:beforeAutospacing="1" w:after="100" w:afterAutospacing="1"/>
        <w:rPr>
          <w:rFonts w:asciiTheme="minorHAnsi" w:hAnsiTheme="minorHAnsi" w:cstheme="minorHAnsi"/>
          <w:color w:val="000000"/>
        </w:rPr>
      </w:pPr>
      <w:r w:rsidRPr="00190D40">
        <w:rPr>
          <w:rFonts w:asciiTheme="minorHAnsi" w:hAnsiTheme="minorHAnsi" w:cstheme="minorHAnsi"/>
          <w:color w:val="000000"/>
        </w:rPr>
        <w:t>Male or female sex.</w:t>
      </w:r>
    </w:p>
    <w:p w14:paraId="427A28F9" w14:textId="77777777" w:rsidR="00190D40" w:rsidRPr="00190D40" w:rsidRDefault="00190D40" w:rsidP="00190D40">
      <w:pPr>
        <w:numPr>
          <w:ilvl w:val="0"/>
          <w:numId w:val="17"/>
        </w:numPr>
        <w:spacing w:before="100" w:beforeAutospacing="1" w:after="100" w:afterAutospacing="1"/>
        <w:rPr>
          <w:rFonts w:asciiTheme="minorHAnsi" w:hAnsiTheme="minorHAnsi" w:cstheme="minorHAnsi"/>
          <w:color w:val="000000"/>
        </w:rPr>
      </w:pPr>
      <w:r w:rsidRPr="00190D40">
        <w:rPr>
          <w:rFonts w:asciiTheme="minorHAnsi" w:hAnsiTheme="minorHAnsi" w:cstheme="minorHAnsi"/>
          <w:color w:val="000000"/>
        </w:rPr>
        <w:t>Functionally and cognitively able to perform the assigned tele-prehabilitation program at home without direct on-site supervision.</w:t>
      </w:r>
    </w:p>
    <w:p w14:paraId="6382BF08" w14:textId="77777777" w:rsidR="00190D40" w:rsidRPr="00190D40" w:rsidRDefault="00190D40" w:rsidP="00190D40">
      <w:pPr>
        <w:numPr>
          <w:ilvl w:val="0"/>
          <w:numId w:val="17"/>
        </w:numPr>
        <w:spacing w:before="100" w:beforeAutospacing="1" w:after="100" w:afterAutospacing="1"/>
        <w:rPr>
          <w:rFonts w:asciiTheme="minorHAnsi" w:hAnsiTheme="minorHAnsi" w:cstheme="minorHAnsi"/>
          <w:color w:val="000000"/>
        </w:rPr>
      </w:pPr>
      <w:r w:rsidRPr="00190D40">
        <w:rPr>
          <w:rFonts w:asciiTheme="minorHAnsi" w:hAnsiTheme="minorHAnsi" w:cstheme="minorHAnsi"/>
          <w:color w:val="000000"/>
        </w:rPr>
        <w:t>Able to understand the study procedures and provide written informed consent.</w:t>
      </w:r>
    </w:p>
    <w:p w14:paraId="3F8D7A7D" w14:textId="77777777" w:rsidR="005B1C7C" w:rsidRPr="00471DBC" w:rsidRDefault="005B1C7C" w:rsidP="005B1C7C">
      <w:pPr>
        <w:jc w:val="both"/>
        <w:rPr>
          <w:rFonts w:asciiTheme="minorHAnsi" w:eastAsia="Arial" w:hAnsiTheme="minorHAnsi" w:cstheme="minorHAnsi"/>
          <w:color w:val="000000" w:themeColor="text1"/>
          <w:sz w:val="11"/>
          <w:szCs w:val="11"/>
        </w:rPr>
      </w:pPr>
    </w:p>
    <w:p w14:paraId="0B5AE26B" w14:textId="469B0020" w:rsidR="008A7018" w:rsidRPr="00471DBC" w:rsidRDefault="00190D40" w:rsidP="00B06105">
      <w:pPr>
        <w:spacing w:line="276" w:lineRule="auto"/>
        <w:jc w:val="both"/>
        <w:rPr>
          <w:rFonts w:asciiTheme="minorHAnsi" w:eastAsia="Arial" w:hAnsiTheme="minorHAnsi" w:cstheme="minorHAnsi"/>
          <w:color w:val="000000" w:themeColor="text1"/>
        </w:rPr>
      </w:pPr>
      <w:r>
        <w:rPr>
          <w:rFonts w:asciiTheme="minorHAnsi" w:eastAsia="Arial" w:hAnsiTheme="minorHAnsi" w:cstheme="minorHAnsi"/>
          <w:i/>
          <w:color w:val="000000" w:themeColor="text1"/>
        </w:rPr>
        <w:t>Exclusion criteria</w:t>
      </w:r>
      <w:r w:rsidR="0076306B" w:rsidRPr="00471DBC">
        <w:rPr>
          <w:rFonts w:asciiTheme="minorHAnsi" w:eastAsia="Arial" w:hAnsiTheme="minorHAnsi" w:cstheme="minorHAnsi"/>
          <w:color w:val="000000" w:themeColor="text1"/>
        </w:rPr>
        <w:t>:</w:t>
      </w:r>
    </w:p>
    <w:p w14:paraId="4ECF5E08" w14:textId="495583FD" w:rsidR="00190D40" w:rsidRPr="00190D40" w:rsidRDefault="00190D40" w:rsidP="00190D40">
      <w:pPr>
        <w:jc w:val="both"/>
        <w:rPr>
          <w:rFonts w:asciiTheme="minorHAnsi" w:eastAsia="Arial" w:hAnsiTheme="minorHAnsi" w:cstheme="minorHAnsi"/>
          <w:color w:val="000000" w:themeColor="text1"/>
        </w:rPr>
      </w:pPr>
      <w:r w:rsidRPr="00190D40">
        <w:rPr>
          <w:rFonts w:asciiTheme="minorHAnsi" w:eastAsia="Arial" w:hAnsiTheme="minorHAnsi" w:cstheme="minorHAnsi"/>
          <w:color w:val="000000" w:themeColor="text1"/>
        </w:rPr>
        <w:lastRenderedPageBreak/>
        <w:t>Participants will be excluded if they meet any of the following criteria:</w:t>
      </w:r>
    </w:p>
    <w:p w14:paraId="045749BF" w14:textId="77777777" w:rsidR="00190D40" w:rsidRPr="00190D40" w:rsidRDefault="00190D40" w:rsidP="00190D40">
      <w:pPr>
        <w:numPr>
          <w:ilvl w:val="0"/>
          <w:numId w:val="18"/>
        </w:numPr>
        <w:jc w:val="both"/>
        <w:rPr>
          <w:rFonts w:asciiTheme="minorHAnsi" w:eastAsia="Arial" w:hAnsiTheme="minorHAnsi" w:cstheme="minorHAnsi"/>
          <w:color w:val="000000" w:themeColor="text1"/>
        </w:rPr>
      </w:pPr>
      <w:r w:rsidRPr="00190D40">
        <w:rPr>
          <w:rFonts w:asciiTheme="minorHAnsi" w:eastAsia="Arial" w:hAnsiTheme="minorHAnsi" w:cstheme="minorHAnsi"/>
          <w:color w:val="000000" w:themeColor="text1"/>
        </w:rPr>
        <w:t>Presence of concomitant orthopedic or neurological conditions, other than the condition requiring arthroplasty, that may affect walking ability or lower limb function.</w:t>
      </w:r>
    </w:p>
    <w:p w14:paraId="23B4DCBC" w14:textId="77777777" w:rsidR="00190D40" w:rsidRPr="00190D40" w:rsidRDefault="00190D40" w:rsidP="00190D40">
      <w:pPr>
        <w:numPr>
          <w:ilvl w:val="0"/>
          <w:numId w:val="18"/>
        </w:numPr>
        <w:jc w:val="both"/>
        <w:rPr>
          <w:rFonts w:asciiTheme="minorHAnsi" w:eastAsia="Arial" w:hAnsiTheme="minorHAnsi" w:cstheme="minorHAnsi"/>
          <w:color w:val="000000" w:themeColor="text1"/>
        </w:rPr>
      </w:pPr>
      <w:r w:rsidRPr="00190D40">
        <w:rPr>
          <w:rFonts w:asciiTheme="minorHAnsi" w:eastAsia="Arial" w:hAnsiTheme="minorHAnsi" w:cstheme="minorHAnsi"/>
          <w:color w:val="000000" w:themeColor="text1"/>
        </w:rPr>
        <w:t>Presence of disorders affecting postural balance, including neurological or vestibular conditions.</w:t>
      </w:r>
    </w:p>
    <w:p w14:paraId="6C84E28C" w14:textId="77777777" w:rsidR="00190D40" w:rsidRPr="00190D40" w:rsidRDefault="00190D40" w:rsidP="00190D40">
      <w:pPr>
        <w:numPr>
          <w:ilvl w:val="0"/>
          <w:numId w:val="18"/>
        </w:numPr>
        <w:jc w:val="both"/>
        <w:rPr>
          <w:rFonts w:asciiTheme="minorHAnsi" w:eastAsia="Arial" w:hAnsiTheme="minorHAnsi" w:cstheme="minorHAnsi"/>
          <w:color w:val="000000" w:themeColor="text1"/>
        </w:rPr>
      </w:pPr>
      <w:r w:rsidRPr="00190D40">
        <w:rPr>
          <w:rFonts w:asciiTheme="minorHAnsi" w:eastAsia="Arial" w:hAnsiTheme="minorHAnsi" w:cstheme="minorHAnsi"/>
          <w:color w:val="000000" w:themeColor="text1"/>
        </w:rPr>
        <w:t>Contraindications to the use of any medical device used in the study, particularly the neuromuscular electrical stimulation device.</w:t>
      </w:r>
    </w:p>
    <w:p w14:paraId="40F41549" w14:textId="77777777" w:rsidR="00190D40" w:rsidRPr="00190D40" w:rsidRDefault="00190D40" w:rsidP="00190D40">
      <w:pPr>
        <w:numPr>
          <w:ilvl w:val="0"/>
          <w:numId w:val="18"/>
        </w:numPr>
        <w:jc w:val="both"/>
        <w:rPr>
          <w:rFonts w:asciiTheme="minorHAnsi" w:eastAsia="Arial" w:hAnsiTheme="minorHAnsi" w:cstheme="minorHAnsi"/>
          <w:color w:val="000000" w:themeColor="text1"/>
        </w:rPr>
      </w:pPr>
      <w:r w:rsidRPr="00190D40">
        <w:rPr>
          <w:rFonts w:asciiTheme="minorHAnsi" w:eastAsia="Arial" w:hAnsiTheme="minorHAnsi" w:cstheme="minorHAnsi"/>
          <w:color w:val="000000" w:themeColor="text1"/>
        </w:rPr>
        <w:t>Inability to understand the study procedures.</w:t>
      </w:r>
    </w:p>
    <w:p w14:paraId="6EE17818" w14:textId="77777777" w:rsidR="00190D40" w:rsidRPr="00190D40" w:rsidRDefault="00190D40" w:rsidP="00190D40">
      <w:pPr>
        <w:numPr>
          <w:ilvl w:val="0"/>
          <w:numId w:val="18"/>
        </w:numPr>
        <w:jc w:val="both"/>
        <w:rPr>
          <w:rFonts w:asciiTheme="minorHAnsi" w:eastAsia="Arial" w:hAnsiTheme="minorHAnsi" w:cstheme="minorHAnsi"/>
          <w:color w:val="000000" w:themeColor="text1"/>
        </w:rPr>
      </w:pPr>
      <w:r w:rsidRPr="00190D40">
        <w:rPr>
          <w:rFonts w:asciiTheme="minorHAnsi" w:eastAsia="Arial" w:hAnsiTheme="minorHAnsi" w:cstheme="minorHAnsi"/>
          <w:color w:val="000000" w:themeColor="text1"/>
        </w:rPr>
        <w:t>Inability to independently use videoconferencing technology when required by the assigned intervention.</w:t>
      </w:r>
    </w:p>
    <w:p w14:paraId="5AC9241B" w14:textId="77777777" w:rsidR="00190D40" w:rsidRPr="00190D40" w:rsidRDefault="00190D40" w:rsidP="00190D40">
      <w:pPr>
        <w:numPr>
          <w:ilvl w:val="0"/>
          <w:numId w:val="18"/>
        </w:numPr>
        <w:jc w:val="both"/>
        <w:rPr>
          <w:rFonts w:asciiTheme="minorHAnsi" w:eastAsia="Arial" w:hAnsiTheme="minorHAnsi" w:cstheme="minorHAnsi"/>
          <w:color w:val="000000" w:themeColor="text1"/>
        </w:rPr>
      </w:pPr>
      <w:r w:rsidRPr="00190D40">
        <w:rPr>
          <w:rFonts w:asciiTheme="minorHAnsi" w:eastAsia="Arial" w:hAnsiTheme="minorHAnsi" w:cstheme="minorHAnsi"/>
          <w:color w:val="000000" w:themeColor="text1"/>
        </w:rPr>
        <w:t>Inability or unwillingness to provide written informed consent.</w:t>
      </w:r>
    </w:p>
    <w:p w14:paraId="426141F5" w14:textId="4360B0A1" w:rsidR="008A7018" w:rsidRPr="00471DBC" w:rsidRDefault="008A7018" w:rsidP="00D4765F">
      <w:pPr>
        <w:jc w:val="both"/>
        <w:rPr>
          <w:rFonts w:asciiTheme="minorHAnsi" w:eastAsia="Arial" w:hAnsiTheme="minorHAnsi" w:cstheme="minorHAnsi"/>
          <w:color w:val="000000" w:themeColor="text1"/>
        </w:rPr>
      </w:pPr>
    </w:p>
    <w:p w14:paraId="125535DF" w14:textId="36DBA6A9" w:rsidR="008A7018" w:rsidRPr="00E22E23" w:rsidRDefault="0076306B" w:rsidP="00E22E23">
      <w:pPr>
        <w:pStyle w:val="Titolo2"/>
        <w:numPr>
          <w:ilvl w:val="0"/>
          <w:numId w:val="0"/>
        </w:numPr>
        <w:tabs>
          <w:tab w:val="left" w:pos="851"/>
        </w:tabs>
        <w:jc w:val="both"/>
        <w:rPr>
          <w:iCs w:val="0"/>
          <w:caps/>
          <w:sz w:val="22"/>
          <w:szCs w:val="22"/>
          <w:lang w:val="it-IT"/>
        </w:rPr>
      </w:pPr>
      <w:bookmarkStart w:id="5" w:name="_Toc94347118"/>
      <w:r w:rsidRPr="00E22E23">
        <w:rPr>
          <w:iCs w:val="0"/>
          <w:caps/>
          <w:sz w:val="22"/>
          <w:szCs w:val="22"/>
          <w:lang w:val="it-IT"/>
        </w:rPr>
        <w:t xml:space="preserve">3.2 </w:t>
      </w:r>
      <w:bookmarkEnd w:id="5"/>
      <w:r w:rsidR="00190D40" w:rsidRPr="00190D40">
        <w:rPr>
          <w:iCs w:val="0"/>
          <w:sz w:val="22"/>
          <w:szCs w:val="22"/>
          <w:lang w:val="it-IT"/>
        </w:rPr>
        <w:t xml:space="preserve">Recruitment and </w:t>
      </w:r>
      <w:proofErr w:type="spellStart"/>
      <w:r w:rsidR="00190D40" w:rsidRPr="00190D40">
        <w:rPr>
          <w:iCs w:val="0"/>
          <w:sz w:val="22"/>
          <w:szCs w:val="22"/>
          <w:lang w:val="it-IT"/>
        </w:rPr>
        <w:t>Informed</w:t>
      </w:r>
      <w:proofErr w:type="spellEnd"/>
      <w:r w:rsidR="00190D40" w:rsidRPr="00190D40">
        <w:rPr>
          <w:iCs w:val="0"/>
          <w:sz w:val="22"/>
          <w:szCs w:val="22"/>
          <w:lang w:val="it-IT"/>
        </w:rPr>
        <w:t xml:space="preserve"> </w:t>
      </w:r>
      <w:proofErr w:type="spellStart"/>
      <w:r w:rsidR="00190D40" w:rsidRPr="00190D40">
        <w:rPr>
          <w:iCs w:val="0"/>
          <w:sz w:val="22"/>
          <w:szCs w:val="22"/>
          <w:lang w:val="it-IT"/>
        </w:rPr>
        <w:t>Consent</w:t>
      </w:r>
      <w:proofErr w:type="spellEnd"/>
    </w:p>
    <w:p w14:paraId="6B6B0105" w14:textId="7426259A" w:rsidR="00E22E23" w:rsidRPr="00E02BFB" w:rsidRDefault="0076306B" w:rsidP="00190D40">
      <w:pPr>
        <w:widowControl w:val="0"/>
        <w:spacing w:before="360" w:after="120"/>
        <w:jc w:val="both"/>
        <w:rPr>
          <w:rFonts w:asciiTheme="minorHAnsi" w:eastAsia="Arial" w:hAnsiTheme="minorHAnsi" w:cstheme="minorHAnsi"/>
          <w:color w:val="000000" w:themeColor="text1"/>
        </w:rPr>
      </w:pPr>
      <w:proofErr w:type="spellStart"/>
      <w:r w:rsidRPr="00E02BFB">
        <w:rPr>
          <w:rFonts w:asciiTheme="minorHAnsi" w:eastAsia="Arial" w:hAnsiTheme="minorHAnsi" w:cstheme="minorHAnsi"/>
          <w:color w:val="000000" w:themeColor="text1"/>
        </w:rPr>
        <w:t>I</w:t>
      </w:r>
      <w:r w:rsidR="00190D40" w:rsidRPr="00190D40">
        <w:rPr>
          <w:rFonts w:asciiTheme="minorHAnsi" w:eastAsia="Arial" w:hAnsiTheme="minorHAnsi" w:cstheme="minorHAnsi"/>
          <w:color w:val="000000" w:themeColor="text1"/>
        </w:rPr>
        <w:t>Potentially</w:t>
      </w:r>
      <w:proofErr w:type="spellEnd"/>
      <w:r w:rsidR="00190D40" w:rsidRPr="00190D40">
        <w:rPr>
          <w:rFonts w:asciiTheme="minorHAnsi" w:eastAsia="Arial" w:hAnsiTheme="minorHAnsi" w:cstheme="minorHAnsi"/>
          <w:color w:val="000000" w:themeColor="text1"/>
        </w:rPr>
        <w:t xml:space="preserve"> eligible patients will be identified through the orthopedic unit’s surgical waiting lists. Patients scheduled for elective total hip or knee arthroplasty will be screened against the predefined inclusion and exclusion criteria.</w:t>
      </w:r>
      <w:r w:rsidR="00190D40">
        <w:rPr>
          <w:rFonts w:asciiTheme="minorHAnsi" w:eastAsia="Arial" w:hAnsiTheme="minorHAnsi" w:cstheme="minorHAnsi"/>
          <w:color w:val="000000" w:themeColor="text1"/>
        </w:rPr>
        <w:t xml:space="preserve"> </w:t>
      </w:r>
      <w:r w:rsidR="00190D40" w:rsidRPr="00190D40">
        <w:rPr>
          <w:rFonts w:asciiTheme="minorHAnsi" w:eastAsia="Arial" w:hAnsiTheme="minorHAnsi" w:cstheme="minorHAnsi"/>
          <w:color w:val="000000" w:themeColor="text1"/>
        </w:rPr>
        <w:t>Eligible patients will be contacted by a member of the research team and will receive detailed information about the study aims, procedures, potential risks and benefits, time commitment, and the nature of the assigned tele-prehabilitation interventions. Patients will be given the opportunity to ask questions and clarify any doubts before deciding whether to participate.</w:t>
      </w:r>
      <w:r w:rsidR="00190D40">
        <w:rPr>
          <w:rFonts w:asciiTheme="minorHAnsi" w:eastAsia="Arial" w:hAnsiTheme="minorHAnsi" w:cstheme="minorHAnsi"/>
          <w:color w:val="000000" w:themeColor="text1"/>
        </w:rPr>
        <w:t xml:space="preserve"> </w:t>
      </w:r>
      <w:r w:rsidR="00190D40" w:rsidRPr="00190D40">
        <w:rPr>
          <w:rFonts w:asciiTheme="minorHAnsi" w:eastAsia="Arial" w:hAnsiTheme="minorHAnsi" w:cstheme="minorHAnsi"/>
          <w:color w:val="000000" w:themeColor="text1"/>
        </w:rPr>
        <w:t>Patients who agree to participate will provide written informed consent before enrolment and before any study-related procedure is performed. They will be informed that participation is voluntary and that refusal to participate, or withdrawal from the study at any time, will not affect their standard medical care, surgical treatment, or access to diagnostic and therapeutic procedures.</w:t>
      </w:r>
      <w:r w:rsidR="00190D40">
        <w:rPr>
          <w:rFonts w:asciiTheme="minorHAnsi" w:eastAsia="Arial" w:hAnsiTheme="minorHAnsi" w:cstheme="minorHAnsi"/>
          <w:color w:val="000000" w:themeColor="text1"/>
        </w:rPr>
        <w:t xml:space="preserve"> </w:t>
      </w:r>
      <w:r w:rsidR="00190D40" w:rsidRPr="00190D40">
        <w:rPr>
          <w:rFonts w:asciiTheme="minorHAnsi" w:eastAsia="Arial" w:hAnsiTheme="minorHAnsi" w:cstheme="minorHAnsi"/>
          <w:color w:val="000000" w:themeColor="text1"/>
        </w:rPr>
        <w:t>No financial or other incentives will be provided for participation</w:t>
      </w:r>
      <w:r w:rsidR="008C6239" w:rsidRPr="00E02BFB">
        <w:rPr>
          <w:rFonts w:asciiTheme="minorHAnsi" w:eastAsia="Arial" w:hAnsiTheme="minorHAnsi" w:cstheme="minorHAnsi"/>
          <w:color w:val="000000" w:themeColor="text1"/>
        </w:rPr>
        <w:t xml:space="preserve">. </w:t>
      </w:r>
    </w:p>
    <w:p w14:paraId="2E1F3045" w14:textId="64E774EE" w:rsidR="008A7018" w:rsidRPr="00E02BFB" w:rsidRDefault="0076306B" w:rsidP="00E22E23">
      <w:pPr>
        <w:pStyle w:val="Titolo2"/>
        <w:numPr>
          <w:ilvl w:val="0"/>
          <w:numId w:val="0"/>
        </w:numPr>
        <w:tabs>
          <w:tab w:val="left" w:pos="851"/>
        </w:tabs>
        <w:jc w:val="both"/>
        <w:rPr>
          <w:iCs w:val="0"/>
          <w:caps/>
          <w:color w:val="000000" w:themeColor="text1"/>
          <w:sz w:val="22"/>
          <w:szCs w:val="22"/>
          <w:lang w:val="it-IT"/>
        </w:rPr>
      </w:pPr>
      <w:bookmarkStart w:id="6" w:name="_Toc94347119"/>
      <w:r w:rsidRPr="00E02BFB">
        <w:rPr>
          <w:iCs w:val="0"/>
          <w:caps/>
          <w:color w:val="000000" w:themeColor="text1"/>
          <w:sz w:val="22"/>
          <w:szCs w:val="22"/>
          <w:lang w:val="it-IT"/>
        </w:rPr>
        <w:t xml:space="preserve">3.3 </w:t>
      </w:r>
      <w:bookmarkEnd w:id="6"/>
      <w:r w:rsidR="00190D40">
        <w:rPr>
          <w:iCs w:val="0"/>
          <w:caps/>
          <w:color w:val="000000" w:themeColor="text1"/>
          <w:sz w:val="22"/>
          <w:szCs w:val="22"/>
          <w:lang w:val="it-IT"/>
        </w:rPr>
        <w:t>Study methods</w:t>
      </w:r>
      <w:r w:rsidRPr="00E02BFB">
        <w:rPr>
          <w:iCs w:val="0"/>
          <w:caps/>
          <w:color w:val="000000" w:themeColor="text1"/>
          <w:sz w:val="22"/>
          <w:szCs w:val="22"/>
          <w:lang w:val="it-IT"/>
        </w:rPr>
        <w:t xml:space="preserve"> </w:t>
      </w:r>
    </w:p>
    <w:p w14:paraId="477A6547" w14:textId="61602942" w:rsidR="00190D40" w:rsidRPr="00190D40" w:rsidRDefault="00190D40" w:rsidP="00190D40">
      <w:pPr>
        <w:pBdr>
          <w:top w:val="nil"/>
          <w:left w:val="nil"/>
          <w:bottom w:val="nil"/>
          <w:right w:val="nil"/>
          <w:between w:val="nil"/>
        </w:pBdr>
        <w:jc w:val="both"/>
        <w:rPr>
          <w:rFonts w:asciiTheme="minorHAnsi" w:eastAsia="Arial" w:hAnsiTheme="minorHAnsi" w:cstheme="minorHAnsi"/>
          <w:color w:val="000000" w:themeColor="text1"/>
        </w:rPr>
      </w:pPr>
      <w:bookmarkStart w:id="7" w:name="_heading=h.z2ho0imz020q" w:colFirst="0" w:colLast="0"/>
      <w:bookmarkStart w:id="8" w:name="_heading=h.wprkxrjxyi4v" w:colFirst="0" w:colLast="0"/>
      <w:bookmarkEnd w:id="7"/>
      <w:bookmarkEnd w:id="8"/>
      <w:r w:rsidRPr="00190D40">
        <w:rPr>
          <w:rFonts w:asciiTheme="minorHAnsi" w:eastAsia="Arial" w:hAnsiTheme="minorHAnsi" w:cstheme="minorHAnsi"/>
          <w:color w:val="000000" w:themeColor="text1"/>
        </w:rPr>
        <w:t>This is a prospective, randomized, controlled, three-arm, parallel-group clinical trial. The trial will be conducted in accordance with the approved protocol, the principles of the Declaration of Helsinki</w:t>
      </w:r>
      <w:r w:rsidR="002E2ED7">
        <w:rPr>
          <w:rFonts w:asciiTheme="minorHAnsi" w:eastAsia="Arial" w:hAnsiTheme="minorHAnsi" w:cstheme="minorHAnsi"/>
          <w:color w:val="000000" w:themeColor="text1"/>
        </w:rPr>
        <w:t xml:space="preserve"> </w:t>
      </w:r>
      <w:r w:rsidR="002E2ED7">
        <w:rPr>
          <w:rFonts w:asciiTheme="minorHAnsi" w:eastAsia="Arial" w:hAnsiTheme="minorHAnsi" w:cstheme="minorHAnsi"/>
          <w:color w:val="000000" w:themeColor="text1"/>
        </w:rPr>
        <w:fldChar w:fldCharType="begin"/>
      </w:r>
      <w:r w:rsidR="002E2ED7">
        <w:rPr>
          <w:rFonts w:asciiTheme="minorHAnsi" w:eastAsia="Arial" w:hAnsiTheme="minorHAnsi" w:cstheme="minorHAnsi"/>
          <w:color w:val="000000" w:themeColor="text1"/>
        </w:rPr>
        <w:instrText xml:space="preserve"> ADDIN ZOTERO_ITEM CSL_CITATION {"citationID":"65P8IH5Z","properties":{"formattedCitation":"[15]","plainCitation":"[15]","noteIndex":0},"citationItems":[{"id":1827,"uris":["http://zotero.org/users/8514341/items/9RK2CSQ3"],"itemData":{"id":1827,"type":"article-journal","container-title":"JAMA","DOI":"10.1001/jama.2013.281053","ISSN":"1538-3598","issue":"20","journalAbbreviation":"JAMA","language":"eng","page":"2191-2194","PMID":"24141714","source":"PubMed","title":"World Medical Association Declaration of Helsinki: ethical principles for medical research involving human subjects","title-short":"World Medical Association Declaration of Helsinki","volume":"310","author":[{"literal":"World Medical Association"}],"issued":{"date-parts":[["2013",11,27]]}}}],"schema":"https://github.com/citation-style-language/schema/raw/master/csl-citation.json"} </w:instrText>
      </w:r>
      <w:r w:rsidR="002E2ED7">
        <w:rPr>
          <w:rFonts w:asciiTheme="minorHAnsi" w:eastAsia="Arial" w:hAnsiTheme="minorHAnsi" w:cstheme="minorHAnsi"/>
          <w:color w:val="000000" w:themeColor="text1"/>
        </w:rPr>
        <w:fldChar w:fldCharType="separate"/>
      </w:r>
      <w:r w:rsidR="002E2ED7">
        <w:rPr>
          <w:rFonts w:asciiTheme="minorHAnsi" w:eastAsia="Arial" w:hAnsiTheme="minorHAnsi" w:cstheme="minorHAnsi"/>
          <w:noProof/>
          <w:color w:val="000000" w:themeColor="text1"/>
        </w:rPr>
        <w:t>[15]</w:t>
      </w:r>
      <w:r w:rsidR="002E2ED7">
        <w:rPr>
          <w:rFonts w:asciiTheme="minorHAnsi" w:eastAsia="Arial" w:hAnsiTheme="minorHAnsi" w:cstheme="minorHAnsi"/>
          <w:color w:val="000000" w:themeColor="text1"/>
        </w:rPr>
        <w:fldChar w:fldCharType="end"/>
      </w:r>
      <w:r w:rsidRPr="00190D40">
        <w:rPr>
          <w:rFonts w:asciiTheme="minorHAnsi" w:eastAsia="Arial" w:hAnsiTheme="minorHAnsi" w:cstheme="minorHAnsi"/>
          <w:color w:val="000000" w:themeColor="text1"/>
        </w:rPr>
        <w:t xml:space="preserve">, and applicable ethical and regulatory requirements. The study protocol was approved by the </w:t>
      </w:r>
      <w:proofErr w:type="spellStart"/>
      <w:r w:rsidRPr="00190D40">
        <w:rPr>
          <w:rFonts w:asciiTheme="minorHAnsi" w:eastAsia="Arial" w:hAnsiTheme="minorHAnsi" w:cstheme="minorHAnsi"/>
          <w:color w:val="000000" w:themeColor="text1"/>
        </w:rPr>
        <w:t>Lombardia</w:t>
      </w:r>
      <w:proofErr w:type="spellEnd"/>
      <w:r w:rsidRPr="00190D40">
        <w:rPr>
          <w:rFonts w:asciiTheme="minorHAnsi" w:eastAsia="Arial" w:hAnsiTheme="minorHAnsi" w:cstheme="minorHAnsi"/>
          <w:color w:val="000000" w:themeColor="text1"/>
        </w:rPr>
        <w:t xml:space="preserve"> 6 Territorial Ethics Committee. </w:t>
      </w:r>
    </w:p>
    <w:p w14:paraId="3D8C27AA" w14:textId="77777777" w:rsidR="00190D40" w:rsidRPr="00190D40" w:rsidRDefault="00190D40" w:rsidP="00190D40">
      <w:pPr>
        <w:pBdr>
          <w:top w:val="nil"/>
          <w:left w:val="nil"/>
          <w:bottom w:val="nil"/>
          <w:right w:val="nil"/>
          <w:between w:val="nil"/>
        </w:pBdr>
        <w:jc w:val="both"/>
        <w:rPr>
          <w:rFonts w:asciiTheme="minorHAnsi" w:eastAsia="Arial" w:hAnsiTheme="minorHAnsi" w:cstheme="minorHAnsi"/>
          <w:color w:val="000000" w:themeColor="text1"/>
        </w:rPr>
      </w:pPr>
      <w:r w:rsidRPr="00190D40">
        <w:rPr>
          <w:rFonts w:asciiTheme="minorHAnsi" w:eastAsia="Arial" w:hAnsiTheme="minorHAnsi" w:cstheme="minorHAnsi"/>
          <w:color w:val="000000" w:themeColor="text1"/>
        </w:rPr>
        <w:t>The study will begin with the baseline assessment of the first recruited participants and will end after completion of the final follow-up assessment of the last enrolled participant. Each participant will complete a four-week tele-prehabilitation program before surgery, consisting of three sessions per week, each lasting approximately 30 minutes, for a total of 12 sessions. </w:t>
      </w:r>
    </w:p>
    <w:p w14:paraId="44DA7A8D" w14:textId="77777777" w:rsidR="00190D40" w:rsidRPr="00190D40" w:rsidRDefault="00190D40" w:rsidP="00190D40">
      <w:pPr>
        <w:pBdr>
          <w:top w:val="nil"/>
          <w:left w:val="nil"/>
          <w:bottom w:val="nil"/>
          <w:right w:val="nil"/>
          <w:between w:val="nil"/>
        </w:pBdr>
        <w:jc w:val="both"/>
        <w:rPr>
          <w:rFonts w:asciiTheme="minorHAnsi" w:eastAsia="Arial" w:hAnsiTheme="minorHAnsi" w:cstheme="minorHAnsi"/>
          <w:color w:val="000000" w:themeColor="text1"/>
        </w:rPr>
      </w:pPr>
      <w:r w:rsidRPr="00190D40">
        <w:rPr>
          <w:rFonts w:asciiTheme="minorHAnsi" w:eastAsia="Arial" w:hAnsiTheme="minorHAnsi" w:cstheme="minorHAnsi"/>
          <w:color w:val="000000" w:themeColor="text1"/>
        </w:rPr>
        <w:t>Five weeks before the scheduled surgical date, participants will attend an individual orientation session delivered by videoconference. During this session, the supervising physiotherapist will explain the assigned intervention, provide group-specific instructions, schedule the baseline assessment, and define the start date of the four-week program. Participants will also receive weekly telephone follow-up during the intervention period to monitor adherence, address technical or clinical concerns, and support completion of the program. </w:t>
      </w:r>
    </w:p>
    <w:p w14:paraId="2DE3451A" w14:textId="26453120" w:rsidR="008A7018" w:rsidRPr="00E02BFB" w:rsidRDefault="006A262A" w:rsidP="00D4765F">
      <w:pPr>
        <w:pBdr>
          <w:top w:val="nil"/>
          <w:left w:val="nil"/>
          <w:bottom w:val="nil"/>
          <w:right w:val="nil"/>
          <w:between w:val="nil"/>
        </w:pBdr>
        <w:jc w:val="both"/>
        <w:rPr>
          <w:rFonts w:asciiTheme="minorHAnsi" w:eastAsia="Arial" w:hAnsiTheme="minorHAnsi" w:cstheme="minorHAnsi"/>
          <w:color w:val="000000" w:themeColor="text1"/>
        </w:rPr>
      </w:pPr>
      <w:r w:rsidRPr="00E02BFB">
        <w:rPr>
          <w:rFonts w:asciiTheme="minorHAnsi" w:eastAsia="Arial" w:hAnsiTheme="minorHAnsi" w:cstheme="minorHAnsi"/>
          <w:color w:val="000000" w:themeColor="text1"/>
        </w:rPr>
        <w:t xml:space="preserve">. </w:t>
      </w:r>
      <w:bookmarkStart w:id="9" w:name="_heading=h.ode9iamzlr53" w:colFirst="0" w:colLast="0"/>
      <w:bookmarkEnd w:id="9"/>
    </w:p>
    <w:p w14:paraId="18468996" w14:textId="77777777" w:rsidR="009C6829" w:rsidRDefault="009C6829">
      <w:pPr>
        <w:pBdr>
          <w:top w:val="nil"/>
          <w:left w:val="nil"/>
          <w:bottom w:val="nil"/>
          <w:right w:val="nil"/>
          <w:between w:val="nil"/>
        </w:pBdr>
        <w:spacing w:after="60"/>
        <w:jc w:val="both"/>
        <w:rPr>
          <w:rFonts w:ascii="Arial" w:eastAsia="Arial" w:hAnsi="Arial" w:cs="Arial"/>
        </w:rPr>
      </w:pPr>
    </w:p>
    <w:p w14:paraId="7EB86207" w14:textId="053FBA83" w:rsidR="00196363" w:rsidRPr="00E02BFB" w:rsidRDefault="00190D40" w:rsidP="00196363">
      <w:pPr>
        <w:pStyle w:val="Didascalia"/>
        <w:keepNext/>
        <w:rPr>
          <w:color w:val="000000" w:themeColor="text1"/>
        </w:rPr>
      </w:pPr>
      <w:r>
        <w:rPr>
          <w:color w:val="000000" w:themeColor="text1"/>
        </w:rPr>
        <w:t>Timeline of the study</w:t>
      </w:r>
    </w:p>
    <w:p w14:paraId="7D860722" w14:textId="48F1D816" w:rsidR="008A7018" w:rsidRDefault="00190D40">
      <w:pPr>
        <w:pBdr>
          <w:top w:val="nil"/>
          <w:left w:val="nil"/>
          <w:bottom w:val="nil"/>
          <w:right w:val="nil"/>
          <w:between w:val="nil"/>
        </w:pBdr>
        <w:spacing w:after="60"/>
        <w:jc w:val="both"/>
        <w:rPr>
          <w:rFonts w:ascii="Arial" w:eastAsia="Arial" w:hAnsi="Arial" w:cs="Arial"/>
        </w:rPr>
      </w:pPr>
      <w:r w:rsidRPr="00357366">
        <w:rPr>
          <w:noProof/>
        </w:rPr>
        <w:drawing>
          <wp:inline distT="0" distB="0" distL="0" distR="0" wp14:anchorId="00FB984A" wp14:editId="6C8A7729">
            <wp:extent cx="6120130" cy="2978150"/>
            <wp:effectExtent l="0" t="0" r="1270" b="6350"/>
            <wp:docPr id="8258230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t="21442" b="13681"/>
                    <a:stretch>
                      <a:fillRect/>
                    </a:stretch>
                  </pic:blipFill>
                  <pic:spPr bwMode="auto">
                    <a:xfrm>
                      <a:off x="0" y="0"/>
                      <a:ext cx="6120130" cy="2978150"/>
                    </a:xfrm>
                    <a:prstGeom prst="rect">
                      <a:avLst/>
                    </a:prstGeom>
                    <a:noFill/>
                    <a:ln>
                      <a:noFill/>
                    </a:ln>
                    <a:extLst>
                      <a:ext uri="{53640926-AAD7-44D8-BBD7-CCE9431645EC}">
                        <a14:shadowObscured xmlns:a14="http://schemas.microsoft.com/office/drawing/2010/main"/>
                      </a:ext>
                    </a:extLst>
                  </pic:spPr>
                </pic:pic>
              </a:graphicData>
            </a:graphic>
          </wp:inline>
        </w:drawing>
      </w:r>
    </w:p>
    <w:p w14:paraId="0A46D0EB" w14:textId="77777777" w:rsidR="008A7018" w:rsidRDefault="008A7018">
      <w:pPr>
        <w:spacing w:line="360" w:lineRule="auto"/>
        <w:jc w:val="both"/>
        <w:rPr>
          <w:rFonts w:ascii="Arial" w:eastAsia="Arial" w:hAnsi="Arial" w:cs="Arial"/>
          <w:color w:val="0000FF"/>
        </w:rPr>
      </w:pPr>
    </w:p>
    <w:p w14:paraId="7827BC0F" w14:textId="77777777" w:rsidR="00190D40" w:rsidRPr="00190D40" w:rsidRDefault="00190D40" w:rsidP="00190D40">
      <w:pPr>
        <w:jc w:val="both"/>
        <w:rPr>
          <w:rFonts w:asciiTheme="minorHAnsi" w:eastAsia="Arial" w:hAnsiTheme="minorHAnsi" w:cstheme="minorHAnsi"/>
          <w:color w:val="000000" w:themeColor="text1"/>
        </w:rPr>
      </w:pPr>
      <w:r w:rsidRPr="00190D40">
        <w:rPr>
          <w:rFonts w:asciiTheme="minorHAnsi" w:eastAsia="Arial" w:hAnsiTheme="minorHAnsi" w:cstheme="minorHAnsi"/>
          <w:color w:val="000000" w:themeColor="text1"/>
        </w:rPr>
        <w:t>After enrolment and baseline assessment, participants will be randomly allocated in a 1:1:1 ratio to one of the following groups:</w:t>
      </w:r>
    </w:p>
    <w:p w14:paraId="276673E7" w14:textId="77777777" w:rsidR="00190D40" w:rsidRPr="00190D40" w:rsidRDefault="00190D40" w:rsidP="00190D40">
      <w:pPr>
        <w:numPr>
          <w:ilvl w:val="0"/>
          <w:numId w:val="19"/>
        </w:numPr>
        <w:jc w:val="both"/>
        <w:rPr>
          <w:rFonts w:asciiTheme="minorHAnsi" w:eastAsia="Arial" w:hAnsiTheme="minorHAnsi" w:cstheme="minorHAnsi"/>
          <w:color w:val="000000" w:themeColor="text1"/>
        </w:rPr>
      </w:pPr>
      <w:r w:rsidRPr="00190D40">
        <w:rPr>
          <w:rFonts w:asciiTheme="minorHAnsi" w:eastAsia="Arial" w:hAnsiTheme="minorHAnsi" w:cstheme="minorHAnsi"/>
          <w:b/>
          <w:bCs/>
          <w:color w:val="000000" w:themeColor="text1"/>
        </w:rPr>
        <w:t>Neuromuscular electrical stimulation group:</w:t>
      </w:r>
      <w:r w:rsidRPr="00190D40">
        <w:rPr>
          <w:rFonts w:asciiTheme="minorHAnsi" w:eastAsia="Arial" w:hAnsiTheme="minorHAnsi" w:cstheme="minorHAnsi"/>
          <w:color w:val="000000" w:themeColor="text1"/>
        </w:rPr>
        <w:t> home-based quadriceps neuromuscular electrical stimulation using a portable device.</w:t>
      </w:r>
    </w:p>
    <w:p w14:paraId="20792057" w14:textId="77777777" w:rsidR="00190D40" w:rsidRPr="00190D40" w:rsidRDefault="00190D40" w:rsidP="00190D40">
      <w:pPr>
        <w:numPr>
          <w:ilvl w:val="0"/>
          <w:numId w:val="19"/>
        </w:numPr>
        <w:jc w:val="both"/>
        <w:rPr>
          <w:rFonts w:asciiTheme="minorHAnsi" w:eastAsia="Arial" w:hAnsiTheme="minorHAnsi" w:cstheme="minorHAnsi"/>
          <w:color w:val="000000" w:themeColor="text1"/>
        </w:rPr>
      </w:pPr>
      <w:r w:rsidRPr="00190D40">
        <w:rPr>
          <w:rFonts w:asciiTheme="minorHAnsi" w:eastAsia="Arial" w:hAnsiTheme="minorHAnsi" w:cstheme="minorHAnsi"/>
          <w:b/>
          <w:bCs/>
          <w:color w:val="000000" w:themeColor="text1"/>
        </w:rPr>
        <w:t>Physiotherapist-supervised exercise group:</w:t>
      </w:r>
      <w:r w:rsidRPr="00190D40">
        <w:rPr>
          <w:rFonts w:asciiTheme="minorHAnsi" w:eastAsia="Arial" w:hAnsiTheme="minorHAnsi" w:cstheme="minorHAnsi"/>
          <w:color w:val="000000" w:themeColor="text1"/>
        </w:rPr>
        <w:t> real-time supervised exercise delivered by videoconference.</w:t>
      </w:r>
    </w:p>
    <w:p w14:paraId="61DA5EA7" w14:textId="77777777" w:rsidR="00190D40" w:rsidRPr="00190D40" w:rsidRDefault="00190D40" w:rsidP="00190D40">
      <w:pPr>
        <w:numPr>
          <w:ilvl w:val="0"/>
          <w:numId w:val="19"/>
        </w:numPr>
        <w:jc w:val="both"/>
        <w:rPr>
          <w:rFonts w:asciiTheme="minorHAnsi" w:eastAsia="Arial" w:hAnsiTheme="minorHAnsi" w:cstheme="minorHAnsi"/>
          <w:color w:val="000000" w:themeColor="text1"/>
        </w:rPr>
      </w:pPr>
      <w:r w:rsidRPr="00190D40">
        <w:rPr>
          <w:rFonts w:asciiTheme="minorHAnsi" w:eastAsia="Arial" w:hAnsiTheme="minorHAnsi" w:cstheme="minorHAnsi"/>
          <w:b/>
          <w:bCs/>
          <w:color w:val="000000" w:themeColor="text1"/>
        </w:rPr>
        <w:t>Brochure-guided exercise group:</w:t>
      </w:r>
      <w:r w:rsidRPr="00190D40">
        <w:rPr>
          <w:rFonts w:asciiTheme="minorHAnsi" w:eastAsia="Arial" w:hAnsiTheme="minorHAnsi" w:cstheme="minorHAnsi"/>
          <w:color w:val="000000" w:themeColor="text1"/>
        </w:rPr>
        <w:t> unsupervised home exercise using a structured illustrated brochure.</w:t>
      </w:r>
    </w:p>
    <w:p w14:paraId="47EDA79A" w14:textId="71A35A6A" w:rsidR="00190D40" w:rsidRPr="00190D40" w:rsidRDefault="00190D40" w:rsidP="00190D40">
      <w:pPr>
        <w:jc w:val="both"/>
        <w:rPr>
          <w:rFonts w:asciiTheme="minorHAnsi" w:eastAsia="Arial" w:hAnsiTheme="minorHAnsi" w:cstheme="minorHAnsi"/>
          <w:color w:val="000000" w:themeColor="text1"/>
        </w:rPr>
      </w:pPr>
      <w:r w:rsidRPr="00190D40">
        <w:rPr>
          <w:rFonts w:asciiTheme="minorHAnsi" w:eastAsia="Arial" w:hAnsiTheme="minorHAnsi" w:cstheme="minorHAnsi"/>
          <w:color w:val="000000" w:themeColor="text1"/>
        </w:rPr>
        <w:t>Randomization will be performed using a block randomization procedure with a block size of 3, generated using Stata statistical software. Allocation will assign participants equally across the three groups. Outcome assessments will be performed by a physiotherapist blinded to group allocation and not involved in intervention delivery</w:t>
      </w:r>
      <w:r w:rsidR="00E02F1A" w:rsidRPr="00E02BFB">
        <w:rPr>
          <w:rFonts w:asciiTheme="minorHAnsi" w:eastAsia="Arial" w:hAnsiTheme="minorHAnsi" w:cstheme="minorHAnsi"/>
          <w:color w:val="000000" w:themeColor="text1"/>
        </w:rPr>
        <w:t>.</w:t>
      </w:r>
      <w:r w:rsidRPr="00190D40">
        <w:rPr>
          <w:color w:val="000000"/>
        </w:rPr>
        <w:t xml:space="preserve"> </w:t>
      </w:r>
      <w:r w:rsidRPr="00190D40">
        <w:rPr>
          <w:rFonts w:asciiTheme="minorHAnsi" w:eastAsia="Arial" w:hAnsiTheme="minorHAnsi" w:cstheme="minorHAnsi"/>
          <w:color w:val="000000" w:themeColor="text1"/>
        </w:rPr>
        <w:t>All three groups will complete the assigned program entirely at home. The intervention duration, frequency, and session length will be identical across groups: three sessions per week, approximately 30 minutes per session, over four consecutive weeks.</w:t>
      </w:r>
      <w:r>
        <w:rPr>
          <w:rFonts w:asciiTheme="minorHAnsi" w:eastAsia="Arial" w:hAnsiTheme="minorHAnsi" w:cstheme="minorHAnsi"/>
          <w:color w:val="000000" w:themeColor="text1"/>
        </w:rPr>
        <w:t xml:space="preserve"> </w:t>
      </w:r>
      <w:r w:rsidRPr="00190D40">
        <w:rPr>
          <w:rFonts w:asciiTheme="minorHAnsi" w:eastAsia="Arial" w:hAnsiTheme="minorHAnsi" w:cstheme="minorHAnsi"/>
          <w:color w:val="000000" w:themeColor="text1"/>
        </w:rPr>
        <w:t>Participants allocated to the neuromuscular electrical stimulation group will receive the portable device at home and will complete the first session under real-time physiotherapist supervision by videoconference. Participants allocated to the supervised exercise group will complete all sessions remotely under real-time physiotherapist supervision. Participants allocated to the brochure-guided group will perform the same exercise program independently using written and illustrated instructions, without real-time supervision.</w:t>
      </w:r>
      <w:r>
        <w:rPr>
          <w:rFonts w:asciiTheme="minorHAnsi" w:eastAsia="Arial" w:hAnsiTheme="minorHAnsi" w:cstheme="minorHAnsi"/>
          <w:color w:val="000000" w:themeColor="text1"/>
        </w:rPr>
        <w:t xml:space="preserve"> </w:t>
      </w:r>
      <w:r w:rsidRPr="00190D40">
        <w:rPr>
          <w:rFonts w:asciiTheme="minorHAnsi" w:eastAsia="Arial" w:hAnsiTheme="minorHAnsi" w:cstheme="minorHAnsi"/>
          <w:color w:val="000000" w:themeColor="text1"/>
        </w:rPr>
        <w:t>Adherence will be recorded prospectively as the number of completed sessions out of the 12 planned sessions. Any technical difficulties, clinical concerns, or adverse symptoms reported during the program will be documented and managed by the study team.</w:t>
      </w:r>
    </w:p>
    <w:p w14:paraId="4E7808A6" w14:textId="034389F4" w:rsidR="00B44633" w:rsidRPr="00E02BFB" w:rsidRDefault="00B44633" w:rsidP="00860E3D">
      <w:pPr>
        <w:jc w:val="both"/>
        <w:rPr>
          <w:rFonts w:asciiTheme="minorHAnsi" w:eastAsia="Arial" w:hAnsiTheme="minorHAnsi" w:cstheme="minorHAnsi"/>
          <w:color w:val="000000" w:themeColor="text1"/>
        </w:rPr>
      </w:pPr>
    </w:p>
    <w:p w14:paraId="74839198" w14:textId="77777777" w:rsidR="000472E3" w:rsidRPr="00860E3D" w:rsidRDefault="000472E3" w:rsidP="00860E3D">
      <w:pPr>
        <w:jc w:val="both"/>
        <w:rPr>
          <w:rFonts w:asciiTheme="minorHAnsi" w:eastAsia="Arial" w:hAnsiTheme="minorHAnsi" w:cstheme="minorHAnsi"/>
          <w:color w:val="00B050"/>
        </w:rPr>
      </w:pPr>
    </w:p>
    <w:p w14:paraId="6D183C38" w14:textId="77777777" w:rsidR="00B942B1" w:rsidRDefault="00B44633" w:rsidP="00B942B1">
      <w:pPr>
        <w:spacing w:line="360" w:lineRule="auto"/>
        <w:jc w:val="both"/>
        <w:rPr>
          <w:rFonts w:ascii="Arial" w:eastAsia="Arial" w:hAnsi="Arial" w:cs="Arial"/>
          <w:b/>
        </w:rPr>
      </w:pPr>
      <w:r>
        <w:rPr>
          <w:rFonts w:ascii="Arial" w:eastAsia="Arial" w:hAnsi="Arial" w:cs="Arial"/>
          <w:b/>
        </w:rPr>
        <w:t xml:space="preserve">3.3.1 </w:t>
      </w:r>
      <w:proofErr w:type="spellStart"/>
      <w:r>
        <w:rPr>
          <w:rFonts w:ascii="Arial" w:eastAsia="Arial" w:hAnsi="Arial" w:cs="Arial"/>
          <w:b/>
        </w:rPr>
        <w:t>Valutazioni</w:t>
      </w:r>
      <w:proofErr w:type="spellEnd"/>
    </w:p>
    <w:p w14:paraId="61762810" w14:textId="77777777" w:rsidR="00190D40" w:rsidRPr="00190D40" w:rsidRDefault="00190D40" w:rsidP="00190D40">
      <w:pPr>
        <w:jc w:val="both"/>
        <w:rPr>
          <w:color w:val="000000" w:themeColor="text1"/>
          <w:highlight w:val="white"/>
        </w:rPr>
      </w:pPr>
      <w:r w:rsidRPr="00190D40">
        <w:rPr>
          <w:color w:val="000000" w:themeColor="text1"/>
          <w:highlight w:val="white"/>
        </w:rPr>
        <w:t>Outcome measures will be collected at predefined time points: baseline before the start of the tele-prehabilitation program (T0), immediately after completion of the four-week program and before surgery (T1), postoperative day 4 (T2), and postoperative day 10 (T3).</w:t>
      </w:r>
    </w:p>
    <w:p w14:paraId="0CEBD5AB" w14:textId="77777777" w:rsidR="00190D40" w:rsidRPr="00190D40" w:rsidRDefault="00190D40" w:rsidP="00190D40">
      <w:pPr>
        <w:jc w:val="both"/>
        <w:rPr>
          <w:color w:val="000000" w:themeColor="text1"/>
          <w:highlight w:val="white"/>
        </w:rPr>
      </w:pPr>
      <w:r w:rsidRPr="00190D40">
        <w:rPr>
          <w:color w:val="000000" w:themeColor="text1"/>
          <w:highlight w:val="white"/>
        </w:rPr>
        <w:t>At T0 and T1, the following assessments will be performed:</w:t>
      </w:r>
    </w:p>
    <w:p w14:paraId="4E70AB28" w14:textId="77777777" w:rsidR="00190D40" w:rsidRPr="002E2ED7" w:rsidRDefault="00190D40" w:rsidP="00190D40">
      <w:pPr>
        <w:numPr>
          <w:ilvl w:val="0"/>
          <w:numId w:val="20"/>
        </w:numPr>
        <w:jc w:val="both"/>
        <w:rPr>
          <w:color w:val="000000" w:themeColor="text1"/>
          <w:highlight w:val="white"/>
        </w:rPr>
      </w:pPr>
      <w:r w:rsidRPr="00190D40">
        <w:rPr>
          <w:color w:val="000000" w:themeColor="text1"/>
          <w:highlight w:val="white"/>
        </w:rPr>
        <w:t>Functional capacity using the </w:t>
      </w:r>
      <w:r w:rsidRPr="002E2ED7">
        <w:rPr>
          <w:color w:val="000000" w:themeColor="text1"/>
          <w:highlight w:val="white"/>
        </w:rPr>
        <w:t>30-Second Chair Stand Test.</w:t>
      </w:r>
    </w:p>
    <w:p w14:paraId="5362F38C" w14:textId="77777777" w:rsidR="00190D40" w:rsidRPr="002E2ED7" w:rsidRDefault="00190D40" w:rsidP="00190D40">
      <w:pPr>
        <w:numPr>
          <w:ilvl w:val="0"/>
          <w:numId w:val="20"/>
        </w:numPr>
        <w:jc w:val="both"/>
        <w:rPr>
          <w:color w:val="000000" w:themeColor="text1"/>
          <w:highlight w:val="white"/>
        </w:rPr>
      </w:pPr>
      <w:r w:rsidRPr="00190D40">
        <w:rPr>
          <w:color w:val="000000" w:themeColor="text1"/>
          <w:highlight w:val="white"/>
        </w:rPr>
        <w:t>Functional mobility using the </w:t>
      </w:r>
      <w:r w:rsidRPr="002E2ED7">
        <w:rPr>
          <w:color w:val="000000" w:themeColor="text1"/>
          <w:highlight w:val="white"/>
        </w:rPr>
        <w:t>Timed Up and Go test.</w:t>
      </w:r>
    </w:p>
    <w:p w14:paraId="16262FC8" w14:textId="77777777" w:rsidR="00190D40" w:rsidRPr="00190D40" w:rsidRDefault="00190D40" w:rsidP="00190D40">
      <w:pPr>
        <w:numPr>
          <w:ilvl w:val="0"/>
          <w:numId w:val="20"/>
        </w:numPr>
        <w:jc w:val="both"/>
        <w:rPr>
          <w:color w:val="000000" w:themeColor="text1"/>
          <w:highlight w:val="white"/>
        </w:rPr>
      </w:pPr>
      <w:r w:rsidRPr="00190D40">
        <w:rPr>
          <w:color w:val="000000" w:themeColor="text1"/>
          <w:highlight w:val="white"/>
        </w:rPr>
        <w:t>Disease-specific symptoms and function using the </w:t>
      </w:r>
      <w:r w:rsidRPr="002E2ED7">
        <w:rPr>
          <w:color w:val="000000" w:themeColor="text1"/>
          <w:highlight w:val="white"/>
        </w:rPr>
        <w:t>Oxford Hip Score or Oxford Knee Score</w:t>
      </w:r>
      <w:r w:rsidRPr="00190D40">
        <w:rPr>
          <w:color w:val="000000" w:themeColor="text1"/>
          <w:highlight w:val="white"/>
        </w:rPr>
        <w:t>, according to the type of arthroplasty scheduled.</w:t>
      </w:r>
    </w:p>
    <w:p w14:paraId="5203D10A" w14:textId="77777777" w:rsidR="00190D40" w:rsidRPr="00190D40" w:rsidRDefault="00190D40" w:rsidP="00190D40">
      <w:pPr>
        <w:jc w:val="both"/>
        <w:rPr>
          <w:color w:val="000000" w:themeColor="text1"/>
          <w:highlight w:val="white"/>
        </w:rPr>
      </w:pPr>
      <w:r w:rsidRPr="00190D40">
        <w:rPr>
          <w:color w:val="000000" w:themeColor="text1"/>
          <w:highlight w:val="white"/>
        </w:rPr>
        <w:t>The 30-Second Chair Stand Test will be used to assess lower limb strength and endurance by recording the number of complete sit-to-stand repetitions performed in 30 seconds. The Timed Up and Go test will be used to assess functional mobility, dynamic balance, and gait performance by recording the time required to stand up from a chair, walk 3 meters, turn, return to the chair, and sit down.</w:t>
      </w:r>
    </w:p>
    <w:p w14:paraId="77774E1D" w14:textId="77777777" w:rsidR="00190D40" w:rsidRPr="00190D40" w:rsidRDefault="00190D40" w:rsidP="00190D40">
      <w:pPr>
        <w:jc w:val="both"/>
        <w:rPr>
          <w:color w:val="000000" w:themeColor="text1"/>
          <w:highlight w:val="white"/>
        </w:rPr>
      </w:pPr>
      <w:r w:rsidRPr="00190D40">
        <w:rPr>
          <w:color w:val="000000" w:themeColor="text1"/>
          <w:highlight w:val="white"/>
        </w:rPr>
        <w:t>The Oxford Hip Score or Oxford Knee Score will be administered according to whether the participant is scheduled for total hip arthroplasty or total knee arthroplasty. These questionnaires assess joint-specific pain and functional limitations, with higher scores indicating better function and fewer symptoms.</w:t>
      </w:r>
    </w:p>
    <w:p w14:paraId="36FC9470" w14:textId="77777777" w:rsidR="00190D40" w:rsidRPr="00190D40" w:rsidRDefault="00190D40" w:rsidP="00190D40">
      <w:pPr>
        <w:jc w:val="both"/>
        <w:rPr>
          <w:color w:val="000000" w:themeColor="text1"/>
          <w:highlight w:val="white"/>
        </w:rPr>
      </w:pPr>
      <w:r w:rsidRPr="00190D40">
        <w:rPr>
          <w:color w:val="000000" w:themeColor="text1"/>
          <w:highlight w:val="white"/>
        </w:rPr>
        <w:t>Postoperative functional recovery will be assessed using the </w:t>
      </w:r>
      <w:r w:rsidRPr="002E2ED7">
        <w:rPr>
          <w:color w:val="000000" w:themeColor="text1"/>
          <w:highlight w:val="white"/>
        </w:rPr>
        <w:t>Six-Minute Walk Test </w:t>
      </w:r>
      <w:r w:rsidRPr="00190D40">
        <w:rPr>
          <w:color w:val="000000" w:themeColor="text1"/>
          <w:highlight w:val="white"/>
        </w:rPr>
        <w:t>at T2 and T3. The test will record the distance walked in meters during six minutes along a standardized indoor corridor. Length of hospital stay will also be recorded from the hospital chart and defined as the number of days from the day of surgery to discharge from the orthopedic ward.</w:t>
      </w:r>
    </w:p>
    <w:p w14:paraId="4C08EAC4" w14:textId="22C5461E" w:rsidR="00B44633" w:rsidRDefault="00190D40" w:rsidP="000472E3">
      <w:pPr>
        <w:jc w:val="both"/>
        <w:rPr>
          <w:color w:val="000000" w:themeColor="text1"/>
        </w:rPr>
      </w:pPr>
      <w:r w:rsidRPr="00190D40">
        <w:rPr>
          <w:color w:val="000000" w:themeColor="text1"/>
          <w:highlight w:val="white"/>
        </w:rPr>
        <w:t>In participants allocated to the neuromuscular electrical stimulation group, perceived usability and satisfaction with the device will be assessed after completion of the intervention using the Technology Acceptance Model questionnaire</w:t>
      </w:r>
      <w:r w:rsidR="00FB2026" w:rsidRPr="00E02BFB">
        <w:rPr>
          <w:color w:val="000000" w:themeColor="text1"/>
        </w:rPr>
        <w:t>.</w:t>
      </w:r>
    </w:p>
    <w:p w14:paraId="17C2C074" w14:textId="77777777" w:rsidR="00190D40" w:rsidRPr="00190D40" w:rsidRDefault="00190D40" w:rsidP="000472E3">
      <w:pPr>
        <w:jc w:val="both"/>
        <w:rPr>
          <w:color w:val="000000" w:themeColor="text1"/>
          <w:highlight w:val="white"/>
        </w:rPr>
      </w:pPr>
    </w:p>
    <w:p w14:paraId="78962D1D" w14:textId="5E83F952" w:rsidR="003363BC" w:rsidRDefault="006F71E7">
      <w:pPr>
        <w:spacing w:line="360" w:lineRule="auto"/>
        <w:jc w:val="both"/>
        <w:rPr>
          <w:rFonts w:ascii="Arial" w:eastAsia="Arial" w:hAnsi="Arial" w:cs="Arial"/>
          <w:b/>
        </w:rPr>
      </w:pPr>
      <w:r>
        <w:rPr>
          <w:rFonts w:ascii="Arial" w:eastAsia="Arial" w:hAnsi="Arial" w:cs="Arial"/>
          <w:b/>
        </w:rPr>
        <w:t xml:space="preserve">3.3.2 </w:t>
      </w:r>
      <w:r w:rsidR="00190D40">
        <w:rPr>
          <w:rFonts w:ascii="Arial" w:eastAsia="Arial" w:hAnsi="Arial" w:cs="Arial"/>
          <w:b/>
          <w:bCs/>
        </w:rPr>
        <w:t>Randomization</w:t>
      </w:r>
    </w:p>
    <w:p w14:paraId="79EEF855" w14:textId="77777777" w:rsidR="00621DA2" w:rsidRPr="00621DA2" w:rsidRDefault="00621DA2" w:rsidP="00621DA2">
      <w:pPr>
        <w:pStyle w:val="paragraph"/>
        <w:rPr>
          <w:rFonts w:asciiTheme="minorHAnsi" w:hAnsiTheme="minorHAnsi" w:cstheme="minorHAnsi"/>
          <w:color w:val="000000" w:themeColor="text1"/>
        </w:rPr>
      </w:pPr>
      <w:r w:rsidRPr="00621DA2">
        <w:rPr>
          <w:rFonts w:asciiTheme="minorHAnsi" w:hAnsiTheme="minorHAnsi" w:cstheme="minorHAnsi"/>
          <w:color w:val="000000" w:themeColor="text1"/>
        </w:rPr>
        <w:t>After enrolment and baseline assessment, participants will be randomly allocated in a 1:1:1 ratio to one of the three study groups:</w:t>
      </w:r>
    </w:p>
    <w:p w14:paraId="5FB9CBF0" w14:textId="77777777" w:rsidR="00621DA2" w:rsidRPr="00621DA2" w:rsidRDefault="00621DA2" w:rsidP="00621DA2">
      <w:pPr>
        <w:pStyle w:val="paragraph"/>
        <w:numPr>
          <w:ilvl w:val="0"/>
          <w:numId w:val="21"/>
        </w:numPr>
        <w:rPr>
          <w:rFonts w:asciiTheme="minorHAnsi" w:hAnsiTheme="minorHAnsi" w:cstheme="minorHAnsi"/>
          <w:color w:val="000000" w:themeColor="text1"/>
        </w:rPr>
      </w:pPr>
      <w:r w:rsidRPr="00621DA2">
        <w:rPr>
          <w:rFonts w:asciiTheme="minorHAnsi" w:hAnsiTheme="minorHAnsi" w:cstheme="minorHAnsi"/>
          <w:color w:val="000000" w:themeColor="text1"/>
        </w:rPr>
        <w:t>Neuromuscular electrical stimulation group.</w:t>
      </w:r>
    </w:p>
    <w:p w14:paraId="75D1A827" w14:textId="77777777" w:rsidR="00621DA2" w:rsidRPr="00621DA2" w:rsidRDefault="00621DA2" w:rsidP="00621DA2">
      <w:pPr>
        <w:pStyle w:val="paragraph"/>
        <w:numPr>
          <w:ilvl w:val="0"/>
          <w:numId w:val="21"/>
        </w:numPr>
        <w:rPr>
          <w:rFonts w:asciiTheme="minorHAnsi" w:hAnsiTheme="minorHAnsi" w:cstheme="minorHAnsi"/>
          <w:color w:val="000000" w:themeColor="text1"/>
        </w:rPr>
      </w:pPr>
      <w:r w:rsidRPr="00621DA2">
        <w:rPr>
          <w:rFonts w:asciiTheme="minorHAnsi" w:hAnsiTheme="minorHAnsi" w:cstheme="minorHAnsi"/>
          <w:color w:val="000000" w:themeColor="text1"/>
        </w:rPr>
        <w:t>Physiotherapist-supervised videoconference exercise group.</w:t>
      </w:r>
    </w:p>
    <w:p w14:paraId="072CC493" w14:textId="77777777" w:rsidR="00621DA2" w:rsidRPr="00621DA2" w:rsidRDefault="00621DA2" w:rsidP="00621DA2">
      <w:pPr>
        <w:pStyle w:val="paragraph"/>
        <w:numPr>
          <w:ilvl w:val="0"/>
          <w:numId w:val="21"/>
        </w:numPr>
        <w:rPr>
          <w:rFonts w:asciiTheme="minorHAnsi" w:hAnsiTheme="minorHAnsi" w:cstheme="minorHAnsi"/>
          <w:color w:val="000000" w:themeColor="text1"/>
        </w:rPr>
      </w:pPr>
      <w:r w:rsidRPr="00621DA2">
        <w:rPr>
          <w:rFonts w:asciiTheme="minorHAnsi" w:hAnsiTheme="minorHAnsi" w:cstheme="minorHAnsi"/>
          <w:color w:val="000000" w:themeColor="text1"/>
        </w:rPr>
        <w:t>Brochure-guided unsupervised exercise group.</w:t>
      </w:r>
    </w:p>
    <w:p w14:paraId="4E393087" w14:textId="25E27DA3" w:rsidR="00621DA2" w:rsidRPr="00621DA2" w:rsidRDefault="00621DA2" w:rsidP="00621DA2">
      <w:pPr>
        <w:pStyle w:val="paragraph"/>
        <w:rPr>
          <w:rFonts w:asciiTheme="minorHAnsi" w:hAnsiTheme="minorHAnsi" w:cstheme="minorHAnsi"/>
          <w:color w:val="000000" w:themeColor="text1"/>
        </w:rPr>
      </w:pPr>
      <w:r w:rsidRPr="00621DA2">
        <w:rPr>
          <w:rFonts w:asciiTheme="minorHAnsi" w:hAnsiTheme="minorHAnsi" w:cstheme="minorHAnsi"/>
          <w:color w:val="000000" w:themeColor="text1"/>
        </w:rPr>
        <w:t>Randomization will be performed using a block randomization procedure to ensure balanced allocation across the three intervention groups. The randomization sequence will be generated using Stata statistical software. In accordance with the final study design, a block size of 3 will be used.</w:t>
      </w:r>
      <w:r>
        <w:rPr>
          <w:rFonts w:asciiTheme="minorHAnsi" w:hAnsiTheme="minorHAnsi" w:cstheme="minorHAnsi"/>
          <w:color w:val="000000" w:themeColor="text1"/>
        </w:rPr>
        <w:t xml:space="preserve"> </w:t>
      </w:r>
      <w:r w:rsidRPr="00621DA2">
        <w:rPr>
          <w:rFonts w:asciiTheme="minorHAnsi" w:hAnsiTheme="minorHAnsi" w:cstheme="minorHAnsi"/>
          <w:color w:val="000000" w:themeColor="text1"/>
        </w:rPr>
        <w:t>The allocation sequence will be prepared by a researcher or biostatistician not directly involved in participant assessment or intervention delivery. Researchers responsible for outcome assessments will not have access to the randomization sequence.</w:t>
      </w:r>
      <w:r>
        <w:rPr>
          <w:rFonts w:asciiTheme="minorHAnsi" w:hAnsiTheme="minorHAnsi" w:cstheme="minorHAnsi"/>
          <w:color w:val="000000" w:themeColor="text1"/>
        </w:rPr>
        <w:t xml:space="preserve"> </w:t>
      </w:r>
      <w:r w:rsidRPr="00621DA2">
        <w:rPr>
          <w:rFonts w:asciiTheme="minorHAnsi" w:hAnsiTheme="minorHAnsi" w:cstheme="minorHAnsi"/>
          <w:color w:val="000000" w:themeColor="text1"/>
        </w:rPr>
        <w:t xml:space="preserve">Because of the nature of the interventions, participants and treating physiotherapists cannot be blinded to group allocation. However, outcome assessments will be performed by a physiotherapist blinded to treatment </w:t>
      </w:r>
      <w:r w:rsidRPr="00621DA2">
        <w:rPr>
          <w:rFonts w:asciiTheme="minorHAnsi" w:hAnsiTheme="minorHAnsi" w:cstheme="minorHAnsi"/>
          <w:color w:val="000000" w:themeColor="text1"/>
        </w:rPr>
        <w:lastRenderedPageBreak/>
        <w:t>allocation and not involved in delivering any of the interventions.</w:t>
      </w:r>
      <w:r>
        <w:rPr>
          <w:rFonts w:asciiTheme="minorHAnsi" w:hAnsiTheme="minorHAnsi" w:cstheme="minorHAnsi"/>
          <w:color w:val="000000" w:themeColor="text1"/>
        </w:rPr>
        <w:t xml:space="preserve"> </w:t>
      </w:r>
      <w:r w:rsidRPr="00621DA2">
        <w:rPr>
          <w:rFonts w:asciiTheme="minorHAnsi" w:hAnsiTheme="minorHAnsi" w:cstheme="minorHAnsi"/>
          <w:color w:val="000000" w:themeColor="text1"/>
        </w:rPr>
        <w:t>Allocation concealment will be maintained until the participant has completed the baseline assessment and has been formally enrolled. The assigned intervention will then be communicated to the participant by the study team</w:t>
      </w:r>
      <w:r>
        <w:rPr>
          <w:rFonts w:asciiTheme="minorHAnsi" w:hAnsiTheme="minorHAnsi" w:cstheme="minorHAnsi"/>
          <w:color w:val="000000" w:themeColor="text1"/>
        </w:rPr>
        <w:t xml:space="preserve">. </w:t>
      </w:r>
      <w:r w:rsidRPr="00621DA2">
        <w:rPr>
          <w:rFonts w:asciiTheme="minorHAnsi" w:hAnsiTheme="minorHAnsi" w:cstheme="minorHAnsi"/>
          <w:color w:val="000000" w:themeColor="text1"/>
        </w:rPr>
        <w:t>To reduce imbalance between participants undergoing total hip arthroplasty and total knee arthroplasty, randomization may be stratified by arthroplasty type, with separate randomization lists generated for hip and knee arthroplasty candidates</w:t>
      </w:r>
      <w:r w:rsidRPr="00621DA2">
        <w:rPr>
          <w:rFonts w:asciiTheme="minorHAnsi" w:hAnsiTheme="minorHAnsi" w:cstheme="minorHAnsi"/>
          <w:color w:val="000000" w:themeColor="text1"/>
          <w:szCs w:val="24"/>
          <w:lang w:val="it-IT"/>
        </w:rPr>
        <w:t>.</w:t>
      </w:r>
    </w:p>
    <w:p w14:paraId="7EDA806A" w14:textId="77777777" w:rsidR="00980D69" w:rsidRPr="00E02BFB" w:rsidRDefault="00980D69" w:rsidP="00D4765F">
      <w:pPr>
        <w:pStyle w:val="paragraph"/>
        <w:spacing w:before="0"/>
        <w:rPr>
          <w:rFonts w:asciiTheme="minorHAnsi" w:hAnsiTheme="minorHAnsi" w:cs="Comic Sans MS"/>
          <w:color w:val="000000" w:themeColor="text1"/>
          <w:szCs w:val="24"/>
          <w:u w:val="single"/>
          <w:lang w:val="it-IT"/>
        </w:rPr>
      </w:pPr>
    </w:p>
    <w:p w14:paraId="2E2BAC71" w14:textId="29945ABF" w:rsidR="008A7018" w:rsidRPr="00B44633" w:rsidRDefault="0076306B" w:rsidP="006F71E7">
      <w:pPr>
        <w:pStyle w:val="Titolo2"/>
        <w:numPr>
          <w:ilvl w:val="0"/>
          <w:numId w:val="0"/>
        </w:numPr>
        <w:tabs>
          <w:tab w:val="left" w:pos="851"/>
        </w:tabs>
        <w:jc w:val="both"/>
        <w:rPr>
          <w:sz w:val="22"/>
          <w:szCs w:val="22"/>
          <w:lang w:val="it-IT"/>
        </w:rPr>
      </w:pPr>
      <w:bookmarkStart w:id="10" w:name="_Toc94347120"/>
      <w:r w:rsidRPr="00B44633">
        <w:rPr>
          <w:sz w:val="22"/>
          <w:szCs w:val="22"/>
          <w:lang w:val="it-IT"/>
        </w:rPr>
        <w:t>3.</w:t>
      </w:r>
      <w:r w:rsidR="006F71E7">
        <w:rPr>
          <w:sz w:val="22"/>
          <w:szCs w:val="22"/>
          <w:lang w:val="it-IT"/>
        </w:rPr>
        <w:t>3.</w:t>
      </w:r>
      <w:r w:rsidR="00F34CD8">
        <w:rPr>
          <w:sz w:val="22"/>
          <w:szCs w:val="22"/>
          <w:lang w:val="it-IT"/>
        </w:rPr>
        <w:t xml:space="preserve">3 </w:t>
      </w:r>
      <w:bookmarkEnd w:id="10"/>
      <w:proofErr w:type="spellStart"/>
      <w:r w:rsidR="00621DA2" w:rsidRPr="00621DA2">
        <w:rPr>
          <w:sz w:val="22"/>
          <w:szCs w:val="22"/>
          <w:lang w:val="it-IT"/>
        </w:rPr>
        <w:t>Withdrawal</w:t>
      </w:r>
      <w:proofErr w:type="spellEnd"/>
      <w:r w:rsidR="00621DA2" w:rsidRPr="00621DA2">
        <w:rPr>
          <w:sz w:val="22"/>
          <w:szCs w:val="22"/>
          <w:lang w:val="it-IT"/>
        </w:rPr>
        <w:t xml:space="preserve"> and Study </w:t>
      </w:r>
      <w:proofErr w:type="spellStart"/>
      <w:r w:rsidR="00621DA2" w:rsidRPr="00621DA2">
        <w:rPr>
          <w:sz w:val="22"/>
          <w:szCs w:val="22"/>
          <w:lang w:val="it-IT"/>
        </w:rPr>
        <w:t>Discontinuation</w:t>
      </w:r>
      <w:proofErr w:type="spellEnd"/>
    </w:p>
    <w:p w14:paraId="6B48B7F5" w14:textId="77777777" w:rsidR="00621DA2" w:rsidRPr="00621DA2" w:rsidRDefault="00621DA2" w:rsidP="00621DA2">
      <w:pPr>
        <w:jc w:val="both"/>
        <w:rPr>
          <w:rFonts w:asciiTheme="minorHAnsi" w:eastAsia="Arial" w:hAnsiTheme="minorHAnsi" w:cstheme="minorHAnsi"/>
          <w:color w:val="000000" w:themeColor="text1"/>
        </w:rPr>
      </w:pPr>
      <w:bookmarkStart w:id="11" w:name="_heading=h.1ksv4uv" w:colFirst="0" w:colLast="0"/>
      <w:bookmarkEnd w:id="11"/>
      <w:r w:rsidRPr="00621DA2">
        <w:rPr>
          <w:rFonts w:asciiTheme="minorHAnsi" w:eastAsia="Arial" w:hAnsiTheme="minorHAnsi" w:cstheme="minorHAnsi"/>
          <w:color w:val="000000" w:themeColor="text1"/>
        </w:rPr>
        <w:t>Participants may withdraw from the study at any time without providing a reason. Withdrawal from the study will not affect their standard medical care, surgical treatment, rehabilitation pathway, or access to diagnostic and therapeutic procedures.</w:t>
      </w:r>
    </w:p>
    <w:p w14:paraId="5FC6162E" w14:textId="77777777" w:rsidR="00621DA2" w:rsidRPr="00621DA2" w:rsidRDefault="00621DA2" w:rsidP="00621DA2">
      <w:pPr>
        <w:jc w:val="both"/>
        <w:rPr>
          <w:rFonts w:asciiTheme="minorHAnsi" w:eastAsia="Arial" w:hAnsiTheme="minorHAnsi" w:cstheme="minorHAnsi"/>
          <w:color w:val="000000" w:themeColor="text1"/>
        </w:rPr>
      </w:pPr>
      <w:r w:rsidRPr="00621DA2">
        <w:rPr>
          <w:rFonts w:asciiTheme="minorHAnsi" w:eastAsia="Arial" w:hAnsiTheme="minorHAnsi" w:cstheme="minorHAnsi"/>
          <w:color w:val="000000" w:themeColor="text1"/>
        </w:rPr>
        <w:t>A participant may also be withdrawn from the study by the investigators if continuation is considered unsafe or inappropriate. Possible reasons for investigator-initiated withdrawal include:</w:t>
      </w:r>
    </w:p>
    <w:p w14:paraId="4D4DDD5E" w14:textId="77777777" w:rsidR="00621DA2" w:rsidRPr="00621DA2" w:rsidRDefault="00621DA2" w:rsidP="00621DA2">
      <w:pPr>
        <w:numPr>
          <w:ilvl w:val="0"/>
          <w:numId w:val="22"/>
        </w:numPr>
        <w:jc w:val="both"/>
        <w:rPr>
          <w:rFonts w:asciiTheme="minorHAnsi" w:eastAsia="Arial" w:hAnsiTheme="minorHAnsi" w:cstheme="minorHAnsi"/>
          <w:color w:val="000000" w:themeColor="text1"/>
        </w:rPr>
      </w:pPr>
      <w:r w:rsidRPr="00621DA2">
        <w:rPr>
          <w:rFonts w:asciiTheme="minorHAnsi" w:eastAsia="Arial" w:hAnsiTheme="minorHAnsi" w:cstheme="minorHAnsi"/>
          <w:color w:val="000000" w:themeColor="text1"/>
        </w:rPr>
        <w:t>Discovery after enrolment that the participant does not meet eligibility criteria.</w:t>
      </w:r>
    </w:p>
    <w:p w14:paraId="3F324640" w14:textId="77777777" w:rsidR="00621DA2" w:rsidRPr="00621DA2" w:rsidRDefault="00621DA2" w:rsidP="00621DA2">
      <w:pPr>
        <w:numPr>
          <w:ilvl w:val="0"/>
          <w:numId w:val="22"/>
        </w:numPr>
        <w:jc w:val="both"/>
        <w:rPr>
          <w:rFonts w:asciiTheme="minorHAnsi" w:eastAsia="Arial" w:hAnsiTheme="minorHAnsi" w:cstheme="minorHAnsi"/>
          <w:color w:val="000000" w:themeColor="text1"/>
        </w:rPr>
      </w:pPr>
      <w:r w:rsidRPr="00621DA2">
        <w:rPr>
          <w:rFonts w:asciiTheme="minorHAnsi" w:eastAsia="Arial" w:hAnsiTheme="minorHAnsi" w:cstheme="minorHAnsi"/>
          <w:color w:val="000000" w:themeColor="text1"/>
        </w:rPr>
        <w:t>Development of a new orthopedic, neurological, vestibular, or medical condition that may interfere with safe participation or outcome assessment.</w:t>
      </w:r>
    </w:p>
    <w:p w14:paraId="06BDDCB2" w14:textId="77777777" w:rsidR="00621DA2" w:rsidRPr="00621DA2" w:rsidRDefault="00621DA2" w:rsidP="00621DA2">
      <w:pPr>
        <w:numPr>
          <w:ilvl w:val="0"/>
          <w:numId w:val="22"/>
        </w:numPr>
        <w:jc w:val="both"/>
        <w:rPr>
          <w:rFonts w:asciiTheme="minorHAnsi" w:eastAsia="Arial" w:hAnsiTheme="minorHAnsi" w:cstheme="minorHAnsi"/>
          <w:color w:val="000000" w:themeColor="text1"/>
        </w:rPr>
      </w:pPr>
      <w:r w:rsidRPr="00621DA2">
        <w:rPr>
          <w:rFonts w:asciiTheme="minorHAnsi" w:eastAsia="Arial" w:hAnsiTheme="minorHAnsi" w:cstheme="minorHAnsi"/>
          <w:color w:val="000000" w:themeColor="text1"/>
        </w:rPr>
        <w:t>Development of a contraindication to one of the study interventions or medical devices.</w:t>
      </w:r>
    </w:p>
    <w:p w14:paraId="3CC84B2B" w14:textId="77777777" w:rsidR="00621DA2" w:rsidRPr="00621DA2" w:rsidRDefault="00621DA2" w:rsidP="00621DA2">
      <w:pPr>
        <w:numPr>
          <w:ilvl w:val="0"/>
          <w:numId w:val="22"/>
        </w:numPr>
        <w:jc w:val="both"/>
        <w:rPr>
          <w:rFonts w:asciiTheme="minorHAnsi" w:eastAsia="Arial" w:hAnsiTheme="minorHAnsi" w:cstheme="minorHAnsi"/>
          <w:color w:val="000000" w:themeColor="text1"/>
        </w:rPr>
      </w:pPr>
      <w:r w:rsidRPr="00621DA2">
        <w:rPr>
          <w:rFonts w:asciiTheme="minorHAnsi" w:eastAsia="Arial" w:hAnsiTheme="minorHAnsi" w:cstheme="minorHAnsi"/>
          <w:color w:val="000000" w:themeColor="text1"/>
        </w:rPr>
        <w:t>Inability to continue the assigned intervention because of technical, clinical, or personal reasons.</w:t>
      </w:r>
    </w:p>
    <w:p w14:paraId="6AF8746E" w14:textId="77777777" w:rsidR="00621DA2" w:rsidRPr="00621DA2" w:rsidRDefault="00621DA2" w:rsidP="00621DA2">
      <w:pPr>
        <w:numPr>
          <w:ilvl w:val="0"/>
          <w:numId w:val="22"/>
        </w:numPr>
        <w:jc w:val="both"/>
        <w:rPr>
          <w:rFonts w:asciiTheme="minorHAnsi" w:eastAsia="Arial" w:hAnsiTheme="minorHAnsi" w:cstheme="minorHAnsi"/>
          <w:color w:val="000000" w:themeColor="text1"/>
        </w:rPr>
      </w:pPr>
      <w:r w:rsidRPr="00621DA2">
        <w:rPr>
          <w:rFonts w:asciiTheme="minorHAnsi" w:eastAsia="Arial" w:hAnsiTheme="minorHAnsi" w:cstheme="minorHAnsi"/>
          <w:color w:val="000000" w:themeColor="text1"/>
        </w:rPr>
        <w:t>Withdrawal of informed consent.</w:t>
      </w:r>
    </w:p>
    <w:p w14:paraId="4328C69D" w14:textId="1AC50EDD" w:rsidR="008A7018" w:rsidRPr="002E43E8" w:rsidRDefault="00621DA2" w:rsidP="00D4765F">
      <w:pPr>
        <w:jc w:val="both"/>
        <w:rPr>
          <w:rFonts w:asciiTheme="minorHAnsi" w:eastAsia="Arial" w:hAnsiTheme="minorHAnsi" w:cstheme="minorHAnsi"/>
          <w:color w:val="000000" w:themeColor="text1"/>
        </w:rPr>
      </w:pPr>
      <w:r w:rsidRPr="00621DA2">
        <w:rPr>
          <w:rFonts w:asciiTheme="minorHAnsi" w:eastAsia="Arial" w:hAnsiTheme="minorHAnsi" w:cstheme="minorHAnsi"/>
          <w:color w:val="000000" w:themeColor="text1"/>
        </w:rPr>
        <w:t>When possible, participants who discontinue the assigned intervention will be asked to complete the planned follow-up assessments, unless they withdraw consent for further data collection. The reason for withdrawal or discontinuation will be recorded in the study documentation</w:t>
      </w:r>
      <w:r w:rsidR="008C6239" w:rsidRPr="002E43E8">
        <w:rPr>
          <w:rFonts w:asciiTheme="minorHAnsi" w:eastAsia="Arial" w:hAnsiTheme="minorHAnsi" w:cstheme="minorHAnsi"/>
          <w:color w:val="000000" w:themeColor="text1"/>
        </w:rPr>
        <w:t xml:space="preserve">. </w:t>
      </w:r>
    </w:p>
    <w:p w14:paraId="0E586009" w14:textId="62AD9A45" w:rsidR="008A7018" w:rsidRPr="00E02BFB" w:rsidRDefault="0025186F" w:rsidP="0025186F">
      <w:pPr>
        <w:pStyle w:val="Titolo1"/>
        <w:numPr>
          <w:ilvl w:val="0"/>
          <w:numId w:val="13"/>
        </w:numPr>
        <w:ind w:left="142" w:hanging="142"/>
        <w:jc w:val="both"/>
        <w:rPr>
          <w:sz w:val="22"/>
          <w:szCs w:val="22"/>
          <w:lang w:val="it-IT"/>
        </w:rPr>
      </w:pPr>
      <w:r w:rsidRPr="00E02BFB">
        <w:rPr>
          <w:sz w:val="22"/>
          <w:szCs w:val="22"/>
          <w:lang w:val="it-IT"/>
        </w:rPr>
        <w:t xml:space="preserve"> </w:t>
      </w:r>
      <w:bookmarkStart w:id="12" w:name="_Toc94347121"/>
      <w:r w:rsidR="0076306B" w:rsidRPr="00E02BFB">
        <w:rPr>
          <w:sz w:val="22"/>
          <w:szCs w:val="22"/>
          <w:lang w:val="it-IT"/>
        </w:rPr>
        <w:t>metodologia statistica</w:t>
      </w:r>
      <w:bookmarkEnd w:id="12"/>
      <w:r w:rsidR="0076306B" w:rsidRPr="00E02BFB">
        <w:rPr>
          <w:sz w:val="22"/>
          <w:szCs w:val="22"/>
          <w:lang w:val="it-IT"/>
        </w:rPr>
        <w:t xml:space="preserve"> </w:t>
      </w:r>
    </w:p>
    <w:p w14:paraId="6F68FB6E" w14:textId="19E8F964" w:rsidR="008A7018" w:rsidRPr="00E02BFB" w:rsidRDefault="0076306B" w:rsidP="0025186F">
      <w:pPr>
        <w:pStyle w:val="Titolo2"/>
        <w:numPr>
          <w:ilvl w:val="0"/>
          <w:numId w:val="0"/>
        </w:numPr>
        <w:tabs>
          <w:tab w:val="left" w:pos="851"/>
        </w:tabs>
        <w:spacing w:line="360" w:lineRule="auto"/>
        <w:jc w:val="both"/>
        <w:rPr>
          <w:iCs w:val="0"/>
          <w:sz w:val="22"/>
          <w:szCs w:val="22"/>
          <w:lang w:val="it-IT"/>
        </w:rPr>
      </w:pPr>
      <w:bookmarkStart w:id="13" w:name="_Toc94347122"/>
      <w:r w:rsidRPr="00E02BFB">
        <w:rPr>
          <w:iCs w:val="0"/>
          <w:sz w:val="22"/>
          <w:szCs w:val="22"/>
          <w:lang w:val="it-IT"/>
        </w:rPr>
        <w:t xml:space="preserve">4.1. </w:t>
      </w:r>
      <w:bookmarkEnd w:id="13"/>
      <w:r w:rsidR="00621DA2" w:rsidRPr="00621DA2">
        <w:rPr>
          <w:iCs w:val="0"/>
          <w:sz w:val="22"/>
          <w:szCs w:val="22"/>
          <w:lang w:val="it-IT"/>
        </w:rPr>
        <w:t>Sample Size and Statistical Analysis Plan</w:t>
      </w:r>
    </w:p>
    <w:p w14:paraId="298293B6" w14:textId="5CDC7FC9" w:rsidR="008A7018" w:rsidRPr="00E02BFB" w:rsidRDefault="00621DA2" w:rsidP="00312BB4">
      <w:pPr>
        <w:pBdr>
          <w:top w:val="nil"/>
          <w:left w:val="nil"/>
          <w:bottom w:val="nil"/>
          <w:right w:val="nil"/>
          <w:between w:val="nil"/>
        </w:pBdr>
        <w:spacing w:after="60"/>
        <w:jc w:val="both"/>
        <w:rPr>
          <w:rFonts w:ascii="Arial" w:eastAsia="Arial" w:hAnsi="Arial" w:cs="Arial"/>
          <w:b/>
          <w:bCs/>
          <w:color w:val="000000"/>
        </w:rPr>
      </w:pPr>
      <w:r w:rsidRPr="00621DA2">
        <w:rPr>
          <w:rFonts w:ascii="Arial" w:eastAsia="Arial" w:hAnsi="Arial" w:cs="Arial"/>
          <w:b/>
          <w:bCs/>
          <w:color w:val="000000"/>
        </w:rPr>
        <w:t>Assumptions for the Sample Size Calculation</w:t>
      </w:r>
    </w:p>
    <w:p w14:paraId="2678827C" w14:textId="75A468F4" w:rsidR="00AA7289" w:rsidRPr="00621DA2" w:rsidRDefault="00621DA2" w:rsidP="007E47CD">
      <w:pPr>
        <w:pBdr>
          <w:top w:val="nil"/>
          <w:left w:val="nil"/>
          <w:bottom w:val="nil"/>
          <w:right w:val="nil"/>
          <w:between w:val="nil"/>
        </w:pBdr>
        <w:jc w:val="both"/>
        <w:rPr>
          <w:rFonts w:asciiTheme="minorHAnsi" w:eastAsia="Arial" w:hAnsiTheme="minorHAnsi" w:cstheme="minorHAnsi"/>
          <w:color w:val="000000" w:themeColor="text1"/>
        </w:rPr>
      </w:pPr>
      <w:r w:rsidRPr="00621DA2">
        <w:rPr>
          <w:rFonts w:asciiTheme="minorHAnsi" w:eastAsia="Arial" w:hAnsiTheme="minorHAnsi" w:cstheme="minorHAnsi"/>
          <w:color w:val="000000" w:themeColor="text1"/>
        </w:rPr>
        <w:t>The sample size was estimated a priori using the Six-Minute Walk Test as the reference outcome. The 6MWT was selected because it is a clinically relevant indicator of postoperative functional recovery in patients undergoing lower limb arthroplasty.</w:t>
      </w:r>
      <w:r>
        <w:rPr>
          <w:rFonts w:asciiTheme="minorHAnsi" w:eastAsia="Arial" w:hAnsiTheme="minorHAnsi" w:cstheme="minorHAnsi"/>
          <w:color w:val="000000" w:themeColor="text1"/>
        </w:rPr>
        <w:t xml:space="preserve"> </w:t>
      </w:r>
      <w:r w:rsidRPr="00621DA2">
        <w:rPr>
          <w:rFonts w:asciiTheme="minorHAnsi" w:eastAsia="Arial" w:hAnsiTheme="minorHAnsi" w:cstheme="minorHAnsi"/>
          <w:color w:val="000000" w:themeColor="text1"/>
        </w:rPr>
        <w:t>The calculation was informed by previous evidence from Steven-Lapsley et al.</w:t>
      </w:r>
      <w:r w:rsidR="002E2ED7">
        <w:rPr>
          <w:rFonts w:asciiTheme="minorHAnsi" w:eastAsia="Arial" w:hAnsiTheme="minorHAnsi" w:cstheme="minorHAnsi"/>
          <w:color w:val="000000" w:themeColor="text1"/>
        </w:rPr>
        <w:t xml:space="preserve"> </w:t>
      </w:r>
      <w:r w:rsidR="002E2ED7">
        <w:rPr>
          <w:rFonts w:asciiTheme="minorHAnsi" w:eastAsia="Arial" w:hAnsiTheme="minorHAnsi" w:cstheme="minorHAnsi"/>
          <w:color w:val="000000" w:themeColor="text1"/>
        </w:rPr>
        <w:fldChar w:fldCharType="begin"/>
      </w:r>
      <w:r w:rsidR="002E2ED7">
        <w:rPr>
          <w:rFonts w:asciiTheme="minorHAnsi" w:eastAsia="Arial" w:hAnsiTheme="minorHAnsi" w:cstheme="minorHAnsi"/>
          <w:color w:val="000000" w:themeColor="text1"/>
        </w:rPr>
        <w:instrText xml:space="preserve"> ADDIN ZOTERO_ITEM CSL_CITATION {"citationID":"o2nPXBza","properties":{"formattedCitation":"[16]","plainCitation":"[16]","noteIndex":0},"citationItems":[{"id":9921,"uris":["http://zotero.org/users/8514341/items/3WB6QBK5"],"itemData":{"id":9921,"type":"article-journal","abstract":"The recovery of quadriceps muscle force and function after total knee arthroplasty (TKA) is suboptimal, which predisposes patients to disability with increasing age.The purpose of this investigation was to evaluate the efficacy of quadriceps muscle neuromuscular electrical stimulation (NMES), initiated 48 hours after TKA, as an adjunct to standard rehabilitation.This was a prospective, longitudinal randomized controlled trial.Sixty-six patients, aged 50 to 85 years and planning a primary unilateral TKA, were randomly assigned to receive either standard rehabilitation (control) or standard rehabilitation plus NMES applied to the quadriceps muscle (initiated 48 hours after surgery). The NMES was applied twice per day at the maximum tolerable intensity for 15 contractions. Data for muscle strength, functional performance, and self-report measures were obtained before surgery and 3.5, 6.5, 13, 26, and 52 weeks after TKA.At 3.5 weeks after TKA, significant improvements with NMES were found for quadriceps and hamstring muscle strength, functional performance, and knee extension active range of motion. At 52 weeks, the differences between groups were attenuated, but improvements with NMES were still significant for quadriceps and hamstring muscle strength, functional performance, and some self-report measures.Treatment volume was not matched for both study arms; NMES was added to the standard of care treatment. Furthermore, testers were not blinded during testing, but used standardized scripts to avoid bias. Finally, some patients reached the maximum stimulator output during at least one treatment session and may have tolerated more stimulation.The early addition of NMES effectively attenuated loss of quadriceps muscle strength and improved functional performance following TKA. The effects were most pronounced and clinically meaningful within the first month after surgery, but persisted through 1 year after surgery.","container-title":"Physical Therapy","DOI":"10.2522/ptj.20110124","ISSN":"1538-6724","issue":"2","journalAbbreviation":"Phys Ther","page":"210-226","source":"Silverchair","title":"Early Neuromuscular Electrical Stimulation to Improve Quadriceps Muscle Strength After Total Knee Arthroplasty: A Randomized Controlled Trial","title-short":"Early Neuromuscular Electrical Stimulation to Improve Quadriceps Muscle Strength After Total Knee Arthroplasty","volume":"92","author":[{"family":"Stevens-Lapsley","given":"Jennifer E."},{"family":"Balter","given":"Jaclyn E."},{"family":"Wolfe","given":"Pamela"},{"family":"Eckhoff","given":"Donald G."},{"family":"Kohrt","given":"Wendy M."}],"issued":{"date-parts":[["2012",2,1]]}}}],"schema":"https://github.com/citation-style-language/schema/raw/master/csl-citation.json"} </w:instrText>
      </w:r>
      <w:r w:rsidR="002E2ED7">
        <w:rPr>
          <w:rFonts w:asciiTheme="minorHAnsi" w:eastAsia="Arial" w:hAnsiTheme="minorHAnsi" w:cstheme="minorHAnsi"/>
          <w:color w:val="000000" w:themeColor="text1"/>
        </w:rPr>
        <w:fldChar w:fldCharType="separate"/>
      </w:r>
      <w:r w:rsidR="002E2ED7">
        <w:rPr>
          <w:rFonts w:asciiTheme="minorHAnsi" w:eastAsia="Arial" w:hAnsiTheme="minorHAnsi" w:cstheme="minorHAnsi"/>
          <w:noProof/>
          <w:color w:val="000000" w:themeColor="text1"/>
        </w:rPr>
        <w:t>[16]</w:t>
      </w:r>
      <w:r w:rsidR="002E2ED7">
        <w:rPr>
          <w:rFonts w:asciiTheme="minorHAnsi" w:eastAsia="Arial" w:hAnsiTheme="minorHAnsi" w:cstheme="minorHAnsi"/>
          <w:color w:val="000000" w:themeColor="text1"/>
        </w:rPr>
        <w:fldChar w:fldCharType="end"/>
      </w:r>
      <w:r w:rsidRPr="00621DA2">
        <w:rPr>
          <w:rFonts w:asciiTheme="minorHAnsi" w:eastAsia="Arial" w:hAnsiTheme="minorHAnsi" w:cstheme="minorHAnsi"/>
          <w:color w:val="000000" w:themeColor="text1"/>
        </w:rPr>
        <w:t>, who reported that, 3.5 weeks after total knee arthroplasty, patients receiving neuromuscular electrical stimulation walked a mean distance of 390.1 m, with a standard deviation of 92.4 m, compared with 295.3 m, with a standard deviation of 103.4 m, in the control group. This corresponded to a between-group difference of 94.8 m.</w:t>
      </w:r>
      <w:r>
        <w:rPr>
          <w:rFonts w:asciiTheme="minorHAnsi" w:eastAsia="Arial" w:hAnsiTheme="minorHAnsi" w:cstheme="minorHAnsi"/>
          <w:color w:val="000000" w:themeColor="text1"/>
        </w:rPr>
        <w:t xml:space="preserve"> </w:t>
      </w:r>
      <w:r w:rsidRPr="00621DA2">
        <w:rPr>
          <w:rFonts w:asciiTheme="minorHAnsi" w:eastAsia="Arial" w:hAnsiTheme="minorHAnsi" w:cstheme="minorHAnsi"/>
          <w:color w:val="000000" w:themeColor="text1"/>
        </w:rPr>
        <w:t>Because the present study compares three active tele-prehabilitation strategies and does not include a comparable nonintervention control group, this previously reported effect was considered likely to overestimate the expected treatment effect in the present trial. Therefore, a more conservative assumption of a moderate effect size was adopted</w:t>
      </w:r>
      <w:r w:rsidR="00AC67F8" w:rsidRPr="002E43E8">
        <w:rPr>
          <w:rFonts w:asciiTheme="minorHAnsi" w:eastAsia="Arial" w:hAnsiTheme="minorHAnsi" w:cstheme="minorHAnsi"/>
          <w:color w:val="000000" w:themeColor="text1"/>
        </w:rPr>
        <w:t>.</w:t>
      </w:r>
    </w:p>
    <w:p w14:paraId="3D0034F6" w14:textId="77777777" w:rsidR="00705C02" w:rsidRPr="00E02BFB" w:rsidRDefault="00705C02">
      <w:pPr>
        <w:pBdr>
          <w:top w:val="nil"/>
          <w:left w:val="nil"/>
          <w:bottom w:val="nil"/>
          <w:right w:val="nil"/>
          <w:between w:val="nil"/>
        </w:pBdr>
        <w:spacing w:line="360" w:lineRule="auto"/>
        <w:jc w:val="both"/>
        <w:rPr>
          <w:rFonts w:ascii="Arial" w:eastAsia="Arial" w:hAnsi="Arial" w:cs="Arial"/>
          <w:color w:val="000000"/>
        </w:rPr>
      </w:pPr>
    </w:p>
    <w:p w14:paraId="137C211A" w14:textId="2C7B7392" w:rsidR="00E474A3" w:rsidRPr="00E02BFB" w:rsidRDefault="007F00FE" w:rsidP="00312BB4">
      <w:pPr>
        <w:pBdr>
          <w:top w:val="nil"/>
          <w:left w:val="nil"/>
          <w:bottom w:val="nil"/>
          <w:right w:val="nil"/>
          <w:between w:val="nil"/>
        </w:pBdr>
        <w:spacing w:after="60"/>
        <w:jc w:val="both"/>
        <w:rPr>
          <w:rFonts w:ascii="Arial" w:eastAsia="Arial" w:hAnsi="Arial" w:cs="Arial"/>
          <w:b/>
          <w:bCs/>
          <w:color w:val="000000"/>
        </w:rPr>
      </w:pPr>
      <w:r>
        <w:rPr>
          <w:rFonts w:ascii="Arial" w:eastAsia="Arial" w:hAnsi="Arial" w:cs="Arial"/>
          <w:b/>
          <w:bCs/>
          <w:color w:val="000000"/>
        </w:rPr>
        <w:t>Sample size assessment</w:t>
      </w:r>
    </w:p>
    <w:p w14:paraId="21699520" w14:textId="15DADD03" w:rsidR="00AA7289" w:rsidRPr="002E43E8" w:rsidRDefault="007F00FE" w:rsidP="007F00FE">
      <w:pPr>
        <w:pBdr>
          <w:top w:val="nil"/>
          <w:left w:val="nil"/>
          <w:bottom w:val="nil"/>
          <w:right w:val="nil"/>
          <w:between w:val="nil"/>
        </w:pBdr>
        <w:spacing w:after="60"/>
        <w:jc w:val="both"/>
        <w:rPr>
          <w:rFonts w:asciiTheme="minorHAnsi" w:eastAsia="Arial" w:hAnsiTheme="minorHAnsi" w:cstheme="minorHAnsi"/>
          <w:color w:val="000000"/>
        </w:rPr>
      </w:pPr>
      <w:r w:rsidRPr="007F00FE">
        <w:rPr>
          <w:rFonts w:asciiTheme="minorHAnsi" w:eastAsia="Arial" w:hAnsiTheme="minorHAnsi" w:cstheme="minorHAnsi"/>
          <w:color w:val="000000"/>
        </w:rPr>
        <w:lastRenderedPageBreak/>
        <w:t xml:space="preserve">The sample size calculation was performed using G*Power for a repeated-measures analysis of variance testing the within-between interaction. The calculation assumed a moderate effect size of f = 0.25, a two-sided alpha level of 0.05, and statistical power of 0.95. The model included three groups and two measurement time points, with an assumed correlation of 0.65 among repeated measures and a </w:t>
      </w:r>
      <w:proofErr w:type="spellStart"/>
      <w:r w:rsidRPr="007F00FE">
        <w:rPr>
          <w:rFonts w:asciiTheme="minorHAnsi" w:eastAsia="Arial" w:hAnsiTheme="minorHAnsi" w:cstheme="minorHAnsi"/>
          <w:color w:val="000000"/>
        </w:rPr>
        <w:t>nonsphericity</w:t>
      </w:r>
      <w:proofErr w:type="spellEnd"/>
      <w:r w:rsidRPr="007F00FE">
        <w:rPr>
          <w:rFonts w:asciiTheme="minorHAnsi" w:eastAsia="Arial" w:hAnsiTheme="minorHAnsi" w:cstheme="minorHAnsi"/>
          <w:color w:val="000000"/>
        </w:rPr>
        <w:t xml:space="preserve"> correction of 1.</w:t>
      </w:r>
      <w:r>
        <w:rPr>
          <w:rFonts w:asciiTheme="minorHAnsi" w:eastAsia="Arial" w:hAnsiTheme="minorHAnsi" w:cstheme="minorHAnsi"/>
          <w:color w:val="000000"/>
        </w:rPr>
        <w:t xml:space="preserve"> </w:t>
      </w:r>
      <w:r w:rsidRPr="007F00FE">
        <w:rPr>
          <w:rFonts w:asciiTheme="minorHAnsi" w:eastAsia="Arial" w:hAnsiTheme="minorHAnsi" w:cstheme="minorHAnsi"/>
          <w:color w:val="000000"/>
        </w:rPr>
        <w:t>Under these assumptions, the required total sample size was 48 participants, corresponding to 16 participants per group. To account for an anticipated dropout rate of 20%, the target sample size was increased to 60 participants, with 20 participants allocated to each intervention group</w:t>
      </w:r>
      <w:r w:rsidR="00AA7289" w:rsidRPr="002E43E8">
        <w:rPr>
          <w:rFonts w:asciiTheme="minorHAnsi" w:eastAsia="Arial" w:hAnsiTheme="minorHAnsi" w:cstheme="minorHAnsi"/>
          <w:color w:val="000000"/>
        </w:rPr>
        <w:t xml:space="preserve">. </w:t>
      </w:r>
    </w:p>
    <w:p w14:paraId="6A8AA1D2" w14:textId="77777777" w:rsidR="00AA7289" w:rsidRDefault="00AA7289" w:rsidP="00312BB4">
      <w:pPr>
        <w:pBdr>
          <w:top w:val="nil"/>
          <w:left w:val="nil"/>
          <w:bottom w:val="nil"/>
          <w:right w:val="nil"/>
          <w:between w:val="nil"/>
        </w:pBdr>
        <w:jc w:val="both"/>
        <w:rPr>
          <w:rFonts w:ascii="Arial" w:eastAsia="Arial" w:hAnsi="Arial" w:cs="Arial"/>
          <w:color w:val="000000"/>
        </w:rPr>
      </w:pPr>
    </w:p>
    <w:p w14:paraId="181B20FD" w14:textId="77777777" w:rsidR="002E43E8" w:rsidRPr="00E02BFB" w:rsidRDefault="002E43E8" w:rsidP="00312BB4">
      <w:pPr>
        <w:pBdr>
          <w:top w:val="nil"/>
          <w:left w:val="nil"/>
          <w:bottom w:val="nil"/>
          <w:right w:val="nil"/>
          <w:between w:val="nil"/>
        </w:pBdr>
        <w:jc w:val="both"/>
        <w:rPr>
          <w:rFonts w:ascii="Arial" w:eastAsia="Arial" w:hAnsi="Arial" w:cs="Arial"/>
          <w:color w:val="000000"/>
        </w:rPr>
      </w:pPr>
    </w:p>
    <w:p w14:paraId="46CF5EDC" w14:textId="77777777" w:rsidR="007F00FE" w:rsidRDefault="007F00FE" w:rsidP="00312BB4">
      <w:pPr>
        <w:pBdr>
          <w:top w:val="nil"/>
          <w:left w:val="nil"/>
          <w:bottom w:val="nil"/>
          <w:right w:val="nil"/>
          <w:between w:val="nil"/>
        </w:pBdr>
        <w:jc w:val="both"/>
        <w:rPr>
          <w:rFonts w:ascii="Arial" w:eastAsia="Arial" w:hAnsi="Arial" w:cs="Arial"/>
          <w:b/>
          <w:bCs/>
          <w:color w:val="000000" w:themeColor="text1"/>
        </w:rPr>
      </w:pPr>
      <w:r w:rsidRPr="007F00FE">
        <w:rPr>
          <w:rFonts w:ascii="Arial" w:eastAsia="Arial" w:hAnsi="Arial" w:cs="Arial"/>
          <w:b/>
          <w:bCs/>
          <w:color w:val="000000" w:themeColor="text1"/>
        </w:rPr>
        <w:t>Data description and other statistical considerations</w:t>
      </w:r>
    </w:p>
    <w:p w14:paraId="4A4F4298" w14:textId="4F8883DC" w:rsidR="007F00FE" w:rsidRPr="007F00FE" w:rsidRDefault="007F00FE" w:rsidP="007F00FE">
      <w:pPr>
        <w:pBdr>
          <w:top w:val="nil"/>
          <w:left w:val="nil"/>
          <w:bottom w:val="nil"/>
          <w:right w:val="nil"/>
          <w:between w:val="nil"/>
        </w:pBdr>
        <w:jc w:val="both"/>
        <w:rPr>
          <w:rFonts w:asciiTheme="minorHAnsi" w:eastAsia="Arial" w:hAnsiTheme="minorHAnsi" w:cstheme="minorHAnsi"/>
          <w:color w:val="000000" w:themeColor="text1"/>
        </w:rPr>
      </w:pPr>
      <w:r w:rsidRPr="007F00FE">
        <w:rPr>
          <w:rFonts w:asciiTheme="minorHAnsi" w:eastAsia="Arial" w:hAnsiTheme="minorHAnsi" w:cstheme="minorHAnsi"/>
          <w:color w:val="000000" w:themeColor="text1"/>
        </w:rPr>
        <w:t>Continuous variables will be described using means and standard deviations, or means with 95% confidence intervals, as appropriate. When distributions are markedly non-normal, medians and interquartile ranges may also be reported. Categorical variables will be summarized using absolute frequencies and percentages.</w:t>
      </w:r>
      <w:r>
        <w:rPr>
          <w:rFonts w:asciiTheme="minorHAnsi" w:eastAsia="Arial" w:hAnsiTheme="minorHAnsi" w:cstheme="minorHAnsi"/>
          <w:color w:val="000000" w:themeColor="text1"/>
        </w:rPr>
        <w:t xml:space="preserve"> </w:t>
      </w:r>
      <w:r w:rsidRPr="007F00FE">
        <w:rPr>
          <w:rFonts w:asciiTheme="minorHAnsi" w:eastAsia="Arial" w:hAnsiTheme="minorHAnsi" w:cstheme="minorHAnsi"/>
          <w:color w:val="000000" w:themeColor="text1"/>
        </w:rPr>
        <w:t>Baseline characteristics will be described overall and by intervention group. These variables will include age, sex, type of arthroplasty, number of completed sessions, and baseline values of the study outcomes</w:t>
      </w:r>
      <w:r w:rsidR="008C6239" w:rsidRPr="00BE2028">
        <w:rPr>
          <w:rFonts w:asciiTheme="minorHAnsi" w:eastAsia="Arial" w:hAnsiTheme="minorHAnsi" w:cstheme="minorHAnsi"/>
          <w:color w:val="000000" w:themeColor="text1"/>
        </w:rPr>
        <w:t>.</w:t>
      </w:r>
      <w:r>
        <w:rPr>
          <w:rFonts w:asciiTheme="minorHAnsi" w:eastAsia="Arial" w:hAnsiTheme="minorHAnsi" w:cstheme="minorHAnsi"/>
          <w:color w:val="000000" w:themeColor="text1"/>
        </w:rPr>
        <w:t xml:space="preserve"> </w:t>
      </w:r>
      <w:r w:rsidRPr="007F00FE">
        <w:rPr>
          <w:rFonts w:asciiTheme="minorHAnsi" w:eastAsia="Arial" w:hAnsiTheme="minorHAnsi" w:cstheme="minorHAnsi"/>
          <w:color w:val="000000" w:themeColor="text1"/>
        </w:rPr>
        <w:t>Continuous variables will be described using means and standard deviations, or means with 95% confidence intervals, as appropriate. When distributions are markedly non-normal, medians and interquartile ranges may also be reported. Categorical variables will be summarized using absolute frequencies and percentages.</w:t>
      </w:r>
      <w:r>
        <w:rPr>
          <w:rFonts w:asciiTheme="minorHAnsi" w:eastAsia="Arial" w:hAnsiTheme="minorHAnsi" w:cstheme="minorHAnsi"/>
          <w:color w:val="000000" w:themeColor="text1"/>
        </w:rPr>
        <w:t xml:space="preserve"> </w:t>
      </w:r>
      <w:r w:rsidRPr="007F00FE">
        <w:rPr>
          <w:rFonts w:asciiTheme="minorHAnsi" w:eastAsia="Arial" w:hAnsiTheme="minorHAnsi" w:cstheme="minorHAnsi"/>
          <w:color w:val="000000" w:themeColor="text1"/>
        </w:rPr>
        <w:t>Baseline characteristics will be described overall and by intervention group. These variables will include age, sex, type of arthroplasty, number of completed sessions, and baseline values of the study outcomes.</w:t>
      </w:r>
      <w:r w:rsidRPr="007F00FE">
        <w:t xml:space="preserve"> </w:t>
      </w:r>
      <w:r w:rsidRPr="007F00FE">
        <w:rPr>
          <w:rFonts w:asciiTheme="minorHAnsi" w:eastAsia="Arial" w:hAnsiTheme="minorHAnsi" w:cstheme="minorHAnsi"/>
          <w:color w:val="000000" w:themeColor="text1"/>
        </w:rPr>
        <w:t>Post hoc contrasts will be used to evaluate within-group changes over time and between-group differences in change over time. Pairwise comparisons will be performed among the three intervention groups: neuromuscular electrical stimulation versus supervised videoconference exercise, neuromuscular electrical stimulation versus brochure-guided exercise, and supervised videoconference exercise versus brochure-guided exercise.</w:t>
      </w:r>
      <w:r>
        <w:rPr>
          <w:rFonts w:asciiTheme="minorHAnsi" w:eastAsia="Arial" w:hAnsiTheme="minorHAnsi" w:cstheme="minorHAnsi"/>
          <w:color w:val="000000" w:themeColor="text1"/>
        </w:rPr>
        <w:t xml:space="preserve"> </w:t>
      </w:r>
      <w:r w:rsidRPr="007F00FE">
        <w:rPr>
          <w:rFonts w:asciiTheme="minorHAnsi" w:eastAsia="Arial" w:hAnsiTheme="minorHAnsi" w:cstheme="minorHAnsi"/>
          <w:color w:val="000000" w:themeColor="text1"/>
        </w:rPr>
        <w:t>Adjustment for multiple comparisons will be applied to post hoc analyses.</w:t>
      </w:r>
      <w:r>
        <w:rPr>
          <w:rFonts w:asciiTheme="minorHAnsi" w:eastAsia="Arial" w:hAnsiTheme="minorHAnsi" w:cstheme="minorHAnsi"/>
          <w:color w:val="000000" w:themeColor="text1"/>
        </w:rPr>
        <w:t xml:space="preserve"> </w:t>
      </w:r>
      <w:r w:rsidRPr="007F00FE">
        <w:rPr>
          <w:rFonts w:asciiTheme="minorHAnsi" w:eastAsia="Arial" w:hAnsiTheme="minorHAnsi" w:cstheme="minorHAnsi"/>
          <w:color w:val="000000" w:themeColor="text1"/>
        </w:rPr>
        <w:t>The 30-Second Chair Stand Test will be analyzed as a repeated continuous outcome and expressed as number of repetitions. The Timed Up and Go test will be analyzed as a repeated continuous outcome and expressed in seconds, with lower values indicating better functional mobility. The Oxford Hip Score or Oxford Knee Score will be analyzed according to the type of arthroplasty, with higher scores indicating better function and fewer symptoms.</w:t>
      </w:r>
      <w:r>
        <w:rPr>
          <w:rFonts w:asciiTheme="minorHAnsi" w:eastAsia="Arial" w:hAnsiTheme="minorHAnsi" w:cstheme="minorHAnsi"/>
          <w:color w:val="000000" w:themeColor="text1"/>
        </w:rPr>
        <w:t xml:space="preserve"> </w:t>
      </w:r>
      <w:r w:rsidRPr="007F00FE">
        <w:rPr>
          <w:rFonts w:asciiTheme="minorHAnsi" w:eastAsia="Arial" w:hAnsiTheme="minorHAnsi" w:cstheme="minorHAnsi"/>
          <w:color w:val="000000" w:themeColor="text1"/>
        </w:rPr>
        <w:t>The Six-Minute Walk Test will be analyzed as a measure of functional walking capacity and expressed in meters. Length of hospital stay will be analyzed as the number of days from surgery to discharge. Depending on its distribution, length of stay will be analyzed using either an appropriate parametric model or a generalized model suitable for non-normal data.</w:t>
      </w:r>
      <w:r>
        <w:rPr>
          <w:rFonts w:asciiTheme="minorHAnsi" w:eastAsia="Arial" w:hAnsiTheme="minorHAnsi" w:cstheme="minorHAnsi"/>
          <w:color w:val="000000" w:themeColor="text1"/>
        </w:rPr>
        <w:t xml:space="preserve"> </w:t>
      </w:r>
      <w:r w:rsidRPr="007F00FE">
        <w:rPr>
          <w:rFonts w:asciiTheme="minorHAnsi" w:eastAsia="Arial" w:hAnsiTheme="minorHAnsi" w:cstheme="minorHAnsi"/>
          <w:color w:val="000000" w:themeColor="text1"/>
        </w:rPr>
        <w:t>Adherence will be summarized as the number of completed sessions out of the 12 planned sessions and compared descriptively among groups. Technology acceptance will be analyzed descriptively in the neuromuscular electrical stimulation group using the Technology Acceptance Model questionnaire score.</w:t>
      </w:r>
      <w:r>
        <w:rPr>
          <w:rFonts w:asciiTheme="minorHAnsi" w:eastAsia="Arial" w:hAnsiTheme="minorHAnsi" w:cstheme="minorHAnsi"/>
          <w:color w:val="000000" w:themeColor="text1"/>
        </w:rPr>
        <w:t xml:space="preserve"> </w:t>
      </w:r>
      <w:r w:rsidRPr="007F00FE">
        <w:rPr>
          <w:rFonts w:asciiTheme="minorHAnsi" w:eastAsia="Arial" w:hAnsiTheme="minorHAnsi" w:cstheme="minorHAnsi"/>
          <w:color w:val="000000" w:themeColor="text1"/>
        </w:rPr>
        <w:t>The number and percentage of missing observations will be reported for each outcome and time point. Mixed-effects models will be used as the main analytical approach because they allow inclusion of participants with incomplete repeated-measures data under the assumption that data are missing at random.</w:t>
      </w:r>
      <w:r>
        <w:rPr>
          <w:rFonts w:asciiTheme="minorHAnsi" w:eastAsia="Arial" w:hAnsiTheme="minorHAnsi" w:cstheme="minorHAnsi"/>
          <w:color w:val="000000" w:themeColor="text1"/>
        </w:rPr>
        <w:t xml:space="preserve"> </w:t>
      </w:r>
      <w:r w:rsidRPr="007F00FE">
        <w:rPr>
          <w:rFonts w:asciiTheme="minorHAnsi" w:eastAsia="Arial" w:hAnsiTheme="minorHAnsi" w:cstheme="minorHAnsi"/>
          <w:color w:val="000000" w:themeColor="text1"/>
        </w:rPr>
        <w:t>When relevant, sensitivity analyses may be performed to evaluate the robustness of findings to missing data.</w:t>
      </w:r>
    </w:p>
    <w:p w14:paraId="0AF53BA3" w14:textId="406D0A7E" w:rsidR="00BE2028" w:rsidRDefault="00BE2028" w:rsidP="007F00FE">
      <w:pPr>
        <w:pBdr>
          <w:top w:val="nil"/>
          <w:left w:val="nil"/>
          <w:bottom w:val="nil"/>
          <w:right w:val="nil"/>
          <w:between w:val="nil"/>
        </w:pBdr>
        <w:jc w:val="both"/>
        <w:rPr>
          <w:rFonts w:asciiTheme="minorHAnsi" w:eastAsia="Arial" w:hAnsiTheme="minorHAnsi" w:cstheme="minorHAnsi"/>
          <w:color w:val="000000" w:themeColor="text1"/>
        </w:rPr>
      </w:pPr>
    </w:p>
    <w:p w14:paraId="4A44134E" w14:textId="77777777" w:rsidR="008A7018" w:rsidRPr="00A92160" w:rsidRDefault="0076306B" w:rsidP="00E55DAD">
      <w:pPr>
        <w:pBdr>
          <w:top w:val="nil"/>
          <w:left w:val="nil"/>
          <w:bottom w:val="nil"/>
          <w:right w:val="nil"/>
          <w:between w:val="nil"/>
        </w:pBdr>
        <w:spacing w:after="60"/>
        <w:jc w:val="both"/>
        <w:rPr>
          <w:rFonts w:ascii="Arial" w:eastAsia="Arial" w:hAnsi="Arial" w:cs="Arial"/>
          <w:b/>
          <w:bCs/>
          <w:iCs/>
          <w:color w:val="000000"/>
        </w:rPr>
      </w:pPr>
      <w:r w:rsidRPr="00A92160">
        <w:rPr>
          <w:rFonts w:ascii="Arial" w:eastAsia="Arial" w:hAnsi="Arial" w:cs="Arial"/>
          <w:b/>
          <w:bCs/>
          <w:iCs/>
          <w:color w:val="000000"/>
        </w:rPr>
        <w:t>Software</w:t>
      </w:r>
    </w:p>
    <w:p w14:paraId="355AB0E2" w14:textId="052E48FB" w:rsidR="007F00FE" w:rsidRPr="007F00FE" w:rsidRDefault="007F00FE" w:rsidP="007F00FE">
      <w:pPr>
        <w:pBdr>
          <w:top w:val="nil"/>
          <w:left w:val="nil"/>
          <w:bottom w:val="nil"/>
          <w:right w:val="nil"/>
          <w:between w:val="nil"/>
        </w:pBdr>
        <w:jc w:val="both"/>
        <w:rPr>
          <w:rFonts w:asciiTheme="minorHAnsi" w:eastAsia="Arial" w:hAnsiTheme="minorHAnsi" w:cstheme="minorHAnsi"/>
          <w:color w:val="000000"/>
        </w:rPr>
      </w:pPr>
      <w:r w:rsidRPr="007F00FE">
        <w:rPr>
          <w:rFonts w:asciiTheme="minorHAnsi" w:eastAsia="Arial" w:hAnsiTheme="minorHAnsi" w:cstheme="minorHAnsi"/>
          <w:color w:val="000000"/>
        </w:rPr>
        <w:t>All statistical tests will be two-sided. Statistical significance will be set at an alpha level of 0.05. Results will be reported as estimates with 95% confidence intervals and corresponding P values.</w:t>
      </w:r>
    </w:p>
    <w:p w14:paraId="4FA6DF4C" w14:textId="11834538" w:rsidR="00E55DAD" w:rsidRPr="00A92160" w:rsidRDefault="007F00FE" w:rsidP="007F00FE">
      <w:pPr>
        <w:pBdr>
          <w:top w:val="nil"/>
          <w:left w:val="nil"/>
          <w:bottom w:val="nil"/>
          <w:right w:val="nil"/>
          <w:between w:val="nil"/>
        </w:pBdr>
        <w:jc w:val="both"/>
        <w:rPr>
          <w:rFonts w:asciiTheme="minorHAnsi" w:eastAsia="Arial" w:hAnsiTheme="minorHAnsi" w:cstheme="minorHAnsi"/>
          <w:color w:val="000000"/>
        </w:rPr>
      </w:pPr>
      <w:r w:rsidRPr="007F00FE">
        <w:rPr>
          <w:rFonts w:asciiTheme="minorHAnsi" w:eastAsia="Arial" w:hAnsiTheme="minorHAnsi" w:cstheme="minorHAnsi"/>
          <w:color w:val="000000"/>
        </w:rPr>
        <w:t>All statistical analyses will be conducted using R software</w:t>
      </w:r>
      <w:r w:rsidR="008C6239" w:rsidRPr="00A92160">
        <w:rPr>
          <w:rFonts w:asciiTheme="minorHAnsi" w:eastAsia="Arial" w:hAnsiTheme="minorHAnsi" w:cstheme="minorHAnsi"/>
          <w:color w:val="000000"/>
        </w:rPr>
        <w:t>.</w:t>
      </w:r>
    </w:p>
    <w:p w14:paraId="7DF0A610" w14:textId="4A74152A" w:rsidR="008A7018" w:rsidRPr="00A8369D" w:rsidRDefault="007F00FE" w:rsidP="00EB5CC2">
      <w:pPr>
        <w:pStyle w:val="Titolo1"/>
        <w:numPr>
          <w:ilvl w:val="0"/>
          <w:numId w:val="13"/>
        </w:numPr>
        <w:ind w:left="284" w:hanging="284"/>
        <w:jc w:val="both"/>
        <w:rPr>
          <w:sz w:val="24"/>
          <w:szCs w:val="24"/>
          <w:lang w:val="it-IT"/>
        </w:rPr>
      </w:pPr>
      <w:r w:rsidRPr="007F00FE">
        <w:rPr>
          <w:sz w:val="24"/>
          <w:szCs w:val="24"/>
          <w:lang w:val="it-IT"/>
        </w:rPr>
        <w:t>REGULATORY AND SAFETY ISSUES</w:t>
      </w:r>
    </w:p>
    <w:p w14:paraId="141FBC41" w14:textId="1E935369" w:rsidR="008A7018" w:rsidRPr="004B608B" w:rsidRDefault="0076306B" w:rsidP="00EB5CC2">
      <w:pPr>
        <w:pStyle w:val="Titolo2"/>
        <w:numPr>
          <w:ilvl w:val="0"/>
          <w:numId w:val="0"/>
        </w:numPr>
        <w:tabs>
          <w:tab w:val="left" w:pos="851"/>
        </w:tabs>
        <w:jc w:val="both"/>
        <w:rPr>
          <w:sz w:val="22"/>
          <w:szCs w:val="22"/>
          <w:lang w:val="it-IT"/>
        </w:rPr>
      </w:pPr>
      <w:bookmarkStart w:id="14" w:name="_Toc94347124"/>
      <w:r w:rsidRPr="00EB5CC2">
        <w:rPr>
          <w:sz w:val="22"/>
          <w:szCs w:val="22"/>
          <w:lang w:val="it-IT"/>
        </w:rPr>
        <w:t xml:space="preserve">5.1 </w:t>
      </w:r>
      <w:bookmarkEnd w:id="14"/>
      <w:r w:rsidR="007F00FE" w:rsidRPr="007F00FE">
        <w:rPr>
          <w:sz w:val="22"/>
          <w:szCs w:val="22"/>
          <w:lang w:val="it-IT"/>
        </w:rPr>
        <w:t xml:space="preserve">Local </w:t>
      </w:r>
      <w:proofErr w:type="spellStart"/>
      <w:r w:rsidR="007F00FE" w:rsidRPr="007F00FE">
        <w:rPr>
          <w:sz w:val="22"/>
          <w:szCs w:val="22"/>
          <w:lang w:val="it-IT"/>
        </w:rPr>
        <w:t>regulations</w:t>
      </w:r>
      <w:proofErr w:type="spellEnd"/>
      <w:r w:rsidR="007F00FE" w:rsidRPr="007F00FE">
        <w:rPr>
          <w:sz w:val="22"/>
          <w:szCs w:val="22"/>
          <w:lang w:val="it-IT"/>
        </w:rPr>
        <w:t xml:space="preserve"> / Helsinki Declaration</w:t>
      </w:r>
    </w:p>
    <w:p w14:paraId="2085D2F8" w14:textId="30ED5EA3" w:rsidR="008A7018" w:rsidRPr="00A92160" w:rsidRDefault="007F00FE" w:rsidP="00E55DAD">
      <w:pPr>
        <w:jc w:val="both"/>
        <w:rPr>
          <w:rFonts w:asciiTheme="minorHAnsi" w:eastAsia="Arial" w:hAnsiTheme="minorHAnsi" w:cstheme="minorHAnsi"/>
          <w:color w:val="000000" w:themeColor="text1"/>
        </w:rPr>
      </w:pPr>
      <w:bookmarkStart w:id="15" w:name="_heading=h.2xcytpi" w:colFirst="0" w:colLast="0"/>
      <w:bookmarkEnd w:id="15"/>
      <w:r w:rsidRPr="007F00FE">
        <w:rPr>
          <w:rFonts w:asciiTheme="minorHAnsi" w:eastAsia="Arial" w:hAnsiTheme="minorHAnsi" w:cstheme="minorHAnsi"/>
          <w:color w:val="000000" w:themeColor="text1"/>
        </w:rPr>
        <w:t>This study will be conducted in accordance with the approved protocol, the principles of the Declaration of Helsinki and its subsequent amendments</w:t>
      </w:r>
      <w:r w:rsidR="002E2ED7">
        <w:rPr>
          <w:rFonts w:asciiTheme="minorHAnsi" w:eastAsia="Arial" w:hAnsiTheme="minorHAnsi" w:cstheme="minorHAnsi"/>
          <w:color w:val="000000" w:themeColor="text1"/>
        </w:rPr>
        <w:t xml:space="preserve"> </w:t>
      </w:r>
      <w:r w:rsidR="002E2ED7">
        <w:rPr>
          <w:rFonts w:asciiTheme="minorHAnsi" w:eastAsia="Arial" w:hAnsiTheme="minorHAnsi" w:cstheme="minorHAnsi"/>
          <w:color w:val="000000" w:themeColor="text1"/>
        </w:rPr>
        <w:fldChar w:fldCharType="begin"/>
      </w:r>
      <w:r w:rsidR="002E2ED7">
        <w:rPr>
          <w:rFonts w:asciiTheme="minorHAnsi" w:eastAsia="Arial" w:hAnsiTheme="minorHAnsi" w:cstheme="minorHAnsi"/>
          <w:color w:val="000000" w:themeColor="text1"/>
        </w:rPr>
        <w:instrText xml:space="preserve"> ADDIN ZOTERO_ITEM CSL_CITATION {"citationID":"C8u847VE","properties":{"formattedCitation":"[15]","plainCitation":"[15]","noteIndex":0},"citationItems":[{"id":1827,"uris":["http://zotero.org/users/8514341/items/9RK2CSQ3"],"itemData":{"id":1827,"type":"article-journal","container-title":"JAMA","DOI":"10.1001/jama.2013.281053","ISSN":"1538-3598","issue":"20","journalAbbreviation":"JAMA","language":"eng","page":"2191-2194","PMID":"24141714","source":"PubMed","title":"World Medical Association Declaration of Helsinki: ethical principles for medical research involving human subjects","title-short":"World Medical Association Declaration of Helsinki","volume":"310","author":[{"literal":"World Medical Association"}],"issued":{"date-parts":[["2013",11,27]]}}}],"schema":"https://github.com/citation-style-language/schema/raw/master/csl-citation.json"} </w:instrText>
      </w:r>
      <w:r w:rsidR="002E2ED7">
        <w:rPr>
          <w:rFonts w:asciiTheme="minorHAnsi" w:eastAsia="Arial" w:hAnsiTheme="minorHAnsi" w:cstheme="minorHAnsi"/>
          <w:color w:val="000000" w:themeColor="text1"/>
        </w:rPr>
        <w:fldChar w:fldCharType="separate"/>
      </w:r>
      <w:r w:rsidR="002E2ED7">
        <w:rPr>
          <w:rFonts w:asciiTheme="minorHAnsi" w:eastAsia="Arial" w:hAnsiTheme="minorHAnsi" w:cstheme="minorHAnsi"/>
          <w:noProof/>
          <w:color w:val="000000" w:themeColor="text1"/>
        </w:rPr>
        <w:t>[15]</w:t>
      </w:r>
      <w:r w:rsidR="002E2ED7">
        <w:rPr>
          <w:rFonts w:asciiTheme="minorHAnsi" w:eastAsia="Arial" w:hAnsiTheme="minorHAnsi" w:cstheme="minorHAnsi"/>
          <w:color w:val="000000" w:themeColor="text1"/>
        </w:rPr>
        <w:fldChar w:fldCharType="end"/>
      </w:r>
      <w:r w:rsidRPr="007F00FE">
        <w:rPr>
          <w:rFonts w:asciiTheme="minorHAnsi" w:eastAsia="Arial" w:hAnsiTheme="minorHAnsi" w:cstheme="minorHAnsi"/>
          <w:color w:val="000000" w:themeColor="text1"/>
        </w:rPr>
        <w:t>, Good Clinical Practice principles, and all applicable local regulatory requirements.</w:t>
      </w:r>
      <w:r>
        <w:rPr>
          <w:rFonts w:asciiTheme="minorHAnsi" w:eastAsia="Arial" w:hAnsiTheme="minorHAnsi" w:cstheme="minorHAnsi"/>
          <w:color w:val="000000" w:themeColor="text1"/>
        </w:rPr>
        <w:t xml:space="preserve"> </w:t>
      </w:r>
      <w:r w:rsidRPr="007F00FE">
        <w:rPr>
          <w:rFonts w:asciiTheme="minorHAnsi" w:eastAsia="Arial" w:hAnsiTheme="minorHAnsi" w:cstheme="minorHAnsi"/>
          <w:color w:val="000000" w:themeColor="text1"/>
        </w:rPr>
        <w:t xml:space="preserve">The study protocol was approved by the </w:t>
      </w:r>
      <w:proofErr w:type="spellStart"/>
      <w:r w:rsidRPr="007F00FE">
        <w:rPr>
          <w:rFonts w:asciiTheme="minorHAnsi" w:eastAsia="Arial" w:hAnsiTheme="minorHAnsi" w:cstheme="minorHAnsi"/>
          <w:color w:val="000000" w:themeColor="text1"/>
        </w:rPr>
        <w:t>Lombardia</w:t>
      </w:r>
      <w:proofErr w:type="spellEnd"/>
      <w:r w:rsidRPr="007F00FE">
        <w:rPr>
          <w:rFonts w:asciiTheme="minorHAnsi" w:eastAsia="Arial" w:hAnsiTheme="minorHAnsi" w:cstheme="minorHAnsi"/>
          <w:color w:val="000000" w:themeColor="text1"/>
        </w:rPr>
        <w:t xml:space="preserve"> 6 Territorial Ethics Committee, Protocol No. 0003762. All participants will provide written informed consent before enrolment and before any study-related procedure is performed. The trial will be conducted at the Minimally Invasive Surgery Unit, Department of Orthopedic Surgery, Istituto di Cura “Città di Pavia,” Pavia, Italy. The Principal Investigator will be responsible for the correct conduct of the study, protection of participants’ rights and safety, protocol compliance, and appropriate management of study documentation. If the Principal Investigator also acts as Sponsor, this dual responsibility should be explicitly stated in the final administrative section of the protocol</w:t>
      </w:r>
      <w:r w:rsidR="0076306B" w:rsidRPr="00A92160">
        <w:rPr>
          <w:rFonts w:asciiTheme="minorHAnsi" w:eastAsia="Arial" w:hAnsiTheme="minorHAnsi" w:cstheme="minorHAnsi"/>
          <w:color w:val="000000" w:themeColor="text1"/>
        </w:rPr>
        <w:t>.</w:t>
      </w:r>
    </w:p>
    <w:p w14:paraId="48FB4744" w14:textId="3722BC38" w:rsidR="008A7018" w:rsidRPr="00A92160" w:rsidRDefault="0076306B" w:rsidP="00EB5CC2">
      <w:pPr>
        <w:pStyle w:val="Titolo2"/>
        <w:numPr>
          <w:ilvl w:val="0"/>
          <w:numId w:val="0"/>
        </w:numPr>
        <w:tabs>
          <w:tab w:val="left" w:pos="851"/>
        </w:tabs>
        <w:jc w:val="both"/>
        <w:rPr>
          <w:color w:val="000000" w:themeColor="text1"/>
          <w:sz w:val="22"/>
          <w:szCs w:val="22"/>
          <w:lang w:val="it-IT"/>
        </w:rPr>
      </w:pPr>
      <w:bookmarkStart w:id="16" w:name="_Toc94347125"/>
      <w:r w:rsidRPr="00A92160">
        <w:rPr>
          <w:color w:val="000000" w:themeColor="text1"/>
          <w:sz w:val="22"/>
          <w:szCs w:val="22"/>
          <w:lang w:val="it-IT"/>
        </w:rPr>
        <w:t xml:space="preserve">5.2 </w:t>
      </w:r>
      <w:bookmarkEnd w:id="16"/>
      <w:r w:rsidR="007F00FE" w:rsidRPr="007F00FE">
        <w:rPr>
          <w:color w:val="000000" w:themeColor="text1"/>
          <w:sz w:val="22"/>
          <w:szCs w:val="22"/>
          <w:lang w:val="it-IT"/>
        </w:rPr>
        <w:t>Amendments</w:t>
      </w:r>
    </w:p>
    <w:p w14:paraId="6AE9C701" w14:textId="3A52082A" w:rsidR="008A7018" w:rsidRPr="00A92160" w:rsidRDefault="007F00FE" w:rsidP="007F00FE">
      <w:pPr>
        <w:jc w:val="both"/>
        <w:rPr>
          <w:rFonts w:asciiTheme="minorHAnsi" w:eastAsia="Arial" w:hAnsiTheme="minorHAnsi" w:cstheme="minorHAnsi"/>
          <w:color w:val="000000" w:themeColor="text1"/>
        </w:rPr>
      </w:pPr>
      <w:r w:rsidRPr="007F00FE">
        <w:rPr>
          <w:rFonts w:asciiTheme="minorHAnsi" w:eastAsia="Arial" w:hAnsiTheme="minorHAnsi" w:cstheme="minorHAnsi"/>
          <w:color w:val="000000" w:themeColor="text1"/>
        </w:rPr>
        <w:t>Any substantial modification to the study protocol, study design, participant information sheet, informed consent form, intervention procedures, safety procedures, or other relevant study documents will be submitted to the competent Ethics Committee for review and approval before implementation.</w:t>
      </w:r>
      <w:r>
        <w:rPr>
          <w:rFonts w:asciiTheme="minorHAnsi" w:eastAsia="Arial" w:hAnsiTheme="minorHAnsi" w:cstheme="minorHAnsi"/>
          <w:color w:val="000000" w:themeColor="text1"/>
        </w:rPr>
        <w:t xml:space="preserve"> </w:t>
      </w:r>
      <w:r w:rsidRPr="007F00FE">
        <w:rPr>
          <w:rFonts w:asciiTheme="minorHAnsi" w:eastAsia="Arial" w:hAnsiTheme="minorHAnsi" w:cstheme="minorHAnsi"/>
          <w:color w:val="000000" w:themeColor="text1"/>
        </w:rPr>
        <w:t>Substantial amendments include any change that may affect participant safety, health, rights, or obligations; any modification of the study objectives or endpoints; changes to the study population or eligibility criteria; changes to the study site; replacement of the Principal Investigator or Sponsor; and any modification that may alter the scientific or ethical validity of the study.</w:t>
      </w:r>
      <w:r>
        <w:rPr>
          <w:rFonts w:asciiTheme="minorHAnsi" w:eastAsia="Arial" w:hAnsiTheme="minorHAnsi" w:cstheme="minorHAnsi"/>
          <w:color w:val="000000" w:themeColor="text1"/>
        </w:rPr>
        <w:t xml:space="preserve"> </w:t>
      </w:r>
      <w:r w:rsidRPr="007F00FE">
        <w:rPr>
          <w:rFonts w:asciiTheme="minorHAnsi" w:eastAsia="Arial" w:hAnsiTheme="minorHAnsi" w:cstheme="minorHAnsi"/>
          <w:color w:val="000000" w:themeColor="text1"/>
        </w:rPr>
        <w:t>The only exception will be urgent safety measures required to protect participants from immediate risk. In such cases, the necessary measures will be implemented without delay, and the Ethics Committee will be informed as soon as possible according to applicable regulatory requirements</w:t>
      </w:r>
      <w:r w:rsidR="0076306B" w:rsidRPr="00A92160">
        <w:rPr>
          <w:rFonts w:asciiTheme="minorHAnsi" w:eastAsia="Arial" w:hAnsiTheme="minorHAnsi" w:cstheme="minorHAnsi"/>
          <w:color w:val="000000" w:themeColor="text1"/>
        </w:rPr>
        <w:t>.</w:t>
      </w:r>
    </w:p>
    <w:p w14:paraId="25846042" w14:textId="448F0847" w:rsidR="008A7018" w:rsidRPr="006E56EF" w:rsidRDefault="0076306B" w:rsidP="00EB5CC2">
      <w:pPr>
        <w:pStyle w:val="Titolo2"/>
        <w:numPr>
          <w:ilvl w:val="0"/>
          <w:numId w:val="0"/>
        </w:numPr>
        <w:tabs>
          <w:tab w:val="left" w:pos="851"/>
        </w:tabs>
        <w:jc w:val="both"/>
        <w:rPr>
          <w:sz w:val="22"/>
          <w:szCs w:val="22"/>
          <w:lang w:val="it-IT"/>
        </w:rPr>
      </w:pPr>
      <w:bookmarkStart w:id="17" w:name="_Toc94347126"/>
      <w:r w:rsidRPr="006E56EF">
        <w:rPr>
          <w:sz w:val="22"/>
          <w:szCs w:val="22"/>
          <w:lang w:val="it-IT"/>
        </w:rPr>
        <w:t xml:space="preserve">5.3 </w:t>
      </w:r>
      <w:bookmarkEnd w:id="17"/>
      <w:r w:rsidR="007F00FE" w:rsidRPr="007F00FE">
        <w:rPr>
          <w:sz w:val="22"/>
          <w:szCs w:val="22"/>
          <w:lang w:val="it-IT"/>
        </w:rPr>
        <w:t xml:space="preserve">Project </w:t>
      </w:r>
      <w:proofErr w:type="spellStart"/>
      <w:r w:rsidR="007F00FE" w:rsidRPr="007F00FE">
        <w:rPr>
          <w:sz w:val="22"/>
          <w:szCs w:val="22"/>
          <w:lang w:val="it-IT"/>
        </w:rPr>
        <w:t>closure</w:t>
      </w:r>
      <w:proofErr w:type="spellEnd"/>
    </w:p>
    <w:p w14:paraId="214F37FB" w14:textId="04767905" w:rsidR="008A7018" w:rsidRPr="00A92160" w:rsidRDefault="007F00FE">
      <w:pPr>
        <w:pBdr>
          <w:top w:val="nil"/>
          <w:left w:val="nil"/>
          <w:bottom w:val="nil"/>
          <w:right w:val="nil"/>
          <w:between w:val="nil"/>
        </w:pBdr>
        <w:spacing w:after="60"/>
        <w:jc w:val="both"/>
        <w:rPr>
          <w:rFonts w:asciiTheme="minorHAnsi" w:eastAsia="Arial" w:hAnsiTheme="minorHAnsi" w:cstheme="minorHAnsi"/>
          <w:color w:val="000000" w:themeColor="text1"/>
        </w:rPr>
      </w:pPr>
      <w:r w:rsidRPr="007F00FE">
        <w:rPr>
          <w:rFonts w:asciiTheme="minorHAnsi" w:eastAsia="Arial" w:hAnsiTheme="minorHAnsi" w:cstheme="minorHAnsi"/>
          <w:color w:val="000000" w:themeColor="text1"/>
        </w:rPr>
        <w:t>Upon completion of the project, the Ethics Committee will be notified within 90 days</w:t>
      </w:r>
      <w:r w:rsidR="0076306B" w:rsidRPr="00A92160">
        <w:rPr>
          <w:rFonts w:asciiTheme="minorHAnsi" w:eastAsia="Arial" w:hAnsiTheme="minorHAnsi" w:cstheme="minorHAnsi"/>
          <w:color w:val="000000" w:themeColor="text1"/>
        </w:rPr>
        <w:t xml:space="preserve">. </w:t>
      </w:r>
    </w:p>
    <w:p w14:paraId="77235C97" w14:textId="39627377" w:rsidR="008A7018" w:rsidRDefault="007F00FE" w:rsidP="00EB5CC2">
      <w:pPr>
        <w:pStyle w:val="Titolo1"/>
        <w:numPr>
          <w:ilvl w:val="0"/>
          <w:numId w:val="13"/>
        </w:numPr>
        <w:ind w:left="284" w:hanging="284"/>
        <w:jc w:val="both"/>
        <w:rPr>
          <w:sz w:val="24"/>
          <w:szCs w:val="24"/>
        </w:rPr>
      </w:pPr>
      <w:bookmarkStart w:id="18" w:name="_Toc94347127"/>
      <w:r w:rsidRPr="007F00FE">
        <w:rPr>
          <w:sz w:val="24"/>
          <w:szCs w:val="24"/>
        </w:rPr>
        <w:t>OTHER ASPECTS</w:t>
      </w:r>
      <w:bookmarkEnd w:id="18"/>
    </w:p>
    <w:p w14:paraId="22A406D7" w14:textId="3D6BCED9" w:rsidR="008A7018" w:rsidRDefault="0076306B" w:rsidP="00EB5CC2">
      <w:pPr>
        <w:pStyle w:val="Titolo2"/>
        <w:numPr>
          <w:ilvl w:val="0"/>
          <w:numId w:val="0"/>
        </w:numPr>
        <w:tabs>
          <w:tab w:val="left" w:pos="851"/>
        </w:tabs>
        <w:jc w:val="both"/>
        <w:rPr>
          <w:sz w:val="22"/>
          <w:szCs w:val="22"/>
        </w:rPr>
      </w:pPr>
      <w:bookmarkStart w:id="19" w:name="_Toc94347128"/>
      <w:r>
        <w:rPr>
          <w:sz w:val="22"/>
          <w:szCs w:val="22"/>
        </w:rPr>
        <w:t xml:space="preserve">6.1 </w:t>
      </w:r>
      <w:bookmarkEnd w:id="19"/>
      <w:r w:rsidR="007F00FE" w:rsidRPr="007F00FE">
        <w:rPr>
          <w:sz w:val="22"/>
          <w:szCs w:val="22"/>
        </w:rPr>
        <w:t>General ethical considerations</w:t>
      </w:r>
    </w:p>
    <w:p w14:paraId="13343411" w14:textId="22217CF2" w:rsidR="008A7018" w:rsidRPr="007F00FE" w:rsidRDefault="007F00FE" w:rsidP="007F00FE">
      <w:pPr>
        <w:pBdr>
          <w:top w:val="nil"/>
          <w:left w:val="nil"/>
          <w:bottom w:val="nil"/>
          <w:right w:val="nil"/>
          <w:between w:val="nil"/>
        </w:pBdr>
        <w:spacing w:after="60"/>
        <w:jc w:val="both"/>
        <w:rPr>
          <w:rFonts w:asciiTheme="minorHAnsi" w:eastAsia="Arial" w:hAnsiTheme="minorHAnsi" w:cstheme="minorHAnsi"/>
          <w:color w:val="000000" w:themeColor="text1"/>
        </w:rPr>
      </w:pPr>
      <w:r w:rsidRPr="007F00FE">
        <w:rPr>
          <w:rFonts w:asciiTheme="minorHAnsi" w:eastAsia="Arial" w:hAnsiTheme="minorHAnsi" w:cstheme="minorHAnsi"/>
          <w:color w:val="000000" w:themeColor="text1"/>
        </w:rPr>
        <w:t xml:space="preserve">The study has been designed to protect the rights, safety, dignity, and well-being of all participants. Participation will be voluntary. Participants will receive clear information about the aims of the </w:t>
      </w:r>
      <w:r w:rsidRPr="007F00FE">
        <w:rPr>
          <w:rFonts w:asciiTheme="minorHAnsi" w:eastAsia="Arial" w:hAnsiTheme="minorHAnsi" w:cstheme="minorHAnsi"/>
          <w:color w:val="000000" w:themeColor="text1"/>
        </w:rPr>
        <w:lastRenderedPageBreak/>
        <w:t>study, study procedures, potential risks and benefits, data handling, and their right to withdraw at any time.</w:t>
      </w:r>
      <w:r>
        <w:rPr>
          <w:rFonts w:asciiTheme="minorHAnsi" w:eastAsia="Arial" w:hAnsiTheme="minorHAnsi" w:cstheme="minorHAnsi"/>
          <w:color w:val="000000" w:themeColor="text1"/>
        </w:rPr>
        <w:t xml:space="preserve"> </w:t>
      </w:r>
      <w:r w:rsidRPr="007F00FE">
        <w:rPr>
          <w:rFonts w:asciiTheme="minorHAnsi" w:eastAsia="Arial" w:hAnsiTheme="minorHAnsi" w:cstheme="minorHAnsi"/>
          <w:color w:val="000000" w:themeColor="text1"/>
        </w:rPr>
        <w:t>Refusal to participate or withdrawal from the study will not affect the participant’s usual medical care, surgical treatment, rehabilitation pathway, or relationship with the clinical team.</w:t>
      </w:r>
      <w:r>
        <w:rPr>
          <w:rFonts w:asciiTheme="minorHAnsi" w:eastAsia="Arial" w:hAnsiTheme="minorHAnsi" w:cstheme="minorHAnsi"/>
          <w:color w:val="000000" w:themeColor="text1"/>
        </w:rPr>
        <w:t xml:space="preserve"> </w:t>
      </w:r>
      <w:r w:rsidRPr="007F00FE">
        <w:rPr>
          <w:rFonts w:asciiTheme="minorHAnsi" w:eastAsia="Arial" w:hAnsiTheme="minorHAnsi" w:cstheme="minorHAnsi"/>
          <w:color w:val="000000" w:themeColor="text1"/>
        </w:rPr>
        <w:t xml:space="preserve">The study compares three </w:t>
      </w:r>
      <w:proofErr w:type="gramStart"/>
      <w:r w:rsidRPr="007F00FE">
        <w:rPr>
          <w:rFonts w:asciiTheme="minorHAnsi" w:eastAsia="Arial" w:hAnsiTheme="minorHAnsi" w:cstheme="minorHAnsi"/>
          <w:color w:val="000000" w:themeColor="text1"/>
        </w:rPr>
        <w:t>active</w:t>
      </w:r>
      <w:proofErr w:type="gramEnd"/>
      <w:r w:rsidRPr="007F00FE">
        <w:rPr>
          <w:rFonts w:asciiTheme="minorHAnsi" w:eastAsia="Arial" w:hAnsiTheme="minorHAnsi" w:cstheme="minorHAnsi"/>
          <w:color w:val="000000" w:themeColor="text1"/>
        </w:rPr>
        <w:t xml:space="preserve"> remote prehabilitation strategies that are expected to have a low risk profile: neuromuscular electrical stimulation, physiotherapist-supervised videoconference exercise, and brochure-guided unsupervised home exercise. All participants will receive a structured preoperative intervention and weekly monitoring during the four-week program</w:t>
      </w:r>
      <w:r w:rsidR="0076306B" w:rsidRPr="00A92160">
        <w:rPr>
          <w:rFonts w:asciiTheme="minorHAnsi" w:eastAsia="Arial" w:hAnsiTheme="minorHAnsi" w:cstheme="minorHAnsi"/>
          <w:color w:val="000000" w:themeColor="text1"/>
        </w:rPr>
        <w:t xml:space="preserve">. </w:t>
      </w:r>
    </w:p>
    <w:p w14:paraId="54BE2D64" w14:textId="5ED2257C" w:rsidR="008A7018" w:rsidRPr="00535DAA" w:rsidRDefault="0076306B" w:rsidP="00535DAA">
      <w:pPr>
        <w:pStyle w:val="Titolo2"/>
        <w:numPr>
          <w:ilvl w:val="0"/>
          <w:numId w:val="0"/>
        </w:numPr>
        <w:tabs>
          <w:tab w:val="left" w:pos="851"/>
        </w:tabs>
        <w:jc w:val="both"/>
        <w:rPr>
          <w:i/>
          <w:sz w:val="22"/>
          <w:szCs w:val="22"/>
          <w:lang w:val="it-IT"/>
        </w:rPr>
      </w:pPr>
      <w:bookmarkStart w:id="20" w:name="_Toc94347129"/>
      <w:r w:rsidRPr="00535DAA">
        <w:rPr>
          <w:sz w:val="22"/>
          <w:szCs w:val="22"/>
          <w:lang w:val="it-IT"/>
        </w:rPr>
        <w:t xml:space="preserve">6.2 </w:t>
      </w:r>
      <w:bookmarkEnd w:id="20"/>
      <w:r w:rsidR="00610D6E" w:rsidRPr="00610D6E">
        <w:rPr>
          <w:sz w:val="22"/>
          <w:szCs w:val="22"/>
          <w:lang w:val="it-IT"/>
        </w:rPr>
        <w:t xml:space="preserve">Risk-Benefit </w:t>
      </w:r>
      <w:proofErr w:type="spellStart"/>
      <w:r w:rsidR="00610D6E" w:rsidRPr="00610D6E">
        <w:rPr>
          <w:sz w:val="22"/>
          <w:szCs w:val="22"/>
          <w:lang w:val="it-IT"/>
        </w:rPr>
        <w:t>Assessment</w:t>
      </w:r>
      <w:proofErr w:type="spellEnd"/>
    </w:p>
    <w:p w14:paraId="513A5AFF" w14:textId="0D4FE722" w:rsidR="006D5587" w:rsidRPr="00A92160" w:rsidRDefault="009617C7" w:rsidP="009617C7">
      <w:pPr>
        <w:jc w:val="both"/>
        <w:rPr>
          <w:rFonts w:asciiTheme="minorHAnsi" w:eastAsia="Arial" w:hAnsiTheme="minorHAnsi" w:cstheme="minorHAnsi"/>
          <w:color w:val="000000" w:themeColor="text1"/>
        </w:rPr>
      </w:pPr>
      <w:r w:rsidRPr="009617C7">
        <w:rPr>
          <w:rFonts w:asciiTheme="minorHAnsi" w:eastAsia="Arial" w:hAnsiTheme="minorHAnsi" w:cstheme="minorHAnsi"/>
          <w:color w:val="000000" w:themeColor="text1"/>
        </w:rPr>
        <w:t>The expected benefits of participation include possible improvement in preoperative functional capacity, lower limb strength, mobility, and confidence before surgery. These potential benefits may support early postoperative recovery, although the magnitude of benefit will be formally assessed through the study outcomes.</w:t>
      </w:r>
      <w:r>
        <w:rPr>
          <w:rFonts w:asciiTheme="minorHAnsi" w:eastAsia="Arial" w:hAnsiTheme="minorHAnsi" w:cstheme="minorHAnsi"/>
          <w:color w:val="000000" w:themeColor="text1"/>
        </w:rPr>
        <w:t xml:space="preserve"> </w:t>
      </w:r>
      <w:r w:rsidRPr="009617C7">
        <w:rPr>
          <w:rFonts w:asciiTheme="minorHAnsi" w:eastAsia="Arial" w:hAnsiTheme="minorHAnsi" w:cstheme="minorHAnsi"/>
          <w:color w:val="000000" w:themeColor="text1"/>
        </w:rPr>
        <w:t>The risks are expected to be minimal and mainly related to temporary discomfort during exercise or neuromuscular electrical stimulation. Exercise-related risks may include transient pain, fatigue, cramps, or minor musculoskeletal symptoms. Neuromuscular electrical stimulation may cause temporary skin redness, local irritation, or discomfort during stimulation, usually resolving after treatment interruption or intensity adjustment.</w:t>
      </w:r>
      <w:r>
        <w:rPr>
          <w:rFonts w:asciiTheme="minorHAnsi" w:eastAsia="Arial" w:hAnsiTheme="minorHAnsi" w:cstheme="minorHAnsi"/>
          <w:color w:val="000000" w:themeColor="text1"/>
        </w:rPr>
        <w:t xml:space="preserve"> </w:t>
      </w:r>
      <w:r w:rsidRPr="009617C7">
        <w:rPr>
          <w:rFonts w:asciiTheme="minorHAnsi" w:eastAsia="Arial" w:hAnsiTheme="minorHAnsi" w:cstheme="minorHAnsi"/>
          <w:color w:val="000000" w:themeColor="text1"/>
        </w:rPr>
        <w:t>Risk will be minimized through careful eligibility screening, exclusion of participants with contraindications to the medical devices used in the study, standardized instructions, an initial orientation session, weekly telephone monitoring, and physiotherapist supervision when applicable. Participants will be instructed to perform all activities within their tolerance and to report any symptoms or concerns promptly.</w:t>
      </w:r>
      <w:r>
        <w:rPr>
          <w:rFonts w:asciiTheme="minorHAnsi" w:eastAsia="Arial" w:hAnsiTheme="minorHAnsi" w:cstheme="minorHAnsi"/>
          <w:color w:val="000000" w:themeColor="text1"/>
        </w:rPr>
        <w:t xml:space="preserve"> </w:t>
      </w:r>
      <w:r w:rsidRPr="009617C7">
        <w:rPr>
          <w:rFonts w:asciiTheme="minorHAnsi" w:eastAsia="Arial" w:hAnsiTheme="minorHAnsi" w:cstheme="minorHAnsi"/>
          <w:color w:val="000000" w:themeColor="text1"/>
        </w:rPr>
        <w:t xml:space="preserve">If any adverse event occurs, the participant will be evaluated by the study team and, when necessary, by the physician responsible for the study. The intervention may be modified, </w:t>
      </w:r>
      <w:proofErr w:type="gramStart"/>
      <w:r w:rsidRPr="009617C7">
        <w:rPr>
          <w:rFonts w:asciiTheme="minorHAnsi" w:eastAsia="Arial" w:hAnsiTheme="minorHAnsi" w:cstheme="minorHAnsi"/>
          <w:color w:val="000000" w:themeColor="text1"/>
        </w:rPr>
        <w:t>temporarily suspended</w:t>
      </w:r>
      <w:proofErr w:type="gramEnd"/>
      <w:r w:rsidRPr="009617C7">
        <w:rPr>
          <w:rFonts w:asciiTheme="minorHAnsi" w:eastAsia="Arial" w:hAnsiTheme="minorHAnsi" w:cstheme="minorHAnsi"/>
          <w:color w:val="000000" w:themeColor="text1"/>
        </w:rPr>
        <w:t>, or discontinued if continuation is considered unsafe or inappropriate.</w:t>
      </w:r>
      <w:r>
        <w:rPr>
          <w:rFonts w:asciiTheme="minorHAnsi" w:eastAsia="Arial" w:hAnsiTheme="minorHAnsi" w:cstheme="minorHAnsi"/>
          <w:color w:val="000000" w:themeColor="text1"/>
        </w:rPr>
        <w:t xml:space="preserve"> </w:t>
      </w:r>
      <w:r w:rsidRPr="009617C7">
        <w:rPr>
          <w:rFonts w:asciiTheme="minorHAnsi" w:eastAsia="Arial" w:hAnsiTheme="minorHAnsi" w:cstheme="minorHAnsi"/>
          <w:color w:val="000000" w:themeColor="text1"/>
        </w:rPr>
        <w:t>Overall, the risk-benefit ratio is considered acceptable because the study interventions are non-pharmacological, low risk, and aimed at improving functional preparation before elective lower limb arthroplasty</w:t>
      </w:r>
      <w:r w:rsidR="00AC67F8" w:rsidRPr="00A92160">
        <w:rPr>
          <w:rFonts w:asciiTheme="minorHAnsi" w:eastAsia="Arial" w:hAnsiTheme="minorHAnsi" w:cstheme="minorHAnsi"/>
          <w:color w:val="000000" w:themeColor="text1"/>
        </w:rPr>
        <w:t>.</w:t>
      </w:r>
    </w:p>
    <w:p w14:paraId="1945DD00" w14:textId="6CADF73E" w:rsidR="008A7018" w:rsidRDefault="0076306B" w:rsidP="00535DAA">
      <w:pPr>
        <w:pStyle w:val="Titolo1"/>
        <w:numPr>
          <w:ilvl w:val="0"/>
          <w:numId w:val="13"/>
        </w:numPr>
        <w:ind w:left="284" w:hanging="284"/>
        <w:jc w:val="both"/>
        <w:rPr>
          <w:sz w:val="24"/>
          <w:szCs w:val="24"/>
        </w:rPr>
      </w:pPr>
      <w:bookmarkStart w:id="21" w:name="_Toc94347130"/>
      <w:r>
        <w:rPr>
          <w:sz w:val="24"/>
          <w:szCs w:val="24"/>
        </w:rPr>
        <w:t>Quality CONTROL AND Data protection</w:t>
      </w:r>
      <w:bookmarkEnd w:id="21"/>
    </w:p>
    <w:p w14:paraId="5718E509" w14:textId="24355E7E" w:rsidR="008A7018" w:rsidRPr="00C87E4A" w:rsidRDefault="0076306B" w:rsidP="00C87E4A">
      <w:pPr>
        <w:pStyle w:val="Titolo2"/>
        <w:numPr>
          <w:ilvl w:val="0"/>
          <w:numId w:val="0"/>
        </w:numPr>
        <w:tabs>
          <w:tab w:val="left" w:pos="851"/>
        </w:tabs>
        <w:jc w:val="both"/>
        <w:rPr>
          <w:sz w:val="22"/>
          <w:szCs w:val="22"/>
        </w:rPr>
      </w:pPr>
      <w:bookmarkStart w:id="22" w:name="_Toc94347131"/>
      <w:r>
        <w:rPr>
          <w:sz w:val="22"/>
          <w:szCs w:val="22"/>
        </w:rPr>
        <w:t xml:space="preserve">7.1 </w:t>
      </w:r>
      <w:bookmarkEnd w:id="22"/>
      <w:r w:rsidR="009617C7">
        <w:rPr>
          <w:sz w:val="22"/>
          <w:szCs w:val="22"/>
        </w:rPr>
        <w:t>Quality measures</w:t>
      </w:r>
    </w:p>
    <w:p w14:paraId="71177AE2" w14:textId="3B70D575" w:rsidR="008A7018" w:rsidRPr="00A92160" w:rsidRDefault="009617C7" w:rsidP="00C87E4A">
      <w:pPr>
        <w:spacing w:after="60"/>
        <w:jc w:val="both"/>
        <w:rPr>
          <w:rFonts w:asciiTheme="minorHAnsi" w:eastAsia="Arial" w:hAnsiTheme="minorHAnsi" w:cstheme="minorHAnsi"/>
          <w:color w:val="000000" w:themeColor="text1"/>
        </w:rPr>
      </w:pPr>
      <w:r w:rsidRPr="009617C7">
        <w:rPr>
          <w:rFonts w:asciiTheme="minorHAnsi" w:eastAsia="Arial" w:hAnsiTheme="minorHAnsi" w:cstheme="minorHAnsi"/>
          <w:color w:val="000000" w:themeColor="text1"/>
        </w:rPr>
        <w:t>To ensure standardization and quality of study procedures, all members of the research team involved in participant instruction, intervention delivery, outcome assessment, and data collection will receive specific training before the start of the study.</w:t>
      </w:r>
      <w:r>
        <w:rPr>
          <w:rFonts w:asciiTheme="minorHAnsi" w:eastAsia="Arial" w:hAnsiTheme="minorHAnsi" w:cstheme="minorHAnsi"/>
          <w:color w:val="000000" w:themeColor="text1"/>
        </w:rPr>
        <w:t xml:space="preserve"> </w:t>
      </w:r>
      <w:r w:rsidRPr="009617C7">
        <w:rPr>
          <w:rFonts w:asciiTheme="minorHAnsi" w:eastAsia="Arial" w:hAnsiTheme="minorHAnsi" w:cstheme="minorHAnsi"/>
          <w:color w:val="000000" w:themeColor="text1"/>
        </w:rPr>
        <w:t>Physiotherapists involved in the neuromuscular electrical stimulation arm will be trained in the correct use of the stimulation device, electrode placement, stimulation parameters, intensity adjustment, safety instructions, and procedures for identifying symptoms requiring treatment discontinuation. Training may be provided in person and, if needed, reinforced through additional remote sessions.</w:t>
      </w:r>
      <w:r>
        <w:rPr>
          <w:rFonts w:asciiTheme="minorHAnsi" w:eastAsia="Arial" w:hAnsiTheme="minorHAnsi" w:cstheme="minorHAnsi"/>
          <w:color w:val="000000" w:themeColor="text1"/>
        </w:rPr>
        <w:t xml:space="preserve"> </w:t>
      </w:r>
      <w:r w:rsidRPr="009617C7">
        <w:rPr>
          <w:rFonts w:asciiTheme="minorHAnsi" w:eastAsia="Arial" w:hAnsiTheme="minorHAnsi" w:cstheme="minorHAnsi"/>
          <w:color w:val="000000" w:themeColor="text1"/>
        </w:rPr>
        <w:t>Outcome assessors will be trained in the standardized administration of all functional tests, including the 30-Second Chair Stand Test, Timed Up and Go test, and Six-Minute Walk Test. Procedures for administering the Oxford Hip Score or Oxford Knee Score and the Technology Acceptance Model questionnaire will also be standardized.</w:t>
      </w:r>
      <w:r>
        <w:rPr>
          <w:rFonts w:asciiTheme="minorHAnsi" w:eastAsia="Arial" w:hAnsiTheme="minorHAnsi" w:cstheme="minorHAnsi"/>
          <w:color w:val="000000" w:themeColor="text1"/>
        </w:rPr>
        <w:t xml:space="preserve"> </w:t>
      </w:r>
      <w:r w:rsidRPr="009617C7">
        <w:rPr>
          <w:rFonts w:asciiTheme="minorHAnsi" w:eastAsia="Arial" w:hAnsiTheme="minorHAnsi" w:cstheme="minorHAnsi"/>
          <w:color w:val="000000" w:themeColor="text1"/>
        </w:rPr>
        <w:t xml:space="preserve">To reduce measurement bias, outcome assessments will be performed by a </w:t>
      </w:r>
      <w:r w:rsidRPr="009617C7">
        <w:rPr>
          <w:rFonts w:asciiTheme="minorHAnsi" w:eastAsia="Arial" w:hAnsiTheme="minorHAnsi" w:cstheme="minorHAnsi"/>
          <w:color w:val="000000" w:themeColor="text1"/>
        </w:rPr>
        <w:lastRenderedPageBreak/>
        <w:t>physiotherapist blinded to group allocation and not involved in intervention delivery. Data collection procedures will be predefined, and all collected data will be checked for completeness, plausibility, and consistency.</w:t>
      </w:r>
      <w:r>
        <w:rPr>
          <w:rFonts w:asciiTheme="minorHAnsi" w:eastAsia="Arial" w:hAnsiTheme="minorHAnsi" w:cstheme="minorHAnsi"/>
          <w:color w:val="000000" w:themeColor="text1"/>
        </w:rPr>
        <w:t xml:space="preserve"> </w:t>
      </w:r>
      <w:r w:rsidRPr="009617C7">
        <w:rPr>
          <w:rFonts w:asciiTheme="minorHAnsi" w:eastAsia="Arial" w:hAnsiTheme="minorHAnsi" w:cstheme="minorHAnsi"/>
          <w:color w:val="000000" w:themeColor="text1"/>
        </w:rPr>
        <w:t>Data entry will be verified through double-checking procedures. Any discrepancy between the collected data and the electronic dataset will be reviewed and corrected using the original source documents. The Ethics Committee or other authorized regulatory bodies may request access to study documentation and source data for monitoring or audit purposes. In such cases, access will be granted in accordance with applicable regulations and confidentiality requirements</w:t>
      </w:r>
      <w:r w:rsidR="0076306B" w:rsidRPr="00A92160">
        <w:rPr>
          <w:rFonts w:asciiTheme="minorHAnsi" w:eastAsia="Arial" w:hAnsiTheme="minorHAnsi" w:cstheme="minorHAnsi"/>
          <w:color w:val="000000" w:themeColor="text1"/>
        </w:rPr>
        <w:t xml:space="preserve">. </w:t>
      </w:r>
    </w:p>
    <w:p w14:paraId="4AC0E183" w14:textId="0D4463A7" w:rsidR="008A7018" w:rsidRPr="005B1C7C" w:rsidRDefault="0076306B" w:rsidP="00C87E4A">
      <w:pPr>
        <w:pStyle w:val="Titolo2"/>
        <w:numPr>
          <w:ilvl w:val="0"/>
          <w:numId w:val="0"/>
        </w:numPr>
        <w:tabs>
          <w:tab w:val="left" w:pos="851"/>
        </w:tabs>
        <w:spacing w:line="360" w:lineRule="auto"/>
        <w:jc w:val="both"/>
        <w:rPr>
          <w:sz w:val="22"/>
          <w:szCs w:val="22"/>
          <w:lang w:val="it-IT"/>
        </w:rPr>
      </w:pPr>
      <w:bookmarkStart w:id="23" w:name="_Toc94347132"/>
      <w:r w:rsidRPr="005B1C7C">
        <w:rPr>
          <w:sz w:val="22"/>
          <w:szCs w:val="22"/>
          <w:lang w:val="it-IT"/>
        </w:rPr>
        <w:t xml:space="preserve">7.2 </w:t>
      </w:r>
      <w:bookmarkEnd w:id="23"/>
      <w:r w:rsidR="009617C7" w:rsidRPr="009617C7">
        <w:rPr>
          <w:sz w:val="22"/>
          <w:szCs w:val="22"/>
          <w:lang w:val="it-IT"/>
        </w:rPr>
        <w:t xml:space="preserve">Data Recording and Source </w:t>
      </w:r>
      <w:proofErr w:type="spellStart"/>
      <w:r w:rsidR="009617C7" w:rsidRPr="009617C7">
        <w:rPr>
          <w:sz w:val="22"/>
          <w:szCs w:val="22"/>
          <w:lang w:val="it-IT"/>
        </w:rPr>
        <w:t>Documents</w:t>
      </w:r>
      <w:proofErr w:type="spellEnd"/>
    </w:p>
    <w:p w14:paraId="5D9B3C77" w14:textId="41DFD205" w:rsidR="005A0A39" w:rsidRPr="000F3F68" w:rsidRDefault="009617C7" w:rsidP="000F3F68">
      <w:pPr>
        <w:jc w:val="both"/>
        <w:rPr>
          <w:rFonts w:asciiTheme="minorHAnsi" w:eastAsia="Arial" w:hAnsiTheme="minorHAnsi" w:cstheme="minorHAnsi"/>
          <w:color w:val="000000" w:themeColor="text1"/>
        </w:rPr>
      </w:pPr>
      <w:r w:rsidRPr="009617C7">
        <w:rPr>
          <w:rFonts w:asciiTheme="minorHAnsi" w:eastAsia="Arial" w:hAnsiTheme="minorHAnsi" w:cstheme="minorHAnsi"/>
          <w:color w:val="000000" w:themeColor="text1"/>
        </w:rPr>
        <w:t>Study data will be collected by trained research personnel using standardized case report forms. Each participant will be assigned a unique study identification code, which will be used for all study-related data collection and analysis.</w:t>
      </w:r>
      <w:r>
        <w:rPr>
          <w:rFonts w:asciiTheme="minorHAnsi" w:eastAsia="Arial" w:hAnsiTheme="minorHAnsi" w:cstheme="minorHAnsi"/>
          <w:color w:val="000000" w:themeColor="text1"/>
        </w:rPr>
        <w:t xml:space="preserve"> </w:t>
      </w:r>
      <w:r w:rsidRPr="009617C7">
        <w:rPr>
          <w:rFonts w:asciiTheme="minorHAnsi" w:eastAsia="Arial" w:hAnsiTheme="minorHAnsi" w:cstheme="minorHAnsi"/>
          <w:color w:val="000000" w:themeColor="text1"/>
        </w:rPr>
        <w:t>The main source documents will include the informed consent form, eligibility screening records, baseline and follow-up assessment forms, intervention adherence logs, adverse event documentation, and relevant hospital records, including surgical and discharge information.</w:t>
      </w:r>
      <w:r>
        <w:rPr>
          <w:rFonts w:asciiTheme="minorHAnsi" w:eastAsia="Arial" w:hAnsiTheme="minorHAnsi" w:cstheme="minorHAnsi"/>
          <w:color w:val="000000" w:themeColor="text1"/>
        </w:rPr>
        <w:t xml:space="preserve"> </w:t>
      </w:r>
      <w:r w:rsidRPr="009617C7">
        <w:rPr>
          <w:rFonts w:asciiTheme="minorHAnsi" w:eastAsia="Arial" w:hAnsiTheme="minorHAnsi" w:cstheme="minorHAnsi"/>
          <w:color w:val="000000" w:themeColor="text1"/>
        </w:rPr>
        <w:t>Data will be entered into an electronic database that will not contain directly identifiable participant information. Participants will be identified only through their study code. The electronic database will be password-protected and accessible only to authorized members of the research team.</w:t>
      </w:r>
      <w:r>
        <w:rPr>
          <w:rFonts w:asciiTheme="minorHAnsi" w:eastAsia="Arial" w:hAnsiTheme="minorHAnsi" w:cstheme="minorHAnsi"/>
          <w:color w:val="000000" w:themeColor="text1"/>
        </w:rPr>
        <w:t xml:space="preserve"> </w:t>
      </w:r>
      <w:r w:rsidRPr="009617C7">
        <w:rPr>
          <w:rFonts w:asciiTheme="minorHAnsi" w:eastAsia="Arial" w:hAnsiTheme="minorHAnsi" w:cstheme="minorHAnsi"/>
          <w:color w:val="000000" w:themeColor="text1"/>
        </w:rPr>
        <w:t>The investigator will be responsible for ensuring that the data entered in the case report forms and electronic database are accurate, complete, and consistent with the corresponding source documents. Corrections to study data will be traceable and documented, without deleting the original information.</w:t>
      </w:r>
      <w:r w:rsidR="0076306B" w:rsidRPr="000F3F68">
        <w:rPr>
          <w:rFonts w:asciiTheme="minorHAnsi" w:eastAsia="Arial" w:hAnsiTheme="minorHAnsi" w:cstheme="minorHAnsi"/>
          <w:color w:val="000000" w:themeColor="text1"/>
        </w:rPr>
        <w:t xml:space="preserve"> </w:t>
      </w:r>
      <w:bookmarkStart w:id="24" w:name="_Toc94347133"/>
    </w:p>
    <w:p w14:paraId="40E46CAC" w14:textId="08893526" w:rsidR="008A7018" w:rsidRPr="0076306B" w:rsidRDefault="0076306B" w:rsidP="00535DAA">
      <w:pPr>
        <w:pStyle w:val="Titolo2"/>
        <w:numPr>
          <w:ilvl w:val="0"/>
          <w:numId w:val="0"/>
        </w:numPr>
        <w:tabs>
          <w:tab w:val="left" w:pos="851"/>
        </w:tabs>
        <w:jc w:val="both"/>
        <w:rPr>
          <w:sz w:val="22"/>
          <w:szCs w:val="22"/>
          <w:lang w:val="it-IT"/>
        </w:rPr>
      </w:pPr>
      <w:r w:rsidRPr="0076306B">
        <w:rPr>
          <w:sz w:val="22"/>
          <w:szCs w:val="22"/>
          <w:lang w:val="it-IT"/>
        </w:rPr>
        <w:t xml:space="preserve">7.3 </w:t>
      </w:r>
      <w:bookmarkEnd w:id="24"/>
      <w:proofErr w:type="spellStart"/>
      <w:r w:rsidR="009617C7" w:rsidRPr="009617C7">
        <w:rPr>
          <w:sz w:val="22"/>
          <w:szCs w:val="22"/>
          <w:lang w:val="it-IT"/>
        </w:rPr>
        <w:t>Confidentiality</w:t>
      </w:r>
      <w:proofErr w:type="spellEnd"/>
      <w:r w:rsidR="009617C7" w:rsidRPr="009617C7">
        <w:rPr>
          <w:sz w:val="22"/>
          <w:szCs w:val="22"/>
          <w:lang w:val="it-IT"/>
        </w:rPr>
        <w:t xml:space="preserve"> and Data Coding</w:t>
      </w:r>
    </w:p>
    <w:p w14:paraId="7FA81E96" w14:textId="77777777" w:rsidR="008A7018" w:rsidRDefault="008A7018">
      <w:pPr>
        <w:pBdr>
          <w:top w:val="nil"/>
          <w:left w:val="nil"/>
          <w:bottom w:val="nil"/>
          <w:right w:val="nil"/>
          <w:between w:val="nil"/>
        </w:pBdr>
        <w:jc w:val="both"/>
        <w:rPr>
          <w:rFonts w:ascii="Arial" w:eastAsia="Arial" w:hAnsi="Arial" w:cs="Arial"/>
          <w:color w:val="0000FF"/>
        </w:rPr>
      </w:pPr>
    </w:p>
    <w:p w14:paraId="71F9DD13" w14:textId="6700FA13" w:rsidR="009617C7" w:rsidRPr="009617C7" w:rsidRDefault="009617C7" w:rsidP="009617C7">
      <w:pPr>
        <w:jc w:val="both"/>
        <w:rPr>
          <w:rFonts w:asciiTheme="minorHAnsi" w:eastAsia="Arial" w:hAnsiTheme="minorHAnsi" w:cstheme="minorHAnsi"/>
          <w:color w:val="000000" w:themeColor="text1"/>
        </w:rPr>
      </w:pPr>
      <w:r w:rsidRPr="009617C7">
        <w:rPr>
          <w:rFonts w:asciiTheme="minorHAnsi" w:eastAsia="Arial" w:hAnsiTheme="minorHAnsi" w:cstheme="minorHAnsi"/>
          <w:color w:val="000000" w:themeColor="text1"/>
        </w:rPr>
        <w:t>Study data will be collected by trained research personnel using standardized case report forms. Each participant will be assigned a unique study identification code, which will be used for all study-related data collection and analysis.</w:t>
      </w:r>
      <w:r>
        <w:rPr>
          <w:rFonts w:asciiTheme="minorHAnsi" w:eastAsia="Arial" w:hAnsiTheme="minorHAnsi" w:cstheme="minorHAnsi"/>
          <w:color w:val="000000" w:themeColor="text1"/>
        </w:rPr>
        <w:t xml:space="preserve"> </w:t>
      </w:r>
      <w:r w:rsidRPr="009617C7">
        <w:rPr>
          <w:rFonts w:asciiTheme="minorHAnsi" w:eastAsia="Arial" w:hAnsiTheme="minorHAnsi" w:cstheme="minorHAnsi"/>
          <w:color w:val="000000" w:themeColor="text1"/>
        </w:rPr>
        <w:t>The main source documents will include the informed consent form, eligibility screening records, baseline and follow-up assessment forms, intervention adherence logs, adverse event documentation, and relevant hospital records, including surgical and discharge information.</w:t>
      </w:r>
    </w:p>
    <w:p w14:paraId="19A3221B" w14:textId="77777777" w:rsidR="009617C7" w:rsidRPr="009617C7" w:rsidRDefault="009617C7" w:rsidP="009617C7">
      <w:pPr>
        <w:jc w:val="both"/>
        <w:rPr>
          <w:rFonts w:asciiTheme="minorHAnsi" w:eastAsia="Arial" w:hAnsiTheme="minorHAnsi" w:cstheme="minorHAnsi"/>
          <w:color w:val="000000" w:themeColor="text1"/>
        </w:rPr>
      </w:pPr>
      <w:r w:rsidRPr="009617C7">
        <w:rPr>
          <w:rFonts w:asciiTheme="minorHAnsi" w:eastAsia="Arial" w:hAnsiTheme="minorHAnsi" w:cstheme="minorHAnsi"/>
          <w:color w:val="000000" w:themeColor="text1"/>
        </w:rPr>
        <w:t>Data will be entered into an electronic database that will not contain directly identifiable participant information. Participants will be identified only through their study code. The electronic database will be password-protected and accessible only to authorized members of the research team.</w:t>
      </w:r>
    </w:p>
    <w:p w14:paraId="3BF23DFA" w14:textId="604022F1" w:rsidR="008A7018" w:rsidRPr="000F3F68" w:rsidRDefault="009617C7" w:rsidP="009617C7">
      <w:pPr>
        <w:jc w:val="both"/>
        <w:rPr>
          <w:rFonts w:asciiTheme="minorHAnsi" w:eastAsia="Arial" w:hAnsiTheme="minorHAnsi" w:cstheme="minorHAnsi"/>
          <w:color w:val="000000" w:themeColor="text1"/>
        </w:rPr>
      </w:pPr>
      <w:r w:rsidRPr="009617C7">
        <w:rPr>
          <w:rFonts w:asciiTheme="minorHAnsi" w:eastAsia="Arial" w:hAnsiTheme="minorHAnsi" w:cstheme="minorHAnsi"/>
          <w:color w:val="000000" w:themeColor="text1"/>
        </w:rPr>
        <w:t>The investigator will be responsible for ensuring that the data entered in the case report forms and electronic database are accurate, complete, and consistent with the corresponding source documents. Corrections to study data will be traceable and documented, without deleting the original information</w:t>
      </w:r>
      <w:r w:rsidR="0076306B" w:rsidRPr="000F3F68">
        <w:rPr>
          <w:rFonts w:asciiTheme="minorHAnsi" w:eastAsia="Arial" w:hAnsiTheme="minorHAnsi" w:cstheme="minorHAnsi"/>
          <w:color w:val="000000" w:themeColor="text1"/>
        </w:rPr>
        <w:t xml:space="preserve">. </w:t>
      </w:r>
    </w:p>
    <w:p w14:paraId="1D93CAEE" w14:textId="1DD7DD03" w:rsidR="00C87E4A" w:rsidRPr="000F3F68" w:rsidRDefault="0076306B" w:rsidP="000F3F68">
      <w:pPr>
        <w:pStyle w:val="Titolo2"/>
        <w:numPr>
          <w:ilvl w:val="0"/>
          <w:numId w:val="0"/>
        </w:numPr>
        <w:tabs>
          <w:tab w:val="left" w:pos="851"/>
        </w:tabs>
        <w:jc w:val="both"/>
        <w:rPr>
          <w:sz w:val="22"/>
          <w:szCs w:val="22"/>
          <w:lang w:val="it-IT"/>
        </w:rPr>
      </w:pPr>
      <w:bookmarkStart w:id="25" w:name="_Toc94347134"/>
      <w:r w:rsidRPr="0076306B">
        <w:rPr>
          <w:sz w:val="22"/>
          <w:szCs w:val="22"/>
          <w:lang w:val="it-IT"/>
        </w:rPr>
        <w:t xml:space="preserve">7.4 </w:t>
      </w:r>
      <w:bookmarkEnd w:id="25"/>
      <w:r w:rsidR="009617C7" w:rsidRPr="009617C7">
        <w:rPr>
          <w:sz w:val="22"/>
          <w:szCs w:val="22"/>
          <w:lang w:val="it-IT"/>
        </w:rPr>
        <w:t xml:space="preserve">Data Storage and </w:t>
      </w:r>
      <w:proofErr w:type="spellStart"/>
      <w:r w:rsidR="009617C7" w:rsidRPr="009617C7">
        <w:rPr>
          <w:sz w:val="22"/>
          <w:szCs w:val="22"/>
          <w:lang w:val="it-IT"/>
        </w:rPr>
        <w:t>Destruction</w:t>
      </w:r>
      <w:proofErr w:type="spellEnd"/>
    </w:p>
    <w:p w14:paraId="7CC256E4" w14:textId="7B4F2B98" w:rsidR="008A7018" w:rsidRPr="000F3F68" w:rsidRDefault="009617C7" w:rsidP="009617C7">
      <w:pPr>
        <w:widowControl w:val="0"/>
        <w:tabs>
          <w:tab w:val="left" w:pos="0"/>
          <w:tab w:val="left" w:pos="584"/>
          <w:tab w:val="left" w:pos="726"/>
          <w:tab w:val="left" w:pos="1455"/>
          <w:tab w:val="left" w:pos="4856"/>
          <w:tab w:val="left" w:pos="5990"/>
        </w:tabs>
        <w:jc w:val="both"/>
        <w:rPr>
          <w:rFonts w:asciiTheme="minorHAnsi" w:eastAsia="Arial" w:hAnsiTheme="minorHAnsi" w:cstheme="minorHAnsi"/>
          <w:color w:val="000000" w:themeColor="text1"/>
        </w:rPr>
      </w:pPr>
      <w:r w:rsidRPr="009617C7">
        <w:rPr>
          <w:rFonts w:asciiTheme="minorHAnsi" w:eastAsia="Arial" w:hAnsiTheme="minorHAnsi" w:cstheme="minorHAnsi"/>
          <w:color w:val="000000" w:themeColor="text1"/>
        </w:rPr>
        <w:t>All study documents and participant information will be collected, stored, and archived in accordance with applicable data protection regulations and institutional procedures.</w:t>
      </w:r>
      <w:r>
        <w:rPr>
          <w:rFonts w:asciiTheme="minorHAnsi" w:eastAsia="Arial" w:hAnsiTheme="minorHAnsi" w:cstheme="minorHAnsi"/>
          <w:color w:val="000000" w:themeColor="text1"/>
        </w:rPr>
        <w:t xml:space="preserve"> </w:t>
      </w:r>
      <w:r w:rsidRPr="009617C7">
        <w:rPr>
          <w:rFonts w:asciiTheme="minorHAnsi" w:eastAsia="Arial" w:hAnsiTheme="minorHAnsi" w:cstheme="minorHAnsi"/>
          <w:color w:val="000000" w:themeColor="text1"/>
        </w:rPr>
        <w:t xml:space="preserve">Signed </w:t>
      </w:r>
      <w:r w:rsidRPr="009617C7">
        <w:rPr>
          <w:rFonts w:asciiTheme="minorHAnsi" w:eastAsia="Arial" w:hAnsiTheme="minorHAnsi" w:cstheme="minorHAnsi"/>
          <w:color w:val="000000" w:themeColor="text1"/>
        </w:rPr>
        <w:lastRenderedPageBreak/>
        <w:t>informed consent forms will be stored at the study site in a locked cabinet accessible only to authorized study personnel. Electronic study data will be stored in password-protected files or databases on secure institutional devices or servers. The pseudonymization log will be stored separately from the clinical and outcome data.</w:t>
      </w:r>
      <w:r>
        <w:rPr>
          <w:rFonts w:asciiTheme="minorHAnsi" w:eastAsia="Arial" w:hAnsiTheme="minorHAnsi" w:cstheme="minorHAnsi"/>
          <w:color w:val="000000" w:themeColor="text1"/>
        </w:rPr>
        <w:t xml:space="preserve"> </w:t>
      </w:r>
      <w:r w:rsidRPr="009617C7">
        <w:rPr>
          <w:rFonts w:asciiTheme="minorHAnsi" w:eastAsia="Arial" w:hAnsiTheme="minorHAnsi" w:cstheme="minorHAnsi"/>
          <w:color w:val="000000" w:themeColor="text1"/>
        </w:rPr>
        <w:t>Study records will be retained for five years after publication of the research project, unless a longer retention period is required by local regulations, institutional policy, or journal requirements. After the retention period, study documents and electronic data will be securely destroyed or anonymized according to institutional procedures.</w:t>
      </w:r>
      <w:r>
        <w:rPr>
          <w:rFonts w:asciiTheme="minorHAnsi" w:eastAsia="Arial" w:hAnsiTheme="minorHAnsi" w:cstheme="minorHAnsi"/>
          <w:color w:val="000000" w:themeColor="text1"/>
        </w:rPr>
        <w:t xml:space="preserve"> </w:t>
      </w:r>
      <w:r w:rsidRPr="009617C7">
        <w:rPr>
          <w:rFonts w:asciiTheme="minorHAnsi" w:eastAsia="Arial" w:hAnsiTheme="minorHAnsi" w:cstheme="minorHAnsi"/>
          <w:color w:val="000000" w:themeColor="text1"/>
        </w:rPr>
        <w:t>No biological samples will be collected, stored, or analyzed as part of this study</w:t>
      </w:r>
      <w:r w:rsidR="0076306B" w:rsidRPr="000F3F68">
        <w:rPr>
          <w:rFonts w:asciiTheme="minorHAnsi" w:eastAsia="Arial" w:hAnsiTheme="minorHAnsi" w:cstheme="minorHAnsi"/>
          <w:color w:val="000000" w:themeColor="text1"/>
        </w:rPr>
        <w:t xml:space="preserve">. </w:t>
      </w:r>
    </w:p>
    <w:p w14:paraId="468C5B9E" w14:textId="01878798" w:rsidR="008A7018" w:rsidRDefault="000E0B2C" w:rsidP="00535DAA">
      <w:pPr>
        <w:pStyle w:val="Titolo1"/>
        <w:numPr>
          <w:ilvl w:val="0"/>
          <w:numId w:val="13"/>
        </w:numPr>
        <w:ind w:left="284" w:hanging="284"/>
        <w:jc w:val="both"/>
        <w:rPr>
          <w:sz w:val="24"/>
          <w:szCs w:val="24"/>
        </w:rPr>
      </w:pPr>
      <w:r w:rsidRPr="000E0B2C">
        <w:rPr>
          <w:sz w:val="24"/>
          <w:szCs w:val="24"/>
        </w:rPr>
        <w:t>FUNDING / PUBLICATIONS / CONFLICTS OF INTEREST</w:t>
      </w:r>
    </w:p>
    <w:p w14:paraId="4D59E1BA" w14:textId="4FF6B34E" w:rsidR="008A7018" w:rsidRPr="000F3F68" w:rsidRDefault="000E0B2C" w:rsidP="00C87E4A">
      <w:pPr>
        <w:jc w:val="both"/>
        <w:rPr>
          <w:rFonts w:asciiTheme="minorHAnsi" w:eastAsia="Arial" w:hAnsiTheme="minorHAnsi" w:cstheme="minorHAnsi"/>
          <w:color w:val="000000" w:themeColor="text1"/>
        </w:rPr>
      </w:pPr>
      <w:r w:rsidRPr="000E0B2C">
        <w:rPr>
          <w:rFonts w:asciiTheme="minorHAnsi" w:eastAsia="Arial" w:hAnsiTheme="minorHAnsi" w:cstheme="minorHAnsi"/>
          <w:color w:val="000000" w:themeColor="text1"/>
        </w:rPr>
        <w:t>The medical devices will be provided on a free loan basis by the supplier. We hereby declare that the project is not funded and will not incur any additional costs for the facility. There are no conflicts of interest among the individuals involved in the study. A final report on the study’s results may also be presented at conferences in the form of an abstract and published as a full-length article</w:t>
      </w:r>
      <w:r w:rsidR="0076306B" w:rsidRPr="000F3F68">
        <w:rPr>
          <w:rFonts w:asciiTheme="minorHAnsi" w:eastAsia="Arial" w:hAnsiTheme="minorHAnsi" w:cstheme="minorHAnsi"/>
          <w:color w:val="000000" w:themeColor="text1"/>
        </w:rPr>
        <w:t>.</w:t>
      </w:r>
    </w:p>
    <w:p w14:paraId="6396CA6B" w14:textId="77777777" w:rsidR="00C87E4A" w:rsidRPr="00C87E4A" w:rsidRDefault="00C87E4A" w:rsidP="00C87E4A">
      <w:pPr>
        <w:jc w:val="both"/>
        <w:rPr>
          <w:rFonts w:asciiTheme="minorHAnsi" w:eastAsia="Arial" w:hAnsiTheme="minorHAnsi" w:cstheme="minorHAnsi"/>
          <w:color w:val="0000FF"/>
        </w:rPr>
      </w:pPr>
    </w:p>
    <w:p w14:paraId="47EB39B2" w14:textId="66738E1B" w:rsidR="008A7018" w:rsidRPr="00A93A1A" w:rsidRDefault="000E0B2C" w:rsidP="00C25B41">
      <w:pPr>
        <w:pStyle w:val="Titolo1"/>
        <w:numPr>
          <w:ilvl w:val="0"/>
          <w:numId w:val="3"/>
        </w:numPr>
        <w:jc w:val="both"/>
        <w:rPr>
          <w:color w:val="000000" w:themeColor="text1"/>
          <w:sz w:val="24"/>
          <w:szCs w:val="24"/>
        </w:rPr>
      </w:pPr>
      <w:r>
        <w:rPr>
          <w:color w:val="000000" w:themeColor="text1"/>
          <w:sz w:val="24"/>
          <w:szCs w:val="24"/>
        </w:rPr>
        <w:t>References</w:t>
      </w:r>
    </w:p>
    <w:p w14:paraId="3092BCC7" w14:textId="77777777" w:rsidR="002E2ED7" w:rsidRPr="002E2ED7" w:rsidRDefault="002E2ED7" w:rsidP="002E2ED7">
      <w:pPr>
        <w:pStyle w:val="Bibliografia"/>
        <w:rPr>
          <w:rFonts w:ascii="Arial" w:eastAsia="Calibri" w:hAnsi="Arial" w:cs="Arial"/>
          <w:lang w:val="it-IT"/>
        </w:rPr>
      </w:pPr>
      <w:r>
        <w:rPr>
          <w:rFonts w:ascii="Arial" w:eastAsia="Arial" w:hAnsi="Arial" w:cs="Arial"/>
          <w:i/>
        </w:rPr>
        <w:fldChar w:fldCharType="begin"/>
      </w:r>
      <w:r>
        <w:rPr>
          <w:rFonts w:ascii="Arial" w:eastAsia="Arial" w:hAnsi="Arial" w:cs="Arial"/>
          <w:i/>
        </w:rPr>
        <w:instrText xml:space="preserve"> ADDIN ZOTERO_BIBL {"uncited":[],"omitted":[],"custom":[]} CSL_BIBLIOGRAPHY </w:instrText>
      </w:r>
      <w:r>
        <w:rPr>
          <w:rFonts w:ascii="Arial" w:eastAsia="Arial" w:hAnsi="Arial" w:cs="Arial"/>
          <w:i/>
        </w:rPr>
        <w:fldChar w:fldCharType="separate"/>
      </w:r>
      <w:r w:rsidRPr="002E2ED7">
        <w:rPr>
          <w:rFonts w:ascii="Arial" w:eastAsia="Calibri" w:hAnsi="Arial" w:cs="Arial"/>
          <w:lang w:val="it-IT"/>
        </w:rPr>
        <w:t>1.</w:t>
      </w:r>
      <w:r w:rsidRPr="002E2ED7">
        <w:rPr>
          <w:rFonts w:ascii="Arial" w:eastAsia="Calibri" w:hAnsi="Arial" w:cs="Arial"/>
          <w:lang w:val="it-IT"/>
        </w:rPr>
        <w:tab/>
        <w:t xml:space="preserve">French JMR, Deere K, Sayers A, Whitehouse MR. Trends in hip and </w:t>
      </w:r>
      <w:proofErr w:type="spellStart"/>
      <w:r w:rsidRPr="002E2ED7">
        <w:rPr>
          <w:rFonts w:ascii="Arial" w:eastAsia="Calibri" w:hAnsi="Arial" w:cs="Arial"/>
          <w:lang w:val="it-IT"/>
        </w:rPr>
        <w:t>knee</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replacement</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length</w:t>
      </w:r>
      <w:proofErr w:type="spellEnd"/>
      <w:r w:rsidRPr="002E2ED7">
        <w:rPr>
          <w:rFonts w:ascii="Arial" w:eastAsia="Calibri" w:hAnsi="Arial" w:cs="Arial"/>
          <w:lang w:val="it-IT"/>
        </w:rPr>
        <w:t xml:space="preserve"> of stay and </w:t>
      </w:r>
      <w:proofErr w:type="spellStart"/>
      <w:r w:rsidRPr="002E2ED7">
        <w:rPr>
          <w:rFonts w:ascii="Arial" w:eastAsia="Calibri" w:hAnsi="Arial" w:cs="Arial"/>
          <w:lang w:val="it-IT"/>
        </w:rPr>
        <w:t>patient</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demographics</w:t>
      </w:r>
      <w:proofErr w:type="spellEnd"/>
      <w:r w:rsidRPr="002E2ED7">
        <w:rPr>
          <w:rFonts w:ascii="Arial" w:eastAsia="Calibri" w:hAnsi="Arial" w:cs="Arial"/>
          <w:lang w:val="it-IT"/>
        </w:rPr>
        <w:t xml:space="preserve"> in England: a </w:t>
      </w:r>
      <w:proofErr w:type="spellStart"/>
      <w:r w:rsidRPr="002E2ED7">
        <w:rPr>
          <w:rFonts w:ascii="Arial" w:eastAsia="Calibri" w:hAnsi="Arial" w:cs="Arial"/>
          <w:lang w:val="it-IT"/>
        </w:rPr>
        <w:t>population-based</w:t>
      </w:r>
      <w:proofErr w:type="spellEnd"/>
      <w:r w:rsidRPr="002E2ED7">
        <w:rPr>
          <w:rFonts w:ascii="Arial" w:eastAsia="Calibri" w:hAnsi="Arial" w:cs="Arial"/>
          <w:lang w:val="it-IT"/>
        </w:rPr>
        <w:t xml:space="preserve"> study of 1,455,842 </w:t>
      </w:r>
      <w:proofErr w:type="spellStart"/>
      <w:r w:rsidRPr="002E2ED7">
        <w:rPr>
          <w:rFonts w:ascii="Arial" w:eastAsia="Calibri" w:hAnsi="Arial" w:cs="Arial"/>
          <w:lang w:val="it-IT"/>
        </w:rPr>
        <w:t>primary</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procedures</w:t>
      </w:r>
      <w:proofErr w:type="spellEnd"/>
      <w:r w:rsidRPr="002E2ED7">
        <w:rPr>
          <w:rFonts w:ascii="Arial" w:eastAsia="Calibri" w:hAnsi="Arial" w:cs="Arial"/>
          <w:lang w:val="it-IT"/>
        </w:rPr>
        <w:t xml:space="preserve">. </w:t>
      </w:r>
      <w:r w:rsidRPr="002E2ED7">
        <w:rPr>
          <w:rFonts w:ascii="Arial" w:eastAsia="Calibri" w:hAnsi="Arial" w:cs="Arial"/>
          <w:i/>
          <w:iCs/>
          <w:lang w:val="it-IT"/>
        </w:rPr>
        <w:t xml:space="preserve">BMC </w:t>
      </w:r>
      <w:proofErr w:type="spellStart"/>
      <w:r w:rsidRPr="002E2ED7">
        <w:rPr>
          <w:rFonts w:ascii="Arial" w:eastAsia="Calibri" w:hAnsi="Arial" w:cs="Arial"/>
          <w:i/>
          <w:iCs/>
          <w:lang w:val="it-IT"/>
        </w:rPr>
        <w:t>Med</w:t>
      </w:r>
      <w:proofErr w:type="spellEnd"/>
      <w:r w:rsidRPr="002E2ED7">
        <w:rPr>
          <w:rFonts w:ascii="Arial" w:eastAsia="Calibri" w:hAnsi="Arial" w:cs="Arial"/>
          <w:lang w:val="it-IT"/>
        </w:rPr>
        <w:t xml:space="preserve">. </w:t>
      </w:r>
      <w:proofErr w:type="gramStart"/>
      <w:r w:rsidRPr="002E2ED7">
        <w:rPr>
          <w:rFonts w:ascii="Arial" w:eastAsia="Calibri" w:hAnsi="Arial" w:cs="Arial"/>
          <w:lang w:val="it-IT"/>
        </w:rPr>
        <w:t>2025;23:561</w:t>
      </w:r>
      <w:proofErr w:type="gramEnd"/>
      <w:r w:rsidRPr="002E2ED7">
        <w:rPr>
          <w:rFonts w:ascii="Arial" w:eastAsia="Calibri" w:hAnsi="Arial" w:cs="Arial"/>
          <w:lang w:val="it-IT"/>
        </w:rPr>
        <w:t xml:space="preserve">. </w:t>
      </w:r>
      <w:proofErr w:type="gramStart"/>
      <w:r w:rsidRPr="002E2ED7">
        <w:rPr>
          <w:rFonts w:ascii="Arial" w:eastAsia="Calibri" w:hAnsi="Arial" w:cs="Arial"/>
          <w:lang w:val="it-IT"/>
        </w:rPr>
        <w:t>doi:10.1186</w:t>
      </w:r>
      <w:proofErr w:type="gramEnd"/>
      <w:r w:rsidRPr="002E2ED7">
        <w:rPr>
          <w:rFonts w:ascii="Arial" w:eastAsia="Calibri" w:hAnsi="Arial" w:cs="Arial"/>
          <w:lang w:val="it-IT"/>
        </w:rPr>
        <w:t>/s12916-025-04294-6</w:t>
      </w:r>
    </w:p>
    <w:p w14:paraId="0860E7BA" w14:textId="77777777" w:rsidR="002E2ED7" w:rsidRPr="002E2ED7" w:rsidRDefault="002E2ED7" w:rsidP="002E2ED7">
      <w:pPr>
        <w:pStyle w:val="Bibliografia"/>
        <w:rPr>
          <w:rFonts w:ascii="Arial" w:eastAsia="Calibri" w:hAnsi="Arial" w:cs="Arial"/>
          <w:lang w:val="it-IT"/>
        </w:rPr>
      </w:pPr>
      <w:r w:rsidRPr="002E2ED7">
        <w:rPr>
          <w:rFonts w:ascii="Arial" w:eastAsia="Calibri" w:hAnsi="Arial" w:cs="Arial"/>
          <w:lang w:val="it-IT"/>
        </w:rPr>
        <w:t>2.</w:t>
      </w:r>
      <w:r w:rsidRPr="002E2ED7">
        <w:rPr>
          <w:rFonts w:ascii="Arial" w:eastAsia="Calibri" w:hAnsi="Arial" w:cs="Arial"/>
          <w:lang w:val="it-IT"/>
        </w:rPr>
        <w:tab/>
        <w:t xml:space="preserve">Ghoshal A, </w:t>
      </w:r>
      <w:proofErr w:type="spellStart"/>
      <w:r w:rsidRPr="002E2ED7">
        <w:rPr>
          <w:rFonts w:ascii="Arial" w:eastAsia="Calibri" w:hAnsi="Arial" w:cs="Arial"/>
          <w:lang w:val="it-IT"/>
        </w:rPr>
        <w:t>Bhanvadia</w:t>
      </w:r>
      <w:proofErr w:type="spellEnd"/>
      <w:r w:rsidRPr="002E2ED7">
        <w:rPr>
          <w:rFonts w:ascii="Arial" w:eastAsia="Calibri" w:hAnsi="Arial" w:cs="Arial"/>
          <w:lang w:val="it-IT"/>
        </w:rPr>
        <w:t xml:space="preserve"> S, Singh S, Yaeger L, Haroutounian S. </w:t>
      </w:r>
      <w:proofErr w:type="spellStart"/>
      <w:r w:rsidRPr="002E2ED7">
        <w:rPr>
          <w:rFonts w:ascii="Arial" w:eastAsia="Calibri" w:hAnsi="Arial" w:cs="Arial"/>
          <w:lang w:val="it-IT"/>
        </w:rPr>
        <w:t>Factors</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associated</w:t>
      </w:r>
      <w:proofErr w:type="spellEnd"/>
      <w:r w:rsidRPr="002E2ED7">
        <w:rPr>
          <w:rFonts w:ascii="Arial" w:eastAsia="Calibri" w:hAnsi="Arial" w:cs="Arial"/>
          <w:lang w:val="it-IT"/>
        </w:rPr>
        <w:t xml:space="preserve"> with </w:t>
      </w:r>
      <w:proofErr w:type="spellStart"/>
      <w:r w:rsidRPr="002E2ED7">
        <w:rPr>
          <w:rFonts w:ascii="Arial" w:eastAsia="Calibri" w:hAnsi="Arial" w:cs="Arial"/>
          <w:lang w:val="it-IT"/>
        </w:rPr>
        <w:t>persistent</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postsurgical</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pain</w:t>
      </w:r>
      <w:proofErr w:type="spellEnd"/>
      <w:r w:rsidRPr="002E2ED7">
        <w:rPr>
          <w:rFonts w:ascii="Arial" w:eastAsia="Calibri" w:hAnsi="Arial" w:cs="Arial"/>
          <w:lang w:val="it-IT"/>
        </w:rPr>
        <w:t xml:space="preserve"> after </w:t>
      </w:r>
      <w:proofErr w:type="spellStart"/>
      <w:r w:rsidRPr="002E2ED7">
        <w:rPr>
          <w:rFonts w:ascii="Arial" w:eastAsia="Calibri" w:hAnsi="Arial" w:cs="Arial"/>
          <w:lang w:val="it-IT"/>
        </w:rPr>
        <w:t>total</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knee</w:t>
      </w:r>
      <w:proofErr w:type="spellEnd"/>
      <w:r w:rsidRPr="002E2ED7">
        <w:rPr>
          <w:rFonts w:ascii="Arial" w:eastAsia="Calibri" w:hAnsi="Arial" w:cs="Arial"/>
          <w:lang w:val="it-IT"/>
        </w:rPr>
        <w:t xml:space="preserve"> or hip joint </w:t>
      </w:r>
      <w:proofErr w:type="spellStart"/>
      <w:r w:rsidRPr="002E2ED7">
        <w:rPr>
          <w:rFonts w:ascii="Arial" w:eastAsia="Calibri" w:hAnsi="Arial" w:cs="Arial"/>
          <w:lang w:val="it-IT"/>
        </w:rPr>
        <w:t>replacement</w:t>
      </w:r>
      <w:proofErr w:type="spellEnd"/>
      <w:r w:rsidRPr="002E2ED7">
        <w:rPr>
          <w:rFonts w:ascii="Arial" w:eastAsia="Calibri" w:hAnsi="Arial" w:cs="Arial"/>
          <w:lang w:val="it-IT"/>
        </w:rPr>
        <w:t xml:space="preserve">: a </w:t>
      </w:r>
      <w:proofErr w:type="spellStart"/>
      <w:r w:rsidRPr="002E2ED7">
        <w:rPr>
          <w:rFonts w:ascii="Arial" w:eastAsia="Calibri" w:hAnsi="Arial" w:cs="Arial"/>
          <w:lang w:val="it-IT"/>
        </w:rPr>
        <w:t>systematic</w:t>
      </w:r>
      <w:proofErr w:type="spellEnd"/>
      <w:r w:rsidRPr="002E2ED7">
        <w:rPr>
          <w:rFonts w:ascii="Arial" w:eastAsia="Calibri" w:hAnsi="Arial" w:cs="Arial"/>
          <w:lang w:val="it-IT"/>
        </w:rPr>
        <w:t xml:space="preserve"> review and meta-</w:t>
      </w:r>
      <w:proofErr w:type="spellStart"/>
      <w:r w:rsidRPr="002E2ED7">
        <w:rPr>
          <w:rFonts w:ascii="Arial" w:eastAsia="Calibri" w:hAnsi="Arial" w:cs="Arial"/>
          <w:lang w:val="it-IT"/>
        </w:rPr>
        <w:t>analysis</w:t>
      </w:r>
      <w:proofErr w:type="spellEnd"/>
      <w:r w:rsidRPr="002E2ED7">
        <w:rPr>
          <w:rFonts w:ascii="Arial" w:eastAsia="Calibri" w:hAnsi="Arial" w:cs="Arial"/>
          <w:lang w:val="it-IT"/>
        </w:rPr>
        <w:t xml:space="preserve">. </w:t>
      </w:r>
      <w:r w:rsidRPr="002E2ED7">
        <w:rPr>
          <w:rFonts w:ascii="Arial" w:eastAsia="Calibri" w:hAnsi="Arial" w:cs="Arial"/>
          <w:i/>
          <w:iCs/>
          <w:lang w:val="it-IT"/>
        </w:rPr>
        <w:t>Pain Rep</w:t>
      </w:r>
      <w:r w:rsidRPr="002E2ED7">
        <w:rPr>
          <w:rFonts w:ascii="Arial" w:eastAsia="Calibri" w:hAnsi="Arial" w:cs="Arial"/>
          <w:lang w:val="it-IT"/>
        </w:rPr>
        <w:t>. 2023;8(1</w:t>
      </w:r>
      <w:proofErr w:type="gramStart"/>
      <w:r w:rsidRPr="002E2ED7">
        <w:rPr>
          <w:rFonts w:ascii="Arial" w:eastAsia="Calibri" w:hAnsi="Arial" w:cs="Arial"/>
          <w:lang w:val="it-IT"/>
        </w:rPr>
        <w:t>):e</w:t>
      </w:r>
      <w:proofErr w:type="gramEnd"/>
      <w:r w:rsidRPr="002E2ED7">
        <w:rPr>
          <w:rFonts w:ascii="Arial" w:eastAsia="Calibri" w:hAnsi="Arial" w:cs="Arial"/>
          <w:lang w:val="it-IT"/>
        </w:rPr>
        <w:t xml:space="preserve">1052. </w:t>
      </w:r>
      <w:proofErr w:type="gramStart"/>
      <w:r w:rsidRPr="002E2ED7">
        <w:rPr>
          <w:rFonts w:ascii="Arial" w:eastAsia="Calibri" w:hAnsi="Arial" w:cs="Arial"/>
          <w:lang w:val="it-IT"/>
        </w:rPr>
        <w:t>doi:10.1097</w:t>
      </w:r>
      <w:proofErr w:type="gramEnd"/>
      <w:r w:rsidRPr="002E2ED7">
        <w:rPr>
          <w:rFonts w:ascii="Arial" w:eastAsia="Calibri" w:hAnsi="Arial" w:cs="Arial"/>
          <w:lang w:val="it-IT"/>
        </w:rPr>
        <w:t>/PR9.0000000000001052</w:t>
      </w:r>
    </w:p>
    <w:p w14:paraId="08A67E59" w14:textId="77777777" w:rsidR="002E2ED7" w:rsidRPr="002E2ED7" w:rsidRDefault="002E2ED7" w:rsidP="002E2ED7">
      <w:pPr>
        <w:pStyle w:val="Bibliografia"/>
        <w:rPr>
          <w:rFonts w:ascii="Arial" w:eastAsia="Calibri" w:hAnsi="Arial" w:cs="Arial"/>
          <w:lang w:val="it-IT"/>
        </w:rPr>
      </w:pPr>
      <w:r w:rsidRPr="002E2ED7">
        <w:rPr>
          <w:rFonts w:ascii="Arial" w:eastAsia="Calibri" w:hAnsi="Arial" w:cs="Arial"/>
          <w:lang w:val="it-IT"/>
        </w:rPr>
        <w:t>3.</w:t>
      </w:r>
      <w:r w:rsidRPr="002E2ED7">
        <w:rPr>
          <w:rFonts w:ascii="Arial" w:eastAsia="Calibri" w:hAnsi="Arial" w:cs="Arial"/>
          <w:lang w:val="it-IT"/>
        </w:rPr>
        <w:tab/>
        <w:t xml:space="preserve">Hofstede SN, </w:t>
      </w:r>
      <w:proofErr w:type="spellStart"/>
      <w:r w:rsidRPr="002E2ED7">
        <w:rPr>
          <w:rFonts w:ascii="Arial" w:eastAsia="Calibri" w:hAnsi="Arial" w:cs="Arial"/>
          <w:lang w:val="it-IT"/>
        </w:rPr>
        <w:t>Gademan</w:t>
      </w:r>
      <w:proofErr w:type="spellEnd"/>
      <w:r w:rsidRPr="002E2ED7">
        <w:rPr>
          <w:rFonts w:ascii="Arial" w:eastAsia="Calibri" w:hAnsi="Arial" w:cs="Arial"/>
          <w:lang w:val="it-IT"/>
        </w:rPr>
        <w:t xml:space="preserve"> MGJ, Vliet </w:t>
      </w:r>
      <w:proofErr w:type="spellStart"/>
      <w:r w:rsidRPr="002E2ED7">
        <w:rPr>
          <w:rFonts w:ascii="Arial" w:eastAsia="Calibri" w:hAnsi="Arial" w:cs="Arial"/>
          <w:lang w:val="it-IT"/>
        </w:rPr>
        <w:t>Vlieland</w:t>
      </w:r>
      <w:proofErr w:type="spellEnd"/>
      <w:r w:rsidRPr="002E2ED7">
        <w:rPr>
          <w:rFonts w:ascii="Arial" w:eastAsia="Calibri" w:hAnsi="Arial" w:cs="Arial"/>
          <w:lang w:val="it-IT"/>
        </w:rPr>
        <w:t xml:space="preserve"> TPM, Nelissen RGHH, Marang-van de </w:t>
      </w:r>
      <w:proofErr w:type="spellStart"/>
      <w:r w:rsidRPr="002E2ED7">
        <w:rPr>
          <w:rFonts w:ascii="Arial" w:eastAsia="Calibri" w:hAnsi="Arial" w:cs="Arial"/>
          <w:lang w:val="it-IT"/>
        </w:rPr>
        <w:t>Mheen</w:t>
      </w:r>
      <w:proofErr w:type="spellEnd"/>
      <w:r w:rsidRPr="002E2ED7">
        <w:rPr>
          <w:rFonts w:ascii="Arial" w:eastAsia="Calibri" w:hAnsi="Arial" w:cs="Arial"/>
          <w:lang w:val="it-IT"/>
        </w:rPr>
        <w:t xml:space="preserve"> PJ. </w:t>
      </w:r>
      <w:proofErr w:type="spellStart"/>
      <w:r w:rsidRPr="002E2ED7">
        <w:rPr>
          <w:rFonts w:ascii="Arial" w:eastAsia="Calibri" w:hAnsi="Arial" w:cs="Arial"/>
          <w:lang w:val="it-IT"/>
        </w:rPr>
        <w:t>Preoperative</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predictors</w:t>
      </w:r>
      <w:proofErr w:type="spellEnd"/>
      <w:r w:rsidRPr="002E2ED7">
        <w:rPr>
          <w:rFonts w:ascii="Arial" w:eastAsia="Calibri" w:hAnsi="Arial" w:cs="Arial"/>
          <w:lang w:val="it-IT"/>
        </w:rPr>
        <w:t xml:space="preserve"> for </w:t>
      </w:r>
      <w:proofErr w:type="spellStart"/>
      <w:r w:rsidRPr="002E2ED7">
        <w:rPr>
          <w:rFonts w:ascii="Arial" w:eastAsia="Calibri" w:hAnsi="Arial" w:cs="Arial"/>
          <w:lang w:val="it-IT"/>
        </w:rPr>
        <w:t>outcomes</w:t>
      </w:r>
      <w:proofErr w:type="spellEnd"/>
      <w:r w:rsidRPr="002E2ED7">
        <w:rPr>
          <w:rFonts w:ascii="Arial" w:eastAsia="Calibri" w:hAnsi="Arial" w:cs="Arial"/>
          <w:lang w:val="it-IT"/>
        </w:rPr>
        <w:t xml:space="preserve"> after </w:t>
      </w:r>
      <w:proofErr w:type="spellStart"/>
      <w:r w:rsidRPr="002E2ED7">
        <w:rPr>
          <w:rFonts w:ascii="Arial" w:eastAsia="Calibri" w:hAnsi="Arial" w:cs="Arial"/>
          <w:lang w:val="it-IT"/>
        </w:rPr>
        <w:t>total</w:t>
      </w:r>
      <w:proofErr w:type="spellEnd"/>
      <w:r w:rsidRPr="002E2ED7">
        <w:rPr>
          <w:rFonts w:ascii="Arial" w:eastAsia="Calibri" w:hAnsi="Arial" w:cs="Arial"/>
          <w:lang w:val="it-IT"/>
        </w:rPr>
        <w:t xml:space="preserve"> hip </w:t>
      </w:r>
      <w:proofErr w:type="spellStart"/>
      <w:r w:rsidRPr="002E2ED7">
        <w:rPr>
          <w:rFonts w:ascii="Arial" w:eastAsia="Calibri" w:hAnsi="Arial" w:cs="Arial"/>
          <w:lang w:val="it-IT"/>
        </w:rPr>
        <w:t>replacement</w:t>
      </w:r>
      <w:proofErr w:type="spellEnd"/>
      <w:r w:rsidRPr="002E2ED7">
        <w:rPr>
          <w:rFonts w:ascii="Arial" w:eastAsia="Calibri" w:hAnsi="Arial" w:cs="Arial"/>
          <w:lang w:val="it-IT"/>
        </w:rPr>
        <w:t xml:space="preserve"> in </w:t>
      </w:r>
      <w:proofErr w:type="spellStart"/>
      <w:r w:rsidRPr="002E2ED7">
        <w:rPr>
          <w:rFonts w:ascii="Arial" w:eastAsia="Calibri" w:hAnsi="Arial" w:cs="Arial"/>
          <w:lang w:val="it-IT"/>
        </w:rPr>
        <w:t>patients</w:t>
      </w:r>
      <w:proofErr w:type="spellEnd"/>
      <w:r w:rsidRPr="002E2ED7">
        <w:rPr>
          <w:rFonts w:ascii="Arial" w:eastAsia="Calibri" w:hAnsi="Arial" w:cs="Arial"/>
          <w:lang w:val="it-IT"/>
        </w:rPr>
        <w:t xml:space="preserve"> with </w:t>
      </w:r>
      <w:proofErr w:type="spellStart"/>
      <w:r w:rsidRPr="002E2ED7">
        <w:rPr>
          <w:rFonts w:ascii="Arial" w:eastAsia="Calibri" w:hAnsi="Arial" w:cs="Arial"/>
          <w:lang w:val="it-IT"/>
        </w:rPr>
        <w:t>osteoarthritis</w:t>
      </w:r>
      <w:proofErr w:type="spellEnd"/>
      <w:r w:rsidRPr="002E2ED7">
        <w:rPr>
          <w:rFonts w:ascii="Arial" w:eastAsia="Calibri" w:hAnsi="Arial" w:cs="Arial"/>
          <w:lang w:val="it-IT"/>
        </w:rPr>
        <w:t xml:space="preserve">: a </w:t>
      </w:r>
      <w:proofErr w:type="spellStart"/>
      <w:r w:rsidRPr="002E2ED7">
        <w:rPr>
          <w:rFonts w:ascii="Arial" w:eastAsia="Calibri" w:hAnsi="Arial" w:cs="Arial"/>
          <w:lang w:val="it-IT"/>
        </w:rPr>
        <w:t>systematic</w:t>
      </w:r>
      <w:proofErr w:type="spellEnd"/>
      <w:r w:rsidRPr="002E2ED7">
        <w:rPr>
          <w:rFonts w:ascii="Arial" w:eastAsia="Calibri" w:hAnsi="Arial" w:cs="Arial"/>
          <w:lang w:val="it-IT"/>
        </w:rPr>
        <w:t xml:space="preserve"> review. </w:t>
      </w:r>
      <w:r w:rsidRPr="002E2ED7">
        <w:rPr>
          <w:rFonts w:ascii="Arial" w:eastAsia="Calibri" w:hAnsi="Arial" w:cs="Arial"/>
          <w:i/>
          <w:iCs/>
          <w:lang w:val="it-IT"/>
        </w:rPr>
        <w:t xml:space="preserve">BMC </w:t>
      </w:r>
      <w:proofErr w:type="spellStart"/>
      <w:r w:rsidRPr="002E2ED7">
        <w:rPr>
          <w:rFonts w:ascii="Arial" w:eastAsia="Calibri" w:hAnsi="Arial" w:cs="Arial"/>
          <w:i/>
          <w:iCs/>
          <w:lang w:val="it-IT"/>
        </w:rPr>
        <w:t>Musculoskelet</w:t>
      </w:r>
      <w:proofErr w:type="spellEnd"/>
      <w:r w:rsidRPr="002E2ED7">
        <w:rPr>
          <w:rFonts w:ascii="Arial" w:eastAsia="Calibri" w:hAnsi="Arial" w:cs="Arial"/>
          <w:i/>
          <w:iCs/>
          <w:lang w:val="it-IT"/>
        </w:rPr>
        <w:t xml:space="preserve"> </w:t>
      </w:r>
      <w:proofErr w:type="spellStart"/>
      <w:r w:rsidRPr="002E2ED7">
        <w:rPr>
          <w:rFonts w:ascii="Arial" w:eastAsia="Calibri" w:hAnsi="Arial" w:cs="Arial"/>
          <w:i/>
          <w:iCs/>
          <w:lang w:val="it-IT"/>
        </w:rPr>
        <w:t>Disord</w:t>
      </w:r>
      <w:proofErr w:type="spellEnd"/>
      <w:r w:rsidRPr="002E2ED7">
        <w:rPr>
          <w:rFonts w:ascii="Arial" w:eastAsia="Calibri" w:hAnsi="Arial" w:cs="Arial"/>
          <w:lang w:val="it-IT"/>
        </w:rPr>
        <w:t xml:space="preserve">. </w:t>
      </w:r>
      <w:proofErr w:type="gramStart"/>
      <w:r w:rsidRPr="002E2ED7">
        <w:rPr>
          <w:rFonts w:ascii="Arial" w:eastAsia="Calibri" w:hAnsi="Arial" w:cs="Arial"/>
          <w:lang w:val="it-IT"/>
        </w:rPr>
        <w:t>2016;17:212</w:t>
      </w:r>
      <w:proofErr w:type="gramEnd"/>
      <w:r w:rsidRPr="002E2ED7">
        <w:rPr>
          <w:rFonts w:ascii="Arial" w:eastAsia="Calibri" w:hAnsi="Arial" w:cs="Arial"/>
          <w:lang w:val="it-IT"/>
        </w:rPr>
        <w:t xml:space="preserve">. </w:t>
      </w:r>
      <w:proofErr w:type="gramStart"/>
      <w:r w:rsidRPr="002E2ED7">
        <w:rPr>
          <w:rFonts w:ascii="Arial" w:eastAsia="Calibri" w:hAnsi="Arial" w:cs="Arial"/>
          <w:lang w:val="it-IT"/>
        </w:rPr>
        <w:t>doi:10.1186</w:t>
      </w:r>
      <w:proofErr w:type="gramEnd"/>
      <w:r w:rsidRPr="002E2ED7">
        <w:rPr>
          <w:rFonts w:ascii="Arial" w:eastAsia="Calibri" w:hAnsi="Arial" w:cs="Arial"/>
          <w:lang w:val="it-IT"/>
        </w:rPr>
        <w:t>/s12891-016-1070-3</w:t>
      </w:r>
    </w:p>
    <w:p w14:paraId="7649E383" w14:textId="77777777" w:rsidR="002E2ED7" w:rsidRPr="002E2ED7" w:rsidRDefault="002E2ED7" w:rsidP="002E2ED7">
      <w:pPr>
        <w:pStyle w:val="Bibliografia"/>
        <w:rPr>
          <w:rFonts w:ascii="Arial" w:eastAsia="Calibri" w:hAnsi="Arial" w:cs="Arial"/>
          <w:lang w:val="it-IT"/>
        </w:rPr>
      </w:pPr>
      <w:r w:rsidRPr="002E2ED7">
        <w:rPr>
          <w:rFonts w:ascii="Arial" w:eastAsia="Calibri" w:hAnsi="Arial" w:cs="Arial"/>
          <w:lang w:val="it-IT"/>
        </w:rPr>
        <w:t>4.</w:t>
      </w:r>
      <w:r w:rsidRPr="002E2ED7">
        <w:rPr>
          <w:rFonts w:ascii="Arial" w:eastAsia="Calibri" w:hAnsi="Arial" w:cs="Arial"/>
          <w:lang w:val="it-IT"/>
        </w:rPr>
        <w:tab/>
      </w:r>
      <w:proofErr w:type="spellStart"/>
      <w:r w:rsidRPr="002E2ED7">
        <w:rPr>
          <w:rFonts w:ascii="Arial" w:eastAsia="Calibri" w:hAnsi="Arial" w:cs="Arial"/>
          <w:lang w:val="it-IT"/>
        </w:rPr>
        <w:t>Coudeyre</w:t>
      </w:r>
      <w:proofErr w:type="spellEnd"/>
      <w:r w:rsidRPr="002E2ED7">
        <w:rPr>
          <w:rFonts w:ascii="Arial" w:eastAsia="Calibri" w:hAnsi="Arial" w:cs="Arial"/>
          <w:lang w:val="it-IT"/>
        </w:rPr>
        <w:t xml:space="preserve"> E, Jardin C, </w:t>
      </w:r>
      <w:proofErr w:type="spellStart"/>
      <w:r w:rsidRPr="002E2ED7">
        <w:rPr>
          <w:rFonts w:ascii="Arial" w:eastAsia="Calibri" w:hAnsi="Arial" w:cs="Arial"/>
          <w:lang w:val="it-IT"/>
        </w:rPr>
        <w:t>Givron</w:t>
      </w:r>
      <w:proofErr w:type="spellEnd"/>
      <w:r w:rsidRPr="002E2ED7">
        <w:rPr>
          <w:rFonts w:ascii="Arial" w:eastAsia="Calibri" w:hAnsi="Arial" w:cs="Arial"/>
          <w:lang w:val="it-IT"/>
        </w:rPr>
        <w:t xml:space="preserve"> P, </w:t>
      </w:r>
      <w:proofErr w:type="spellStart"/>
      <w:r w:rsidRPr="002E2ED7">
        <w:rPr>
          <w:rFonts w:ascii="Arial" w:eastAsia="Calibri" w:hAnsi="Arial" w:cs="Arial"/>
          <w:lang w:val="it-IT"/>
        </w:rPr>
        <w:t>Ribinik</w:t>
      </w:r>
      <w:proofErr w:type="spellEnd"/>
      <w:r w:rsidRPr="002E2ED7">
        <w:rPr>
          <w:rFonts w:ascii="Arial" w:eastAsia="Calibri" w:hAnsi="Arial" w:cs="Arial"/>
          <w:lang w:val="it-IT"/>
        </w:rPr>
        <w:t xml:space="preserve"> P, Revel M, </w:t>
      </w:r>
      <w:proofErr w:type="spellStart"/>
      <w:r w:rsidRPr="002E2ED7">
        <w:rPr>
          <w:rFonts w:ascii="Arial" w:eastAsia="Calibri" w:hAnsi="Arial" w:cs="Arial"/>
          <w:lang w:val="it-IT"/>
        </w:rPr>
        <w:t>Rannou</w:t>
      </w:r>
      <w:proofErr w:type="spellEnd"/>
      <w:r w:rsidRPr="002E2ED7">
        <w:rPr>
          <w:rFonts w:ascii="Arial" w:eastAsia="Calibri" w:hAnsi="Arial" w:cs="Arial"/>
          <w:lang w:val="it-IT"/>
        </w:rPr>
        <w:t xml:space="preserve"> F. </w:t>
      </w:r>
      <w:proofErr w:type="spellStart"/>
      <w:r w:rsidRPr="002E2ED7">
        <w:rPr>
          <w:rFonts w:ascii="Arial" w:eastAsia="Calibri" w:hAnsi="Arial" w:cs="Arial"/>
          <w:lang w:val="it-IT"/>
        </w:rPr>
        <w:t>Could</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preoperative</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rehabilitation</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modify</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postoperative</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outcomes</w:t>
      </w:r>
      <w:proofErr w:type="spellEnd"/>
      <w:r w:rsidRPr="002E2ED7">
        <w:rPr>
          <w:rFonts w:ascii="Arial" w:eastAsia="Calibri" w:hAnsi="Arial" w:cs="Arial"/>
          <w:lang w:val="it-IT"/>
        </w:rPr>
        <w:t xml:space="preserve"> after </w:t>
      </w:r>
      <w:proofErr w:type="spellStart"/>
      <w:r w:rsidRPr="002E2ED7">
        <w:rPr>
          <w:rFonts w:ascii="Arial" w:eastAsia="Calibri" w:hAnsi="Arial" w:cs="Arial"/>
          <w:lang w:val="it-IT"/>
        </w:rPr>
        <w:t>total</w:t>
      </w:r>
      <w:proofErr w:type="spellEnd"/>
      <w:r w:rsidRPr="002E2ED7">
        <w:rPr>
          <w:rFonts w:ascii="Arial" w:eastAsia="Calibri" w:hAnsi="Arial" w:cs="Arial"/>
          <w:lang w:val="it-IT"/>
        </w:rPr>
        <w:t xml:space="preserve"> hip and </w:t>
      </w:r>
      <w:proofErr w:type="spellStart"/>
      <w:r w:rsidRPr="002E2ED7">
        <w:rPr>
          <w:rFonts w:ascii="Arial" w:eastAsia="Calibri" w:hAnsi="Arial" w:cs="Arial"/>
          <w:lang w:val="it-IT"/>
        </w:rPr>
        <w:t>knee</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arthroplasty</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Elaboration</w:t>
      </w:r>
      <w:proofErr w:type="spellEnd"/>
      <w:r w:rsidRPr="002E2ED7">
        <w:rPr>
          <w:rFonts w:ascii="Arial" w:eastAsia="Calibri" w:hAnsi="Arial" w:cs="Arial"/>
          <w:lang w:val="it-IT"/>
        </w:rPr>
        <w:t xml:space="preserve"> of French clinical practice </w:t>
      </w:r>
      <w:proofErr w:type="spellStart"/>
      <w:r w:rsidRPr="002E2ED7">
        <w:rPr>
          <w:rFonts w:ascii="Arial" w:eastAsia="Calibri" w:hAnsi="Arial" w:cs="Arial"/>
          <w:lang w:val="it-IT"/>
        </w:rPr>
        <w:t>guidelines</w:t>
      </w:r>
      <w:proofErr w:type="spellEnd"/>
      <w:r w:rsidRPr="002E2ED7">
        <w:rPr>
          <w:rFonts w:ascii="Arial" w:eastAsia="Calibri" w:hAnsi="Arial" w:cs="Arial"/>
          <w:lang w:val="it-IT"/>
        </w:rPr>
        <w:t xml:space="preserve">. </w:t>
      </w:r>
      <w:r w:rsidRPr="002E2ED7">
        <w:rPr>
          <w:rFonts w:ascii="Arial" w:eastAsia="Calibri" w:hAnsi="Arial" w:cs="Arial"/>
          <w:i/>
          <w:iCs/>
          <w:lang w:val="it-IT"/>
        </w:rPr>
        <w:t xml:space="preserve">Annales de </w:t>
      </w:r>
      <w:proofErr w:type="spellStart"/>
      <w:r w:rsidRPr="002E2ED7">
        <w:rPr>
          <w:rFonts w:ascii="Arial" w:eastAsia="Calibri" w:hAnsi="Arial" w:cs="Arial"/>
          <w:i/>
          <w:iCs/>
          <w:lang w:val="it-IT"/>
        </w:rPr>
        <w:t>Réadaptation</w:t>
      </w:r>
      <w:proofErr w:type="spellEnd"/>
      <w:r w:rsidRPr="002E2ED7">
        <w:rPr>
          <w:rFonts w:ascii="Arial" w:eastAsia="Calibri" w:hAnsi="Arial" w:cs="Arial"/>
          <w:i/>
          <w:iCs/>
          <w:lang w:val="it-IT"/>
        </w:rPr>
        <w:t xml:space="preserve"> et de </w:t>
      </w:r>
      <w:proofErr w:type="spellStart"/>
      <w:r w:rsidRPr="002E2ED7">
        <w:rPr>
          <w:rFonts w:ascii="Arial" w:eastAsia="Calibri" w:hAnsi="Arial" w:cs="Arial"/>
          <w:i/>
          <w:iCs/>
          <w:lang w:val="it-IT"/>
        </w:rPr>
        <w:t>Médecine</w:t>
      </w:r>
      <w:proofErr w:type="spellEnd"/>
      <w:r w:rsidRPr="002E2ED7">
        <w:rPr>
          <w:rFonts w:ascii="Arial" w:eastAsia="Calibri" w:hAnsi="Arial" w:cs="Arial"/>
          <w:i/>
          <w:iCs/>
          <w:lang w:val="it-IT"/>
        </w:rPr>
        <w:t xml:space="preserve"> Physique</w:t>
      </w:r>
      <w:r w:rsidRPr="002E2ED7">
        <w:rPr>
          <w:rFonts w:ascii="Arial" w:eastAsia="Calibri" w:hAnsi="Arial" w:cs="Arial"/>
          <w:lang w:val="it-IT"/>
        </w:rPr>
        <w:t xml:space="preserve">. 2007;50(3):189-197. </w:t>
      </w:r>
      <w:proofErr w:type="gramStart"/>
      <w:r w:rsidRPr="002E2ED7">
        <w:rPr>
          <w:rFonts w:ascii="Arial" w:eastAsia="Calibri" w:hAnsi="Arial" w:cs="Arial"/>
          <w:lang w:val="it-IT"/>
        </w:rPr>
        <w:t>doi:10.1016/j.annrmp</w:t>
      </w:r>
      <w:proofErr w:type="gramEnd"/>
      <w:r w:rsidRPr="002E2ED7">
        <w:rPr>
          <w:rFonts w:ascii="Arial" w:eastAsia="Calibri" w:hAnsi="Arial" w:cs="Arial"/>
          <w:lang w:val="it-IT"/>
        </w:rPr>
        <w:t>.2007.02.002</w:t>
      </w:r>
    </w:p>
    <w:p w14:paraId="0BAA07DD" w14:textId="77777777" w:rsidR="002E2ED7" w:rsidRPr="002E2ED7" w:rsidRDefault="002E2ED7" w:rsidP="002E2ED7">
      <w:pPr>
        <w:pStyle w:val="Bibliografia"/>
        <w:rPr>
          <w:rFonts w:ascii="Arial" w:eastAsia="Calibri" w:hAnsi="Arial" w:cs="Arial"/>
          <w:lang w:val="it-IT"/>
        </w:rPr>
      </w:pPr>
      <w:r w:rsidRPr="002E2ED7">
        <w:rPr>
          <w:rFonts w:ascii="Arial" w:eastAsia="Calibri" w:hAnsi="Arial" w:cs="Arial"/>
          <w:lang w:val="it-IT"/>
        </w:rPr>
        <w:t>5.</w:t>
      </w:r>
      <w:r w:rsidRPr="002E2ED7">
        <w:rPr>
          <w:rFonts w:ascii="Arial" w:eastAsia="Calibri" w:hAnsi="Arial" w:cs="Arial"/>
          <w:lang w:val="it-IT"/>
        </w:rPr>
        <w:tab/>
        <w:t xml:space="preserve">Rooks DS, Huang J, Bierbaum BE, et al. </w:t>
      </w:r>
      <w:proofErr w:type="spellStart"/>
      <w:r w:rsidRPr="002E2ED7">
        <w:rPr>
          <w:rFonts w:ascii="Arial" w:eastAsia="Calibri" w:hAnsi="Arial" w:cs="Arial"/>
          <w:lang w:val="it-IT"/>
        </w:rPr>
        <w:t>Effect</w:t>
      </w:r>
      <w:proofErr w:type="spellEnd"/>
      <w:r w:rsidRPr="002E2ED7">
        <w:rPr>
          <w:rFonts w:ascii="Arial" w:eastAsia="Calibri" w:hAnsi="Arial" w:cs="Arial"/>
          <w:lang w:val="it-IT"/>
        </w:rPr>
        <w:t xml:space="preserve"> of </w:t>
      </w:r>
      <w:proofErr w:type="spellStart"/>
      <w:r w:rsidRPr="002E2ED7">
        <w:rPr>
          <w:rFonts w:ascii="Arial" w:eastAsia="Calibri" w:hAnsi="Arial" w:cs="Arial"/>
          <w:lang w:val="it-IT"/>
        </w:rPr>
        <w:t>preoperative</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exercise</w:t>
      </w:r>
      <w:proofErr w:type="spellEnd"/>
      <w:r w:rsidRPr="002E2ED7">
        <w:rPr>
          <w:rFonts w:ascii="Arial" w:eastAsia="Calibri" w:hAnsi="Arial" w:cs="Arial"/>
          <w:lang w:val="it-IT"/>
        </w:rPr>
        <w:t xml:space="preserve"> on </w:t>
      </w:r>
      <w:proofErr w:type="spellStart"/>
      <w:r w:rsidRPr="002E2ED7">
        <w:rPr>
          <w:rFonts w:ascii="Arial" w:eastAsia="Calibri" w:hAnsi="Arial" w:cs="Arial"/>
          <w:lang w:val="it-IT"/>
        </w:rPr>
        <w:t>measures</w:t>
      </w:r>
      <w:proofErr w:type="spellEnd"/>
      <w:r w:rsidRPr="002E2ED7">
        <w:rPr>
          <w:rFonts w:ascii="Arial" w:eastAsia="Calibri" w:hAnsi="Arial" w:cs="Arial"/>
          <w:lang w:val="it-IT"/>
        </w:rPr>
        <w:t xml:space="preserve"> of </w:t>
      </w:r>
      <w:proofErr w:type="spellStart"/>
      <w:r w:rsidRPr="002E2ED7">
        <w:rPr>
          <w:rFonts w:ascii="Arial" w:eastAsia="Calibri" w:hAnsi="Arial" w:cs="Arial"/>
          <w:lang w:val="it-IT"/>
        </w:rPr>
        <w:t>functional</w:t>
      </w:r>
      <w:proofErr w:type="spellEnd"/>
      <w:r w:rsidRPr="002E2ED7">
        <w:rPr>
          <w:rFonts w:ascii="Arial" w:eastAsia="Calibri" w:hAnsi="Arial" w:cs="Arial"/>
          <w:lang w:val="it-IT"/>
        </w:rPr>
        <w:t xml:space="preserve"> status in men and women </w:t>
      </w:r>
      <w:proofErr w:type="spellStart"/>
      <w:r w:rsidRPr="002E2ED7">
        <w:rPr>
          <w:rFonts w:ascii="Arial" w:eastAsia="Calibri" w:hAnsi="Arial" w:cs="Arial"/>
          <w:lang w:val="it-IT"/>
        </w:rPr>
        <w:t>undergoing</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total</w:t>
      </w:r>
      <w:proofErr w:type="spellEnd"/>
      <w:r w:rsidRPr="002E2ED7">
        <w:rPr>
          <w:rFonts w:ascii="Arial" w:eastAsia="Calibri" w:hAnsi="Arial" w:cs="Arial"/>
          <w:lang w:val="it-IT"/>
        </w:rPr>
        <w:t xml:space="preserve"> hip and </w:t>
      </w:r>
      <w:proofErr w:type="spellStart"/>
      <w:r w:rsidRPr="002E2ED7">
        <w:rPr>
          <w:rFonts w:ascii="Arial" w:eastAsia="Calibri" w:hAnsi="Arial" w:cs="Arial"/>
          <w:lang w:val="it-IT"/>
        </w:rPr>
        <w:t>knee</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arthroplasty</w:t>
      </w:r>
      <w:proofErr w:type="spellEnd"/>
      <w:r w:rsidRPr="002E2ED7">
        <w:rPr>
          <w:rFonts w:ascii="Arial" w:eastAsia="Calibri" w:hAnsi="Arial" w:cs="Arial"/>
          <w:lang w:val="it-IT"/>
        </w:rPr>
        <w:t xml:space="preserve">. </w:t>
      </w:r>
      <w:proofErr w:type="spellStart"/>
      <w:r w:rsidRPr="002E2ED7">
        <w:rPr>
          <w:rFonts w:ascii="Arial" w:eastAsia="Calibri" w:hAnsi="Arial" w:cs="Arial"/>
          <w:i/>
          <w:iCs/>
          <w:lang w:val="it-IT"/>
        </w:rPr>
        <w:t>Arthritis</w:t>
      </w:r>
      <w:proofErr w:type="spellEnd"/>
      <w:r w:rsidRPr="002E2ED7">
        <w:rPr>
          <w:rFonts w:ascii="Arial" w:eastAsia="Calibri" w:hAnsi="Arial" w:cs="Arial"/>
          <w:i/>
          <w:iCs/>
          <w:lang w:val="it-IT"/>
        </w:rPr>
        <w:t xml:space="preserve"> </w:t>
      </w:r>
      <w:proofErr w:type="spellStart"/>
      <w:r w:rsidRPr="002E2ED7">
        <w:rPr>
          <w:rFonts w:ascii="Arial" w:eastAsia="Calibri" w:hAnsi="Arial" w:cs="Arial"/>
          <w:i/>
          <w:iCs/>
          <w:lang w:val="it-IT"/>
        </w:rPr>
        <w:t>Rheum</w:t>
      </w:r>
      <w:proofErr w:type="spellEnd"/>
      <w:r w:rsidRPr="002E2ED7">
        <w:rPr>
          <w:rFonts w:ascii="Arial" w:eastAsia="Calibri" w:hAnsi="Arial" w:cs="Arial"/>
          <w:lang w:val="it-IT"/>
        </w:rPr>
        <w:t xml:space="preserve">. 2006;55(5):700-708. </w:t>
      </w:r>
      <w:proofErr w:type="gramStart"/>
      <w:r w:rsidRPr="002E2ED7">
        <w:rPr>
          <w:rFonts w:ascii="Arial" w:eastAsia="Calibri" w:hAnsi="Arial" w:cs="Arial"/>
          <w:lang w:val="it-IT"/>
        </w:rPr>
        <w:t>doi:10.1002</w:t>
      </w:r>
      <w:proofErr w:type="gramEnd"/>
      <w:r w:rsidRPr="002E2ED7">
        <w:rPr>
          <w:rFonts w:ascii="Arial" w:eastAsia="Calibri" w:hAnsi="Arial" w:cs="Arial"/>
          <w:lang w:val="it-IT"/>
        </w:rPr>
        <w:t>/art.22223</w:t>
      </w:r>
    </w:p>
    <w:p w14:paraId="14FC52B9" w14:textId="77777777" w:rsidR="002E2ED7" w:rsidRPr="002E2ED7" w:rsidRDefault="002E2ED7" w:rsidP="002E2ED7">
      <w:pPr>
        <w:pStyle w:val="Bibliografia"/>
        <w:rPr>
          <w:rFonts w:ascii="Arial" w:eastAsia="Calibri" w:hAnsi="Arial" w:cs="Arial"/>
          <w:lang w:val="it-IT"/>
        </w:rPr>
      </w:pPr>
      <w:r w:rsidRPr="002E2ED7">
        <w:rPr>
          <w:rFonts w:ascii="Arial" w:eastAsia="Calibri" w:hAnsi="Arial" w:cs="Arial"/>
          <w:lang w:val="it-IT"/>
        </w:rPr>
        <w:t>6.</w:t>
      </w:r>
      <w:r w:rsidRPr="002E2ED7">
        <w:rPr>
          <w:rFonts w:ascii="Arial" w:eastAsia="Calibri" w:hAnsi="Arial" w:cs="Arial"/>
          <w:lang w:val="it-IT"/>
        </w:rPr>
        <w:tab/>
        <w:t xml:space="preserve">Snow R, Granata J, Ruhil AVS, Vogel K, McShane M, Wasielewski R. </w:t>
      </w:r>
      <w:proofErr w:type="spellStart"/>
      <w:r w:rsidRPr="002E2ED7">
        <w:rPr>
          <w:rFonts w:ascii="Arial" w:eastAsia="Calibri" w:hAnsi="Arial" w:cs="Arial"/>
          <w:lang w:val="it-IT"/>
        </w:rPr>
        <w:t>Associations</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between</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preoperative</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physical</w:t>
      </w:r>
      <w:proofErr w:type="spellEnd"/>
      <w:r w:rsidRPr="002E2ED7">
        <w:rPr>
          <w:rFonts w:ascii="Arial" w:eastAsia="Calibri" w:hAnsi="Arial" w:cs="Arial"/>
          <w:lang w:val="it-IT"/>
        </w:rPr>
        <w:t xml:space="preserve"> therapy and post-acute care </w:t>
      </w:r>
      <w:proofErr w:type="spellStart"/>
      <w:r w:rsidRPr="002E2ED7">
        <w:rPr>
          <w:rFonts w:ascii="Arial" w:eastAsia="Calibri" w:hAnsi="Arial" w:cs="Arial"/>
          <w:lang w:val="it-IT"/>
        </w:rPr>
        <w:t>utilization</w:t>
      </w:r>
      <w:proofErr w:type="spellEnd"/>
      <w:r w:rsidRPr="002E2ED7">
        <w:rPr>
          <w:rFonts w:ascii="Arial" w:eastAsia="Calibri" w:hAnsi="Arial" w:cs="Arial"/>
          <w:lang w:val="it-IT"/>
        </w:rPr>
        <w:t xml:space="preserve"> patterns and </w:t>
      </w:r>
      <w:r w:rsidRPr="002E2ED7">
        <w:rPr>
          <w:rFonts w:ascii="Arial" w:eastAsia="Calibri" w:hAnsi="Arial" w:cs="Arial"/>
          <w:lang w:val="it-IT"/>
        </w:rPr>
        <w:lastRenderedPageBreak/>
        <w:t xml:space="preserve">cost in </w:t>
      </w:r>
      <w:proofErr w:type="spellStart"/>
      <w:r w:rsidRPr="002E2ED7">
        <w:rPr>
          <w:rFonts w:ascii="Arial" w:eastAsia="Calibri" w:hAnsi="Arial" w:cs="Arial"/>
          <w:lang w:val="it-IT"/>
        </w:rPr>
        <w:t>total</w:t>
      </w:r>
      <w:proofErr w:type="spellEnd"/>
      <w:r w:rsidRPr="002E2ED7">
        <w:rPr>
          <w:rFonts w:ascii="Arial" w:eastAsia="Calibri" w:hAnsi="Arial" w:cs="Arial"/>
          <w:lang w:val="it-IT"/>
        </w:rPr>
        <w:t xml:space="preserve"> joint </w:t>
      </w:r>
      <w:proofErr w:type="spellStart"/>
      <w:r w:rsidRPr="002E2ED7">
        <w:rPr>
          <w:rFonts w:ascii="Arial" w:eastAsia="Calibri" w:hAnsi="Arial" w:cs="Arial"/>
          <w:lang w:val="it-IT"/>
        </w:rPr>
        <w:t>replacement</w:t>
      </w:r>
      <w:proofErr w:type="spellEnd"/>
      <w:r w:rsidRPr="002E2ED7">
        <w:rPr>
          <w:rFonts w:ascii="Arial" w:eastAsia="Calibri" w:hAnsi="Arial" w:cs="Arial"/>
          <w:lang w:val="it-IT"/>
        </w:rPr>
        <w:t xml:space="preserve">. </w:t>
      </w:r>
      <w:r w:rsidRPr="002E2ED7">
        <w:rPr>
          <w:rFonts w:ascii="Arial" w:eastAsia="Calibri" w:hAnsi="Arial" w:cs="Arial"/>
          <w:i/>
          <w:iCs/>
          <w:lang w:val="it-IT"/>
        </w:rPr>
        <w:t xml:space="preserve">J Bone Joint </w:t>
      </w:r>
      <w:proofErr w:type="spellStart"/>
      <w:r w:rsidRPr="002E2ED7">
        <w:rPr>
          <w:rFonts w:ascii="Arial" w:eastAsia="Calibri" w:hAnsi="Arial" w:cs="Arial"/>
          <w:i/>
          <w:iCs/>
          <w:lang w:val="it-IT"/>
        </w:rPr>
        <w:t>Surg</w:t>
      </w:r>
      <w:proofErr w:type="spellEnd"/>
      <w:r w:rsidRPr="002E2ED7">
        <w:rPr>
          <w:rFonts w:ascii="Arial" w:eastAsia="Calibri" w:hAnsi="Arial" w:cs="Arial"/>
          <w:i/>
          <w:iCs/>
          <w:lang w:val="it-IT"/>
        </w:rPr>
        <w:t xml:space="preserve"> </w:t>
      </w:r>
      <w:proofErr w:type="spellStart"/>
      <w:r w:rsidRPr="002E2ED7">
        <w:rPr>
          <w:rFonts w:ascii="Arial" w:eastAsia="Calibri" w:hAnsi="Arial" w:cs="Arial"/>
          <w:i/>
          <w:iCs/>
          <w:lang w:val="it-IT"/>
        </w:rPr>
        <w:t>Am</w:t>
      </w:r>
      <w:proofErr w:type="spellEnd"/>
      <w:r w:rsidRPr="002E2ED7">
        <w:rPr>
          <w:rFonts w:ascii="Arial" w:eastAsia="Calibri" w:hAnsi="Arial" w:cs="Arial"/>
          <w:lang w:val="it-IT"/>
        </w:rPr>
        <w:t>. 2014;96(19</w:t>
      </w:r>
      <w:proofErr w:type="gramStart"/>
      <w:r w:rsidRPr="002E2ED7">
        <w:rPr>
          <w:rFonts w:ascii="Arial" w:eastAsia="Calibri" w:hAnsi="Arial" w:cs="Arial"/>
          <w:lang w:val="it-IT"/>
        </w:rPr>
        <w:t>):e</w:t>
      </w:r>
      <w:proofErr w:type="gramEnd"/>
      <w:r w:rsidRPr="002E2ED7">
        <w:rPr>
          <w:rFonts w:ascii="Arial" w:eastAsia="Calibri" w:hAnsi="Arial" w:cs="Arial"/>
          <w:lang w:val="it-IT"/>
        </w:rPr>
        <w:t xml:space="preserve">165. </w:t>
      </w:r>
      <w:proofErr w:type="gramStart"/>
      <w:r w:rsidRPr="002E2ED7">
        <w:rPr>
          <w:rFonts w:ascii="Arial" w:eastAsia="Calibri" w:hAnsi="Arial" w:cs="Arial"/>
          <w:lang w:val="it-IT"/>
        </w:rPr>
        <w:t>doi:10.2106</w:t>
      </w:r>
      <w:proofErr w:type="gramEnd"/>
      <w:r w:rsidRPr="002E2ED7">
        <w:rPr>
          <w:rFonts w:ascii="Arial" w:eastAsia="Calibri" w:hAnsi="Arial" w:cs="Arial"/>
          <w:lang w:val="it-IT"/>
        </w:rPr>
        <w:t>/JBJS.M.01285</w:t>
      </w:r>
    </w:p>
    <w:p w14:paraId="2EFE47D8" w14:textId="77777777" w:rsidR="002E2ED7" w:rsidRPr="002E2ED7" w:rsidRDefault="002E2ED7" w:rsidP="002E2ED7">
      <w:pPr>
        <w:pStyle w:val="Bibliografia"/>
        <w:rPr>
          <w:rFonts w:ascii="Arial" w:eastAsia="Calibri" w:hAnsi="Arial" w:cs="Arial"/>
          <w:lang w:val="it-IT"/>
        </w:rPr>
      </w:pPr>
      <w:r w:rsidRPr="002E2ED7">
        <w:rPr>
          <w:rFonts w:ascii="Arial" w:eastAsia="Calibri" w:hAnsi="Arial" w:cs="Arial"/>
          <w:lang w:val="it-IT"/>
        </w:rPr>
        <w:t>7.</w:t>
      </w:r>
      <w:r w:rsidRPr="002E2ED7">
        <w:rPr>
          <w:rFonts w:ascii="Arial" w:eastAsia="Calibri" w:hAnsi="Arial" w:cs="Arial"/>
          <w:lang w:val="it-IT"/>
        </w:rPr>
        <w:tab/>
      </w:r>
      <w:proofErr w:type="spellStart"/>
      <w:r w:rsidRPr="002E2ED7">
        <w:rPr>
          <w:rFonts w:ascii="Arial" w:eastAsia="Calibri" w:hAnsi="Arial" w:cs="Arial"/>
          <w:lang w:val="it-IT"/>
        </w:rPr>
        <w:t>Konnyu</w:t>
      </w:r>
      <w:proofErr w:type="spellEnd"/>
      <w:r w:rsidRPr="002E2ED7">
        <w:rPr>
          <w:rFonts w:ascii="Arial" w:eastAsia="Calibri" w:hAnsi="Arial" w:cs="Arial"/>
          <w:lang w:val="it-IT"/>
        </w:rPr>
        <w:t xml:space="preserve"> KJ, Thoma LM, Cao W, et al. </w:t>
      </w:r>
      <w:proofErr w:type="spellStart"/>
      <w:r w:rsidRPr="002E2ED7">
        <w:rPr>
          <w:rFonts w:ascii="Arial" w:eastAsia="Calibri" w:hAnsi="Arial" w:cs="Arial"/>
          <w:lang w:val="it-IT"/>
        </w:rPr>
        <w:t>Prehabilitation</w:t>
      </w:r>
      <w:proofErr w:type="spellEnd"/>
      <w:r w:rsidRPr="002E2ED7">
        <w:rPr>
          <w:rFonts w:ascii="Arial" w:eastAsia="Calibri" w:hAnsi="Arial" w:cs="Arial"/>
          <w:lang w:val="it-IT"/>
        </w:rPr>
        <w:t xml:space="preserve"> for Total Knee or Total Hip </w:t>
      </w:r>
      <w:proofErr w:type="spellStart"/>
      <w:r w:rsidRPr="002E2ED7">
        <w:rPr>
          <w:rFonts w:ascii="Arial" w:eastAsia="Calibri" w:hAnsi="Arial" w:cs="Arial"/>
          <w:lang w:val="it-IT"/>
        </w:rPr>
        <w:t>Arthroplasty</w:t>
      </w:r>
      <w:proofErr w:type="spellEnd"/>
      <w:r w:rsidRPr="002E2ED7">
        <w:rPr>
          <w:rFonts w:ascii="Arial" w:eastAsia="Calibri" w:hAnsi="Arial" w:cs="Arial"/>
          <w:lang w:val="it-IT"/>
        </w:rPr>
        <w:t xml:space="preserve">: A </w:t>
      </w:r>
      <w:proofErr w:type="spellStart"/>
      <w:r w:rsidRPr="002E2ED7">
        <w:rPr>
          <w:rFonts w:ascii="Arial" w:eastAsia="Calibri" w:hAnsi="Arial" w:cs="Arial"/>
          <w:lang w:val="it-IT"/>
        </w:rPr>
        <w:t>Systematic</w:t>
      </w:r>
      <w:proofErr w:type="spellEnd"/>
      <w:r w:rsidRPr="002E2ED7">
        <w:rPr>
          <w:rFonts w:ascii="Arial" w:eastAsia="Calibri" w:hAnsi="Arial" w:cs="Arial"/>
          <w:lang w:val="it-IT"/>
        </w:rPr>
        <w:t xml:space="preserve"> Review. </w:t>
      </w:r>
      <w:proofErr w:type="spellStart"/>
      <w:r w:rsidRPr="002E2ED7">
        <w:rPr>
          <w:rFonts w:ascii="Arial" w:eastAsia="Calibri" w:hAnsi="Arial" w:cs="Arial"/>
          <w:i/>
          <w:iCs/>
          <w:lang w:val="it-IT"/>
        </w:rPr>
        <w:t>Am</w:t>
      </w:r>
      <w:proofErr w:type="spellEnd"/>
      <w:r w:rsidRPr="002E2ED7">
        <w:rPr>
          <w:rFonts w:ascii="Arial" w:eastAsia="Calibri" w:hAnsi="Arial" w:cs="Arial"/>
          <w:i/>
          <w:iCs/>
          <w:lang w:val="it-IT"/>
        </w:rPr>
        <w:t xml:space="preserve"> J </w:t>
      </w:r>
      <w:proofErr w:type="spellStart"/>
      <w:r w:rsidRPr="002E2ED7">
        <w:rPr>
          <w:rFonts w:ascii="Arial" w:eastAsia="Calibri" w:hAnsi="Arial" w:cs="Arial"/>
          <w:i/>
          <w:iCs/>
          <w:lang w:val="it-IT"/>
        </w:rPr>
        <w:t>Phys</w:t>
      </w:r>
      <w:proofErr w:type="spellEnd"/>
      <w:r w:rsidRPr="002E2ED7">
        <w:rPr>
          <w:rFonts w:ascii="Arial" w:eastAsia="Calibri" w:hAnsi="Arial" w:cs="Arial"/>
          <w:i/>
          <w:iCs/>
          <w:lang w:val="it-IT"/>
        </w:rPr>
        <w:t xml:space="preserve"> </w:t>
      </w:r>
      <w:proofErr w:type="spellStart"/>
      <w:r w:rsidRPr="002E2ED7">
        <w:rPr>
          <w:rFonts w:ascii="Arial" w:eastAsia="Calibri" w:hAnsi="Arial" w:cs="Arial"/>
          <w:i/>
          <w:iCs/>
          <w:lang w:val="it-IT"/>
        </w:rPr>
        <w:t>Med</w:t>
      </w:r>
      <w:proofErr w:type="spellEnd"/>
      <w:r w:rsidRPr="002E2ED7">
        <w:rPr>
          <w:rFonts w:ascii="Arial" w:eastAsia="Calibri" w:hAnsi="Arial" w:cs="Arial"/>
          <w:i/>
          <w:iCs/>
          <w:lang w:val="it-IT"/>
        </w:rPr>
        <w:t xml:space="preserve"> </w:t>
      </w:r>
      <w:proofErr w:type="spellStart"/>
      <w:r w:rsidRPr="002E2ED7">
        <w:rPr>
          <w:rFonts w:ascii="Arial" w:eastAsia="Calibri" w:hAnsi="Arial" w:cs="Arial"/>
          <w:i/>
          <w:iCs/>
          <w:lang w:val="it-IT"/>
        </w:rPr>
        <w:t>Rehabil</w:t>
      </w:r>
      <w:proofErr w:type="spellEnd"/>
      <w:r w:rsidRPr="002E2ED7">
        <w:rPr>
          <w:rFonts w:ascii="Arial" w:eastAsia="Calibri" w:hAnsi="Arial" w:cs="Arial"/>
          <w:lang w:val="it-IT"/>
        </w:rPr>
        <w:t xml:space="preserve">. 2023;102(1):1-10. </w:t>
      </w:r>
      <w:proofErr w:type="gramStart"/>
      <w:r w:rsidRPr="002E2ED7">
        <w:rPr>
          <w:rFonts w:ascii="Arial" w:eastAsia="Calibri" w:hAnsi="Arial" w:cs="Arial"/>
          <w:lang w:val="it-IT"/>
        </w:rPr>
        <w:t>doi:10.1097</w:t>
      </w:r>
      <w:proofErr w:type="gramEnd"/>
      <w:r w:rsidRPr="002E2ED7">
        <w:rPr>
          <w:rFonts w:ascii="Arial" w:eastAsia="Calibri" w:hAnsi="Arial" w:cs="Arial"/>
          <w:lang w:val="it-IT"/>
        </w:rPr>
        <w:t>/PHM.0000000000002006</w:t>
      </w:r>
    </w:p>
    <w:p w14:paraId="6C16EBA1" w14:textId="77777777" w:rsidR="002E2ED7" w:rsidRPr="002E2ED7" w:rsidRDefault="002E2ED7" w:rsidP="002E2ED7">
      <w:pPr>
        <w:pStyle w:val="Bibliografia"/>
        <w:rPr>
          <w:rFonts w:ascii="Arial" w:eastAsia="Calibri" w:hAnsi="Arial" w:cs="Arial"/>
          <w:lang w:val="it-IT"/>
        </w:rPr>
      </w:pPr>
      <w:r w:rsidRPr="002E2ED7">
        <w:rPr>
          <w:rFonts w:ascii="Arial" w:eastAsia="Calibri" w:hAnsi="Arial" w:cs="Arial"/>
          <w:lang w:val="it-IT"/>
        </w:rPr>
        <w:t>8.</w:t>
      </w:r>
      <w:r w:rsidRPr="002E2ED7">
        <w:rPr>
          <w:rFonts w:ascii="Arial" w:eastAsia="Calibri" w:hAnsi="Arial" w:cs="Arial"/>
          <w:lang w:val="it-IT"/>
        </w:rPr>
        <w:tab/>
        <w:t xml:space="preserve">De Klerk TC, </w:t>
      </w:r>
      <w:proofErr w:type="spellStart"/>
      <w:r w:rsidRPr="002E2ED7">
        <w:rPr>
          <w:rFonts w:ascii="Arial" w:eastAsia="Calibri" w:hAnsi="Arial" w:cs="Arial"/>
          <w:lang w:val="it-IT"/>
        </w:rPr>
        <w:t>Dounavi</w:t>
      </w:r>
      <w:proofErr w:type="spellEnd"/>
      <w:r w:rsidRPr="002E2ED7">
        <w:rPr>
          <w:rFonts w:ascii="Arial" w:eastAsia="Calibri" w:hAnsi="Arial" w:cs="Arial"/>
          <w:lang w:val="it-IT"/>
        </w:rPr>
        <w:t xml:space="preserve"> DM, Hamilton DF, Clement ND, </w:t>
      </w:r>
      <w:proofErr w:type="spellStart"/>
      <w:r w:rsidRPr="002E2ED7">
        <w:rPr>
          <w:rFonts w:ascii="Arial" w:eastAsia="Calibri" w:hAnsi="Arial" w:cs="Arial"/>
          <w:lang w:val="it-IT"/>
        </w:rPr>
        <w:t>Kaliarntas</w:t>
      </w:r>
      <w:proofErr w:type="spellEnd"/>
      <w:r w:rsidRPr="002E2ED7">
        <w:rPr>
          <w:rFonts w:ascii="Arial" w:eastAsia="Calibri" w:hAnsi="Arial" w:cs="Arial"/>
          <w:lang w:val="it-IT"/>
        </w:rPr>
        <w:t xml:space="preserve"> KT. </w:t>
      </w:r>
      <w:proofErr w:type="spellStart"/>
      <w:r w:rsidRPr="002E2ED7">
        <w:rPr>
          <w:rFonts w:ascii="Arial" w:eastAsia="Calibri" w:hAnsi="Arial" w:cs="Arial"/>
          <w:lang w:val="it-IT"/>
        </w:rPr>
        <w:t>Effects</w:t>
      </w:r>
      <w:proofErr w:type="spellEnd"/>
      <w:r w:rsidRPr="002E2ED7">
        <w:rPr>
          <w:rFonts w:ascii="Arial" w:eastAsia="Calibri" w:hAnsi="Arial" w:cs="Arial"/>
          <w:lang w:val="it-IT"/>
        </w:rPr>
        <w:t xml:space="preserve"> of home-</w:t>
      </w:r>
      <w:proofErr w:type="spellStart"/>
      <w:r w:rsidRPr="002E2ED7">
        <w:rPr>
          <w:rFonts w:ascii="Arial" w:eastAsia="Calibri" w:hAnsi="Arial" w:cs="Arial"/>
          <w:lang w:val="it-IT"/>
        </w:rPr>
        <w:t>based</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prehabilitation</w:t>
      </w:r>
      <w:proofErr w:type="spellEnd"/>
      <w:r w:rsidRPr="002E2ED7">
        <w:rPr>
          <w:rFonts w:ascii="Arial" w:eastAsia="Calibri" w:hAnsi="Arial" w:cs="Arial"/>
          <w:lang w:val="it-IT"/>
        </w:rPr>
        <w:t xml:space="preserve"> on </w:t>
      </w:r>
      <w:proofErr w:type="spellStart"/>
      <w:r w:rsidRPr="002E2ED7">
        <w:rPr>
          <w:rFonts w:ascii="Arial" w:eastAsia="Calibri" w:hAnsi="Arial" w:cs="Arial"/>
          <w:lang w:val="it-IT"/>
        </w:rPr>
        <w:t>pre</w:t>
      </w:r>
      <w:proofErr w:type="spellEnd"/>
      <w:r w:rsidRPr="002E2ED7">
        <w:rPr>
          <w:rFonts w:ascii="Arial" w:eastAsia="Calibri" w:hAnsi="Arial" w:cs="Arial"/>
          <w:lang w:val="it-IT"/>
        </w:rPr>
        <w:t xml:space="preserve">- and </w:t>
      </w:r>
      <w:proofErr w:type="spellStart"/>
      <w:r w:rsidRPr="002E2ED7">
        <w:rPr>
          <w:rFonts w:ascii="Arial" w:eastAsia="Calibri" w:hAnsi="Arial" w:cs="Arial"/>
          <w:lang w:val="it-IT"/>
        </w:rPr>
        <w:t>postoperative</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outcomes</w:t>
      </w:r>
      <w:proofErr w:type="spellEnd"/>
      <w:r w:rsidRPr="002E2ED7">
        <w:rPr>
          <w:rFonts w:ascii="Arial" w:eastAsia="Calibri" w:hAnsi="Arial" w:cs="Arial"/>
          <w:lang w:val="it-IT"/>
        </w:rPr>
        <w:t xml:space="preserve"> following </w:t>
      </w:r>
      <w:proofErr w:type="spellStart"/>
      <w:r w:rsidRPr="002E2ED7">
        <w:rPr>
          <w:rFonts w:ascii="Arial" w:eastAsia="Calibri" w:hAnsi="Arial" w:cs="Arial"/>
          <w:lang w:val="it-IT"/>
        </w:rPr>
        <w:t>total</w:t>
      </w:r>
      <w:proofErr w:type="spellEnd"/>
      <w:r w:rsidRPr="002E2ED7">
        <w:rPr>
          <w:rFonts w:ascii="Arial" w:eastAsia="Calibri" w:hAnsi="Arial" w:cs="Arial"/>
          <w:lang w:val="it-IT"/>
        </w:rPr>
        <w:t xml:space="preserve"> hip and </w:t>
      </w:r>
      <w:proofErr w:type="spellStart"/>
      <w:r w:rsidRPr="002E2ED7">
        <w:rPr>
          <w:rFonts w:ascii="Arial" w:eastAsia="Calibri" w:hAnsi="Arial" w:cs="Arial"/>
          <w:lang w:val="it-IT"/>
        </w:rPr>
        <w:t>knee</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arthroplasty</w:t>
      </w:r>
      <w:proofErr w:type="spellEnd"/>
      <w:r w:rsidRPr="002E2ED7">
        <w:rPr>
          <w:rFonts w:ascii="Arial" w:eastAsia="Calibri" w:hAnsi="Arial" w:cs="Arial"/>
          <w:lang w:val="it-IT"/>
        </w:rPr>
        <w:t xml:space="preserve">. </w:t>
      </w:r>
      <w:r w:rsidRPr="002E2ED7">
        <w:rPr>
          <w:rFonts w:ascii="Arial" w:eastAsia="Calibri" w:hAnsi="Arial" w:cs="Arial"/>
          <w:i/>
          <w:iCs/>
          <w:lang w:val="it-IT"/>
        </w:rPr>
        <w:t xml:space="preserve">Bone </w:t>
      </w:r>
      <w:proofErr w:type="spellStart"/>
      <w:r w:rsidRPr="002E2ED7">
        <w:rPr>
          <w:rFonts w:ascii="Arial" w:eastAsia="Calibri" w:hAnsi="Arial" w:cs="Arial"/>
          <w:i/>
          <w:iCs/>
          <w:lang w:val="it-IT"/>
        </w:rPr>
        <w:t>Jt</w:t>
      </w:r>
      <w:proofErr w:type="spellEnd"/>
      <w:r w:rsidRPr="002E2ED7">
        <w:rPr>
          <w:rFonts w:ascii="Arial" w:eastAsia="Calibri" w:hAnsi="Arial" w:cs="Arial"/>
          <w:i/>
          <w:iCs/>
          <w:lang w:val="it-IT"/>
        </w:rPr>
        <w:t xml:space="preserve"> Open</w:t>
      </w:r>
      <w:r w:rsidRPr="002E2ED7">
        <w:rPr>
          <w:rFonts w:ascii="Arial" w:eastAsia="Calibri" w:hAnsi="Arial" w:cs="Arial"/>
          <w:lang w:val="it-IT"/>
        </w:rPr>
        <w:t xml:space="preserve">. 2023;4(5):315-328. </w:t>
      </w:r>
      <w:proofErr w:type="gramStart"/>
      <w:r w:rsidRPr="002E2ED7">
        <w:rPr>
          <w:rFonts w:ascii="Arial" w:eastAsia="Calibri" w:hAnsi="Arial" w:cs="Arial"/>
          <w:lang w:val="it-IT"/>
        </w:rPr>
        <w:t>doi:10.1302/2633-1462.45.BJO</w:t>
      </w:r>
      <w:proofErr w:type="gramEnd"/>
      <w:r w:rsidRPr="002E2ED7">
        <w:rPr>
          <w:rFonts w:ascii="Arial" w:eastAsia="Calibri" w:hAnsi="Arial" w:cs="Arial"/>
          <w:lang w:val="it-IT"/>
        </w:rPr>
        <w:t>-2023-0021</w:t>
      </w:r>
    </w:p>
    <w:p w14:paraId="465A683D" w14:textId="77777777" w:rsidR="002E2ED7" w:rsidRPr="002E2ED7" w:rsidRDefault="002E2ED7" w:rsidP="002E2ED7">
      <w:pPr>
        <w:pStyle w:val="Bibliografia"/>
        <w:rPr>
          <w:rFonts w:ascii="Arial" w:eastAsia="Calibri" w:hAnsi="Arial" w:cs="Arial"/>
          <w:lang w:val="it-IT"/>
        </w:rPr>
      </w:pPr>
      <w:r w:rsidRPr="002E2ED7">
        <w:rPr>
          <w:rFonts w:ascii="Arial" w:eastAsia="Calibri" w:hAnsi="Arial" w:cs="Arial"/>
          <w:lang w:val="it-IT"/>
        </w:rPr>
        <w:t>9.</w:t>
      </w:r>
      <w:r w:rsidRPr="002E2ED7">
        <w:rPr>
          <w:rFonts w:ascii="Arial" w:eastAsia="Calibri" w:hAnsi="Arial" w:cs="Arial"/>
          <w:lang w:val="it-IT"/>
        </w:rPr>
        <w:tab/>
        <w:t xml:space="preserve">Desmeules F, Hall J, Woodhouse LJ. </w:t>
      </w:r>
      <w:proofErr w:type="spellStart"/>
      <w:r w:rsidRPr="002E2ED7">
        <w:rPr>
          <w:rFonts w:ascii="Arial" w:eastAsia="Calibri" w:hAnsi="Arial" w:cs="Arial"/>
          <w:lang w:val="it-IT"/>
        </w:rPr>
        <w:t>Prehabilitation</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Improves</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Physical</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Function</w:t>
      </w:r>
      <w:proofErr w:type="spellEnd"/>
      <w:r w:rsidRPr="002E2ED7">
        <w:rPr>
          <w:rFonts w:ascii="Arial" w:eastAsia="Calibri" w:hAnsi="Arial" w:cs="Arial"/>
          <w:lang w:val="it-IT"/>
        </w:rPr>
        <w:t xml:space="preserve"> of </w:t>
      </w:r>
      <w:proofErr w:type="spellStart"/>
      <w:r w:rsidRPr="002E2ED7">
        <w:rPr>
          <w:rFonts w:ascii="Arial" w:eastAsia="Calibri" w:hAnsi="Arial" w:cs="Arial"/>
          <w:lang w:val="it-IT"/>
        </w:rPr>
        <w:t>Individuals</w:t>
      </w:r>
      <w:proofErr w:type="spellEnd"/>
      <w:r w:rsidRPr="002E2ED7">
        <w:rPr>
          <w:rFonts w:ascii="Arial" w:eastAsia="Calibri" w:hAnsi="Arial" w:cs="Arial"/>
          <w:lang w:val="it-IT"/>
        </w:rPr>
        <w:t xml:space="preserve"> with Severe </w:t>
      </w:r>
      <w:proofErr w:type="spellStart"/>
      <w:r w:rsidRPr="002E2ED7">
        <w:rPr>
          <w:rFonts w:ascii="Arial" w:eastAsia="Calibri" w:hAnsi="Arial" w:cs="Arial"/>
          <w:lang w:val="it-IT"/>
        </w:rPr>
        <w:t>Disability</w:t>
      </w:r>
      <w:proofErr w:type="spellEnd"/>
      <w:r w:rsidRPr="002E2ED7">
        <w:rPr>
          <w:rFonts w:ascii="Arial" w:eastAsia="Calibri" w:hAnsi="Arial" w:cs="Arial"/>
          <w:lang w:val="it-IT"/>
        </w:rPr>
        <w:t xml:space="preserve"> from Hip or Knee </w:t>
      </w:r>
      <w:proofErr w:type="spellStart"/>
      <w:r w:rsidRPr="002E2ED7">
        <w:rPr>
          <w:rFonts w:ascii="Arial" w:eastAsia="Calibri" w:hAnsi="Arial" w:cs="Arial"/>
          <w:lang w:val="it-IT"/>
        </w:rPr>
        <w:t>Osteoarthritis</w:t>
      </w:r>
      <w:proofErr w:type="spellEnd"/>
      <w:r w:rsidRPr="002E2ED7">
        <w:rPr>
          <w:rFonts w:ascii="Arial" w:eastAsia="Calibri" w:hAnsi="Arial" w:cs="Arial"/>
          <w:lang w:val="it-IT"/>
        </w:rPr>
        <w:t xml:space="preserve">. </w:t>
      </w:r>
      <w:proofErr w:type="spellStart"/>
      <w:r w:rsidRPr="002E2ED7">
        <w:rPr>
          <w:rFonts w:ascii="Arial" w:eastAsia="Calibri" w:hAnsi="Arial" w:cs="Arial"/>
          <w:i/>
          <w:iCs/>
          <w:lang w:val="it-IT"/>
        </w:rPr>
        <w:t>Physiother</w:t>
      </w:r>
      <w:proofErr w:type="spellEnd"/>
      <w:r w:rsidRPr="002E2ED7">
        <w:rPr>
          <w:rFonts w:ascii="Arial" w:eastAsia="Calibri" w:hAnsi="Arial" w:cs="Arial"/>
          <w:i/>
          <w:iCs/>
          <w:lang w:val="it-IT"/>
        </w:rPr>
        <w:t xml:space="preserve"> Can</w:t>
      </w:r>
      <w:r w:rsidRPr="002E2ED7">
        <w:rPr>
          <w:rFonts w:ascii="Arial" w:eastAsia="Calibri" w:hAnsi="Arial" w:cs="Arial"/>
          <w:lang w:val="it-IT"/>
        </w:rPr>
        <w:t xml:space="preserve">. 2013;65(2):116-124. </w:t>
      </w:r>
      <w:proofErr w:type="gramStart"/>
      <w:r w:rsidRPr="002E2ED7">
        <w:rPr>
          <w:rFonts w:ascii="Arial" w:eastAsia="Calibri" w:hAnsi="Arial" w:cs="Arial"/>
          <w:lang w:val="it-IT"/>
        </w:rPr>
        <w:t>doi:10.3138</w:t>
      </w:r>
      <w:proofErr w:type="gramEnd"/>
      <w:r w:rsidRPr="002E2ED7">
        <w:rPr>
          <w:rFonts w:ascii="Arial" w:eastAsia="Calibri" w:hAnsi="Arial" w:cs="Arial"/>
          <w:lang w:val="it-IT"/>
        </w:rPr>
        <w:t>/ptc.2011-60</w:t>
      </w:r>
    </w:p>
    <w:p w14:paraId="155DC374" w14:textId="77777777" w:rsidR="002E2ED7" w:rsidRPr="002E2ED7" w:rsidRDefault="002E2ED7" w:rsidP="002E2ED7">
      <w:pPr>
        <w:pStyle w:val="Bibliografia"/>
        <w:rPr>
          <w:rFonts w:ascii="Arial" w:eastAsia="Calibri" w:hAnsi="Arial" w:cs="Arial"/>
          <w:lang w:val="it-IT"/>
        </w:rPr>
      </w:pPr>
      <w:r w:rsidRPr="002E2ED7">
        <w:rPr>
          <w:rFonts w:ascii="Arial" w:eastAsia="Calibri" w:hAnsi="Arial" w:cs="Arial"/>
          <w:lang w:val="it-IT"/>
        </w:rPr>
        <w:t>10.</w:t>
      </w:r>
      <w:r w:rsidRPr="002E2ED7">
        <w:rPr>
          <w:rFonts w:ascii="Arial" w:eastAsia="Calibri" w:hAnsi="Arial" w:cs="Arial"/>
          <w:lang w:val="it-IT"/>
        </w:rPr>
        <w:tab/>
        <w:t xml:space="preserve">Saw MM, Kruger-Jakins T, </w:t>
      </w:r>
      <w:proofErr w:type="spellStart"/>
      <w:r w:rsidRPr="002E2ED7">
        <w:rPr>
          <w:rFonts w:ascii="Arial" w:eastAsia="Calibri" w:hAnsi="Arial" w:cs="Arial"/>
          <w:lang w:val="it-IT"/>
        </w:rPr>
        <w:t>Edries</w:t>
      </w:r>
      <w:proofErr w:type="spellEnd"/>
      <w:r w:rsidRPr="002E2ED7">
        <w:rPr>
          <w:rFonts w:ascii="Arial" w:eastAsia="Calibri" w:hAnsi="Arial" w:cs="Arial"/>
          <w:lang w:val="it-IT"/>
        </w:rPr>
        <w:t xml:space="preserve"> N, Parker R. </w:t>
      </w:r>
      <w:proofErr w:type="spellStart"/>
      <w:r w:rsidRPr="002E2ED7">
        <w:rPr>
          <w:rFonts w:ascii="Arial" w:eastAsia="Calibri" w:hAnsi="Arial" w:cs="Arial"/>
          <w:lang w:val="it-IT"/>
        </w:rPr>
        <w:t>Significant</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improvements</w:t>
      </w:r>
      <w:proofErr w:type="spellEnd"/>
      <w:r w:rsidRPr="002E2ED7">
        <w:rPr>
          <w:rFonts w:ascii="Arial" w:eastAsia="Calibri" w:hAnsi="Arial" w:cs="Arial"/>
          <w:lang w:val="it-IT"/>
        </w:rPr>
        <w:t xml:space="preserve"> in </w:t>
      </w:r>
      <w:proofErr w:type="spellStart"/>
      <w:r w:rsidRPr="002E2ED7">
        <w:rPr>
          <w:rFonts w:ascii="Arial" w:eastAsia="Calibri" w:hAnsi="Arial" w:cs="Arial"/>
          <w:lang w:val="it-IT"/>
        </w:rPr>
        <w:t>pain</w:t>
      </w:r>
      <w:proofErr w:type="spellEnd"/>
      <w:r w:rsidRPr="002E2ED7">
        <w:rPr>
          <w:rFonts w:ascii="Arial" w:eastAsia="Calibri" w:hAnsi="Arial" w:cs="Arial"/>
          <w:lang w:val="it-IT"/>
        </w:rPr>
        <w:t xml:space="preserve"> after a </w:t>
      </w:r>
      <w:proofErr w:type="spellStart"/>
      <w:r w:rsidRPr="002E2ED7">
        <w:rPr>
          <w:rFonts w:ascii="Arial" w:eastAsia="Calibri" w:hAnsi="Arial" w:cs="Arial"/>
          <w:lang w:val="it-IT"/>
        </w:rPr>
        <w:t>six</w:t>
      </w:r>
      <w:proofErr w:type="spellEnd"/>
      <w:r w:rsidRPr="002E2ED7">
        <w:rPr>
          <w:rFonts w:ascii="Arial" w:eastAsia="Calibri" w:hAnsi="Arial" w:cs="Arial"/>
          <w:lang w:val="it-IT"/>
        </w:rPr>
        <w:t xml:space="preserve">-week </w:t>
      </w:r>
      <w:proofErr w:type="spellStart"/>
      <w:r w:rsidRPr="002E2ED7">
        <w:rPr>
          <w:rFonts w:ascii="Arial" w:eastAsia="Calibri" w:hAnsi="Arial" w:cs="Arial"/>
          <w:lang w:val="it-IT"/>
        </w:rPr>
        <w:t>physiotherapist</w:t>
      </w:r>
      <w:proofErr w:type="spellEnd"/>
      <w:r w:rsidRPr="002E2ED7">
        <w:rPr>
          <w:rFonts w:ascii="Arial" w:eastAsia="Calibri" w:hAnsi="Arial" w:cs="Arial"/>
          <w:lang w:val="it-IT"/>
        </w:rPr>
        <w:t xml:space="preserve">-led </w:t>
      </w:r>
      <w:proofErr w:type="spellStart"/>
      <w:r w:rsidRPr="002E2ED7">
        <w:rPr>
          <w:rFonts w:ascii="Arial" w:eastAsia="Calibri" w:hAnsi="Arial" w:cs="Arial"/>
          <w:lang w:val="it-IT"/>
        </w:rPr>
        <w:t>exercise</w:t>
      </w:r>
      <w:proofErr w:type="spellEnd"/>
      <w:r w:rsidRPr="002E2ED7">
        <w:rPr>
          <w:rFonts w:ascii="Arial" w:eastAsia="Calibri" w:hAnsi="Arial" w:cs="Arial"/>
          <w:lang w:val="it-IT"/>
        </w:rPr>
        <w:t xml:space="preserve"> and </w:t>
      </w:r>
      <w:proofErr w:type="spellStart"/>
      <w:r w:rsidRPr="002E2ED7">
        <w:rPr>
          <w:rFonts w:ascii="Arial" w:eastAsia="Calibri" w:hAnsi="Arial" w:cs="Arial"/>
          <w:lang w:val="it-IT"/>
        </w:rPr>
        <w:t>education</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intervention</w:t>
      </w:r>
      <w:proofErr w:type="spellEnd"/>
      <w:r w:rsidRPr="002E2ED7">
        <w:rPr>
          <w:rFonts w:ascii="Arial" w:eastAsia="Calibri" w:hAnsi="Arial" w:cs="Arial"/>
          <w:lang w:val="it-IT"/>
        </w:rPr>
        <w:t xml:space="preserve">, in </w:t>
      </w:r>
      <w:proofErr w:type="spellStart"/>
      <w:r w:rsidRPr="002E2ED7">
        <w:rPr>
          <w:rFonts w:ascii="Arial" w:eastAsia="Calibri" w:hAnsi="Arial" w:cs="Arial"/>
          <w:lang w:val="it-IT"/>
        </w:rPr>
        <w:t>patients</w:t>
      </w:r>
      <w:proofErr w:type="spellEnd"/>
      <w:r w:rsidRPr="002E2ED7">
        <w:rPr>
          <w:rFonts w:ascii="Arial" w:eastAsia="Calibri" w:hAnsi="Arial" w:cs="Arial"/>
          <w:lang w:val="it-IT"/>
        </w:rPr>
        <w:t xml:space="preserve"> with </w:t>
      </w:r>
      <w:proofErr w:type="spellStart"/>
      <w:r w:rsidRPr="002E2ED7">
        <w:rPr>
          <w:rFonts w:ascii="Arial" w:eastAsia="Calibri" w:hAnsi="Arial" w:cs="Arial"/>
          <w:lang w:val="it-IT"/>
        </w:rPr>
        <w:t>osteoarthritis</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awaiting</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arthroplasty</w:t>
      </w:r>
      <w:proofErr w:type="spellEnd"/>
      <w:r w:rsidRPr="002E2ED7">
        <w:rPr>
          <w:rFonts w:ascii="Arial" w:eastAsia="Calibri" w:hAnsi="Arial" w:cs="Arial"/>
          <w:lang w:val="it-IT"/>
        </w:rPr>
        <w:t xml:space="preserve">, in South Africa: a </w:t>
      </w:r>
      <w:proofErr w:type="spellStart"/>
      <w:r w:rsidRPr="002E2ED7">
        <w:rPr>
          <w:rFonts w:ascii="Arial" w:eastAsia="Calibri" w:hAnsi="Arial" w:cs="Arial"/>
          <w:lang w:val="it-IT"/>
        </w:rPr>
        <w:t>randomised</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controlled</w:t>
      </w:r>
      <w:proofErr w:type="spellEnd"/>
      <w:r w:rsidRPr="002E2ED7">
        <w:rPr>
          <w:rFonts w:ascii="Arial" w:eastAsia="Calibri" w:hAnsi="Arial" w:cs="Arial"/>
          <w:lang w:val="it-IT"/>
        </w:rPr>
        <w:t xml:space="preserve"> trial. </w:t>
      </w:r>
      <w:r w:rsidRPr="002E2ED7">
        <w:rPr>
          <w:rFonts w:ascii="Arial" w:eastAsia="Calibri" w:hAnsi="Arial" w:cs="Arial"/>
          <w:i/>
          <w:iCs/>
          <w:lang w:val="it-IT"/>
        </w:rPr>
        <w:t xml:space="preserve">BMC </w:t>
      </w:r>
      <w:proofErr w:type="spellStart"/>
      <w:r w:rsidRPr="002E2ED7">
        <w:rPr>
          <w:rFonts w:ascii="Arial" w:eastAsia="Calibri" w:hAnsi="Arial" w:cs="Arial"/>
          <w:i/>
          <w:iCs/>
          <w:lang w:val="it-IT"/>
        </w:rPr>
        <w:t>Musculoskelet</w:t>
      </w:r>
      <w:proofErr w:type="spellEnd"/>
      <w:r w:rsidRPr="002E2ED7">
        <w:rPr>
          <w:rFonts w:ascii="Arial" w:eastAsia="Calibri" w:hAnsi="Arial" w:cs="Arial"/>
          <w:i/>
          <w:iCs/>
          <w:lang w:val="it-IT"/>
        </w:rPr>
        <w:t xml:space="preserve"> </w:t>
      </w:r>
      <w:proofErr w:type="spellStart"/>
      <w:r w:rsidRPr="002E2ED7">
        <w:rPr>
          <w:rFonts w:ascii="Arial" w:eastAsia="Calibri" w:hAnsi="Arial" w:cs="Arial"/>
          <w:i/>
          <w:iCs/>
          <w:lang w:val="it-IT"/>
        </w:rPr>
        <w:t>Disord</w:t>
      </w:r>
      <w:proofErr w:type="spellEnd"/>
      <w:r w:rsidRPr="002E2ED7">
        <w:rPr>
          <w:rFonts w:ascii="Arial" w:eastAsia="Calibri" w:hAnsi="Arial" w:cs="Arial"/>
          <w:lang w:val="it-IT"/>
        </w:rPr>
        <w:t xml:space="preserve">. </w:t>
      </w:r>
      <w:proofErr w:type="gramStart"/>
      <w:r w:rsidRPr="002E2ED7">
        <w:rPr>
          <w:rFonts w:ascii="Arial" w:eastAsia="Calibri" w:hAnsi="Arial" w:cs="Arial"/>
          <w:lang w:val="it-IT"/>
        </w:rPr>
        <w:t>2016;17:236</w:t>
      </w:r>
      <w:proofErr w:type="gramEnd"/>
      <w:r w:rsidRPr="002E2ED7">
        <w:rPr>
          <w:rFonts w:ascii="Arial" w:eastAsia="Calibri" w:hAnsi="Arial" w:cs="Arial"/>
          <w:lang w:val="it-IT"/>
        </w:rPr>
        <w:t xml:space="preserve">. </w:t>
      </w:r>
      <w:proofErr w:type="gramStart"/>
      <w:r w:rsidRPr="002E2ED7">
        <w:rPr>
          <w:rFonts w:ascii="Arial" w:eastAsia="Calibri" w:hAnsi="Arial" w:cs="Arial"/>
          <w:lang w:val="it-IT"/>
        </w:rPr>
        <w:t>doi:10.1186</w:t>
      </w:r>
      <w:proofErr w:type="gramEnd"/>
      <w:r w:rsidRPr="002E2ED7">
        <w:rPr>
          <w:rFonts w:ascii="Arial" w:eastAsia="Calibri" w:hAnsi="Arial" w:cs="Arial"/>
          <w:lang w:val="it-IT"/>
        </w:rPr>
        <w:t>/s12891-016-1088-6</w:t>
      </w:r>
    </w:p>
    <w:p w14:paraId="49200412" w14:textId="77777777" w:rsidR="002E2ED7" w:rsidRPr="002E2ED7" w:rsidRDefault="002E2ED7" w:rsidP="002E2ED7">
      <w:pPr>
        <w:pStyle w:val="Bibliografia"/>
        <w:rPr>
          <w:rFonts w:ascii="Arial" w:eastAsia="Calibri" w:hAnsi="Arial" w:cs="Arial"/>
          <w:lang w:val="it-IT"/>
        </w:rPr>
      </w:pPr>
      <w:r w:rsidRPr="002E2ED7">
        <w:rPr>
          <w:rFonts w:ascii="Arial" w:eastAsia="Calibri" w:hAnsi="Arial" w:cs="Arial"/>
          <w:lang w:val="it-IT"/>
        </w:rPr>
        <w:t>11.</w:t>
      </w:r>
      <w:r w:rsidRPr="002E2ED7">
        <w:rPr>
          <w:rFonts w:ascii="Arial" w:eastAsia="Calibri" w:hAnsi="Arial" w:cs="Arial"/>
          <w:lang w:val="it-IT"/>
        </w:rPr>
        <w:tab/>
        <w:t xml:space="preserve">van </w:t>
      </w:r>
      <w:proofErr w:type="spellStart"/>
      <w:r w:rsidRPr="002E2ED7">
        <w:rPr>
          <w:rFonts w:ascii="Arial" w:eastAsia="Calibri" w:hAnsi="Arial" w:cs="Arial"/>
          <w:lang w:val="it-IT"/>
        </w:rPr>
        <w:t>der</w:t>
      </w:r>
      <w:proofErr w:type="spellEnd"/>
      <w:r w:rsidRPr="002E2ED7">
        <w:rPr>
          <w:rFonts w:ascii="Arial" w:eastAsia="Calibri" w:hAnsi="Arial" w:cs="Arial"/>
          <w:lang w:val="it-IT"/>
        </w:rPr>
        <w:t xml:space="preserve"> Velde M, van </w:t>
      </w:r>
      <w:proofErr w:type="spellStart"/>
      <w:r w:rsidRPr="002E2ED7">
        <w:rPr>
          <w:rFonts w:ascii="Arial" w:eastAsia="Calibri" w:hAnsi="Arial" w:cs="Arial"/>
          <w:lang w:val="it-IT"/>
        </w:rPr>
        <w:t>der</w:t>
      </w:r>
      <w:proofErr w:type="spellEnd"/>
      <w:r w:rsidRPr="002E2ED7">
        <w:rPr>
          <w:rFonts w:ascii="Arial" w:eastAsia="Calibri" w:hAnsi="Arial" w:cs="Arial"/>
          <w:lang w:val="it-IT"/>
        </w:rPr>
        <w:t xml:space="preserve"> Leeden M, </w:t>
      </w:r>
      <w:proofErr w:type="spellStart"/>
      <w:r w:rsidRPr="002E2ED7">
        <w:rPr>
          <w:rFonts w:ascii="Arial" w:eastAsia="Calibri" w:hAnsi="Arial" w:cs="Arial"/>
          <w:lang w:val="it-IT"/>
        </w:rPr>
        <w:t>Geleijn</w:t>
      </w:r>
      <w:proofErr w:type="spellEnd"/>
      <w:r w:rsidRPr="002E2ED7">
        <w:rPr>
          <w:rFonts w:ascii="Arial" w:eastAsia="Calibri" w:hAnsi="Arial" w:cs="Arial"/>
          <w:lang w:val="it-IT"/>
        </w:rPr>
        <w:t xml:space="preserve"> E, </w:t>
      </w:r>
      <w:proofErr w:type="spellStart"/>
      <w:r w:rsidRPr="002E2ED7">
        <w:rPr>
          <w:rFonts w:ascii="Arial" w:eastAsia="Calibri" w:hAnsi="Arial" w:cs="Arial"/>
          <w:lang w:val="it-IT"/>
        </w:rPr>
        <w:t>Veenhof</w:t>
      </w:r>
      <w:proofErr w:type="spellEnd"/>
      <w:r w:rsidRPr="002E2ED7">
        <w:rPr>
          <w:rFonts w:ascii="Arial" w:eastAsia="Calibri" w:hAnsi="Arial" w:cs="Arial"/>
          <w:lang w:val="it-IT"/>
        </w:rPr>
        <w:t xml:space="preserve"> C, </w:t>
      </w:r>
      <w:proofErr w:type="spellStart"/>
      <w:r w:rsidRPr="002E2ED7">
        <w:rPr>
          <w:rFonts w:ascii="Arial" w:eastAsia="Calibri" w:hAnsi="Arial" w:cs="Arial"/>
          <w:lang w:val="it-IT"/>
        </w:rPr>
        <w:t>Valkenet</w:t>
      </w:r>
      <w:proofErr w:type="spellEnd"/>
      <w:r w:rsidRPr="002E2ED7">
        <w:rPr>
          <w:rFonts w:ascii="Arial" w:eastAsia="Calibri" w:hAnsi="Arial" w:cs="Arial"/>
          <w:lang w:val="it-IT"/>
        </w:rPr>
        <w:t xml:space="preserve"> K. </w:t>
      </w:r>
      <w:proofErr w:type="spellStart"/>
      <w:r w:rsidRPr="002E2ED7">
        <w:rPr>
          <w:rFonts w:ascii="Arial" w:eastAsia="Calibri" w:hAnsi="Arial" w:cs="Arial"/>
          <w:lang w:val="it-IT"/>
        </w:rPr>
        <w:t>What</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moves</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patients</w:t>
      </w:r>
      <w:proofErr w:type="spellEnd"/>
      <w:r w:rsidRPr="002E2ED7">
        <w:rPr>
          <w:rFonts w:ascii="Arial" w:eastAsia="Calibri" w:hAnsi="Arial" w:cs="Arial"/>
          <w:lang w:val="it-IT"/>
        </w:rPr>
        <w:t xml:space="preserve"> to participate in </w:t>
      </w:r>
      <w:proofErr w:type="spellStart"/>
      <w:r w:rsidRPr="002E2ED7">
        <w:rPr>
          <w:rFonts w:ascii="Arial" w:eastAsia="Calibri" w:hAnsi="Arial" w:cs="Arial"/>
          <w:lang w:val="it-IT"/>
        </w:rPr>
        <w:t>prehabilitation</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before</w:t>
      </w:r>
      <w:proofErr w:type="spellEnd"/>
      <w:r w:rsidRPr="002E2ED7">
        <w:rPr>
          <w:rFonts w:ascii="Arial" w:eastAsia="Calibri" w:hAnsi="Arial" w:cs="Arial"/>
          <w:lang w:val="it-IT"/>
        </w:rPr>
        <w:t xml:space="preserve"> major surgery? A mixed </w:t>
      </w:r>
      <w:proofErr w:type="spellStart"/>
      <w:r w:rsidRPr="002E2ED7">
        <w:rPr>
          <w:rFonts w:ascii="Arial" w:eastAsia="Calibri" w:hAnsi="Arial" w:cs="Arial"/>
          <w:lang w:val="it-IT"/>
        </w:rPr>
        <w:t>methods</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systematic</w:t>
      </w:r>
      <w:proofErr w:type="spellEnd"/>
      <w:r w:rsidRPr="002E2ED7">
        <w:rPr>
          <w:rFonts w:ascii="Arial" w:eastAsia="Calibri" w:hAnsi="Arial" w:cs="Arial"/>
          <w:lang w:val="it-IT"/>
        </w:rPr>
        <w:t xml:space="preserve"> review. </w:t>
      </w:r>
      <w:r w:rsidRPr="002E2ED7">
        <w:rPr>
          <w:rFonts w:ascii="Arial" w:eastAsia="Calibri" w:hAnsi="Arial" w:cs="Arial"/>
          <w:i/>
          <w:iCs/>
          <w:lang w:val="it-IT"/>
        </w:rPr>
        <w:t xml:space="preserve">Int J </w:t>
      </w:r>
      <w:proofErr w:type="spellStart"/>
      <w:r w:rsidRPr="002E2ED7">
        <w:rPr>
          <w:rFonts w:ascii="Arial" w:eastAsia="Calibri" w:hAnsi="Arial" w:cs="Arial"/>
          <w:i/>
          <w:iCs/>
          <w:lang w:val="it-IT"/>
        </w:rPr>
        <w:t>Behav</w:t>
      </w:r>
      <w:proofErr w:type="spellEnd"/>
      <w:r w:rsidRPr="002E2ED7">
        <w:rPr>
          <w:rFonts w:ascii="Arial" w:eastAsia="Calibri" w:hAnsi="Arial" w:cs="Arial"/>
          <w:i/>
          <w:iCs/>
          <w:lang w:val="it-IT"/>
        </w:rPr>
        <w:t xml:space="preserve"> </w:t>
      </w:r>
      <w:proofErr w:type="spellStart"/>
      <w:r w:rsidRPr="002E2ED7">
        <w:rPr>
          <w:rFonts w:ascii="Arial" w:eastAsia="Calibri" w:hAnsi="Arial" w:cs="Arial"/>
          <w:i/>
          <w:iCs/>
          <w:lang w:val="it-IT"/>
        </w:rPr>
        <w:t>Nutr</w:t>
      </w:r>
      <w:proofErr w:type="spellEnd"/>
      <w:r w:rsidRPr="002E2ED7">
        <w:rPr>
          <w:rFonts w:ascii="Arial" w:eastAsia="Calibri" w:hAnsi="Arial" w:cs="Arial"/>
          <w:i/>
          <w:iCs/>
          <w:lang w:val="it-IT"/>
        </w:rPr>
        <w:t xml:space="preserve"> Phys Act</w:t>
      </w:r>
      <w:r w:rsidRPr="002E2ED7">
        <w:rPr>
          <w:rFonts w:ascii="Arial" w:eastAsia="Calibri" w:hAnsi="Arial" w:cs="Arial"/>
          <w:lang w:val="it-IT"/>
        </w:rPr>
        <w:t xml:space="preserve">. 2023;20(1):75. </w:t>
      </w:r>
      <w:proofErr w:type="gramStart"/>
      <w:r w:rsidRPr="002E2ED7">
        <w:rPr>
          <w:rFonts w:ascii="Arial" w:eastAsia="Calibri" w:hAnsi="Arial" w:cs="Arial"/>
          <w:lang w:val="it-IT"/>
        </w:rPr>
        <w:t>doi:10.1186</w:t>
      </w:r>
      <w:proofErr w:type="gramEnd"/>
      <w:r w:rsidRPr="002E2ED7">
        <w:rPr>
          <w:rFonts w:ascii="Arial" w:eastAsia="Calibri" w:hAnsi="Arial" w:cs="Arial"/>
          <w:lang w:val="it-IT"/>
        </w:rPr>
        <w:t>/s12966-023-01474-6</w:t>
      </w:r>
    </w:p>
    <w:p w14:paraId="6C48F297" w14:textId="77777777" w:rsidR="002E2ED7" w:rsidRPr="002E2ED7" w:rsidRDefault="002E2ED7" w:rsidP="002E2ED7">
      <w:pPr>
        <w:pStyle w:val="Bibliografia"/>
        <w:rPr>
          <w:rFonts w:ascii="Arial" w:eastAsia="Calibri" w:hAnsi="Arial" w:cs="Arial"/>
          <w:lang w:val="it-IT"/>
        </w:rPr>
      </w:pPr>
      <w:r w:rsidRPr="002E2ED7">
        <w:rPr>
          <w:rFonts w:ascii="Arial" w:eastAsia="Calibri" w:hAnsi="Arial" w:cs="Arial"/>
          <w:lang w:val="it-IT"/>
        </w:rPr>
        <w:t>12.</w:t>
      </w:r>
      <w:r w:rsidRPr="002E2ED7">
        <w:rPr>
          <w:rFonts w:ascii="Arial" w:eastAsia="Calibri" w:hAnsi="Arial" w:cs="Arial"/>
          <w:lang w:val="it-IT"/>
        </w:rPr>
        <w:tab/>
        <w:t xml:space="preserve">Chughtai M, Shah NV, Sultan AA, et al. The </w:t>
      </w:r>
      <w:proofErr w:type="spellStart"/>
      <w:r w:rsidRPr="002E2ED7">
        <w:rPr>
          <w:rFonts w:ascii="Arial" w:eastAsia="Calibri" w:hAnsi="Arial" w:cs="Arial"/>
          <w:lang w:val="it-IT"/>
        </w:rPr>
        <w:t>role</w:t>
      </w:r>
      <w:proofErr w:type="spellEnd"/>
      <w:r w:rsidRPr="002E2ED7">
        <w:rPr>
          <w:rFonts w:ascii="Arial" w:eastAsia="Calibri" w:hAnsi="Arial" w:cs="Arial"/>
          <w:lang w:val="it-IT"/>
        </w:rPr>
        <w:t xml:space="preserve"> of </w:t>
      </w:r>
      <w:proofErr w:type="spellStart"/>
      <w:r w:rsidRPr="002E2ED7">
        <w:rPr>
          <w:rFonts w:ascii="Arial" w:eastAsia="Calibri" w:hAnsi="Arial" w:cs="Arial"/>
          <w:lang w:val="it-IT"/>
        </w:rPr>
        <w:t>prehabilitation</w:t>
      </w:r>
      <w:proofErr w:type="spellEnd"/>
      <w:r w:rsidRPr="002E2ED7">
        <w:rPr>
          <w:rFonts w:ascii="Arial" w:eastAsia="Calibri" w:hAnsi="Arial" w:cs="Arial"/>
          <w:lang w:val="it-IT"/>
        </w:rPr>
        <w:t xml:space="preserve"> with a </w:t>
      </w:r>
      <w:proofErr w:type="spellStart"/>
      <w:r w:rsidRPr="002E2ED7">
        <w:rPr>
          <w:rFonts w:ascii="Arial" w:eastAsia="Calibri" w:hAnsi="Arial" w:cs="Arial"/>
          <w:lang w:val="it-IT"/>
        </w:rPr>
        <w:t>telerehabilitation</w:t>
      </w:r>
      <w:proofErr w:type="spellEnd"/>
      <w:r w:rsidRPr="002E2ED7">
        <w:rPr>
          <w:rFonts w:ascii="Arial" w:eastAsia="Calibri" w:hAnsi="Arial" w:cs="Arial"/>
          <w:lang w:val="it-IT"/>
        </w:rPr>
        <w:t xml:space="preserve"> system </w:t>
      </w:r>
      <w:proofErr w:type="spellStart"/>
      <w:r w:rsidRPr="002E2ED7">
        <w:rPr>
          <w:rFonts w:ascii="Arial" w:eastAsia="Calibri" w:hAnsi="Arial" w:cs="Arial"/>
          <w:lang w:val="it-IT"/>
        </w:rPr>
        <w:t>prior</w:t>
      </w:r>
      <w:proofErr w:type="spellEnd"/>
      <w:r w:rsidRPr="002E2ED7">
        <w:rPr>
          <w:rFonts w:ascii="Arial" w:eastAsia="Calibri" w:hAnsi="Arial" w:cs="Arial"/>
          <w:lang w:val="it-IT"/>
        </w:rPr>
        <w:t xml:space="preserve"> to </w:t>
      </w:r>
      <w:proofErr w:type="spellStart"/>
      <w:r w:rsidRPr="002E2ED7">
        <w:rPr>
          <w:rFonts w:ascii="Arial" w:eastAsia="Calibri" w:hAnsi="Arial" w:cs="Arial"/>
          <w:lang w:val="it-IT"/>
        </w:rPr>
        <w:t>total</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knee</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arthroplasty</w:t>
      </w:r>
      <w:proofErr w:type="spellEnd"/>
      <w:r w:rsidRPr="002E2ED7">
        <w:rPr>
          <w:rFonts w:ascii="Arial" w:eastAsia="Calibri" w:hAnsi="Arial" w:cs="Arial"/>
          <w:lang w:val="it-IT"/>
        </w:rPr>
        <w:t xml:space="preserve">. </w:t>
      </w:r>
      <w:proofErr w:type="spellStart"/>
      <w:r w:rsidRPr="002E2ED7">
        <w:rPr>
          <w:rFonts w:ascii="Arial" w:eastAsia="Calibri" w:hAnsi="Arial" w:cs="Arial"/>
          <w:i/>
          <w:iCs/>
          <w:lang w:val="it-IT"/>
        </w:rPr>
        <w:t>Annals</w:t>
      </w:r>
      <w:proofErr w:type="spellEnd"/>
      <w:r w:rsidRPr="002E2ED7">
        <w:rPr>
          <w:rFonts w:ascii="Arial" w:eastAsia="Calibri" w:hAnsi="Arial" w:cs="Arial"/>
          <w:i/>
          <w:iCs/>
          <w:lang w:val="it-IT"/>
        </w:rPr>
        <w:t xml:space="preserve"> of </w:t>
      </w:r>
      <w:proofErr w:type="spellStart"/>
      <w:r w:rsidRPr="002E2ED7">
        <w:rPr>
          <w:rFonts w:ascii="Arial" w:eastAsia="Calibri" w:hAnsi="Arial" w:cs="Arial"/>
          <w:i/>
          <w:iCs/>
          <w:lang w:val="it-IT"/>
        </w:rPr>
        <w:t>Translational</w:t>
      </w:r>
      <w:proofErr w:type="spellEnd"/>
      <w:r w:rsidRPr="002E2ED7">
        <w:rPr>
          <w:rFonts w:ascii="Arial" w:eastAsia="Calibri" w:hAnsi="Arial" w:cs="Arial"/>
          <w:i/>
          <w:iCs/>
          <w:lang w:val="it-IT"/>
        </w:rPr>
        <w:t xml:space="preserve"> Medicine</w:t>
      </w:r>
      <w:r w:rsidRPr="002E2ED7">
        <w:rPr>
          <w:rFonts w:ascii="Arial" w:eastAsia="Calibri" w:hAnsi="Arial" w:cs="Arial"/>
          <w:lang w:val="it-IT"/>
        </w:rPr>
        <w:t>. 2019;7(4):68-68. doi:10.21037/atm.2018.11.27</w:t>
      </w:r>
    </w:p>
    <w:p w14:paraId="458F72B5" w14:textId="77777777" w:rsidR="002E2ED7" w:rsidRPr="002E2ED7" w:rsidRDefault="002E2ED7" w:rsidP="002E2ED7">
      <w:pPr>
        <w:pStyle w:val="Bibliografia"/>
        <w:rPr>
          <w:rFonts w:ascii="Arial" w:eastAsia="Calibri" w:hAnsi="Arial" w:cs="Arial"/>
          <w:lang w:val="it-IT"/>
        </w:rPr>
      </w:pPr>
      <w:r w:rsidRPr="002E2ED7">
        <w:rPr>
          <w:rFonts w:ascii="Arial" w:eastAsia="Calibri" w:hAnsi="Arial" w:cs="Arial"/>
          <w:lang w:val="it-IT"/>
        </w:rPr>
        <w:t>13.</w:t>
      </w:r>
      <w:r w:rsidRPr="002E2ED7">
        <w:rPr>
          <w:rFonts w:ascii="Arial" w:eastAsia="Calibri" w:hAnsi="Arial" w:cs="Arial"/>
          <w:lang w:val="it-IT"/>
        </w:rPr>
        <w:tab/>
        <w:t xml:space="preserve">Walls RJ, McHugh G, O’Gorman DJ, Moyna NM, O’Byrne JM. </w:t>
      </w:r>
      <w:proofErr w:type="spellStart"/>
      <w:r w:rsidRPr="002E2ED7">
        <w:rPr>
          <w:rFonts w:ascii="Arial" w:eastAsia="Calibri" w:hAnsi="Arial" w:cs="Arial"/>
          <w:lang w:val="it-IT"/>
        </w:rPr>
        <w:t>Effects</w:t>
      </w:r>
      <w:proofErr w:type="spellEnd"/>
      <w:r w:rsidRPr="002E2ED7">
        <w:rPr>
          <w:rFonts w:ascii="Arial" w:eastAsia="Calibri" w:hAnsi="Arial" w:cs="Arial"/>
          <w:lang w:val="it-IT"/>
        </w:rPr>
        <w:t xml:space="preserve"> of </w:t>
      </w:r>
      <w:proofErr w:type="spellStart"/>
      <w:r w:rsidRPr="002E2ED7">
        <w:rPr>
          <w:rFonts w:ascii="Arial" w:eastAsia="Calibri" w:hAnsi="Arial" w:cs="Arial"/>
          <w:lang w:val="it-IT"/>
        </w:rPr>
        <w:t>preoperative</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neuromuscular</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electrical</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stimulation</w:t>
      </w:r>
      <w:proofErr w:type="spellEnd"/>
      <w:r w:rsidRPr="002E2ED7">
        <w:rPr>
          <w:rFonts w:ascii="Arial" w:eastAsia="Calibri" w:hAnsi="Arial" w:cs="Arial"/>
          <w:lang w:val="it-IT"/>
        </w:rPr>
        <w:t xml:space="preserve"> on </w:t>
      </w:r>
      <w:proofErr w:type="spellStart"/>
      <w:r w:rsidRPr="002E2ED7">
        <w:rPr>
          <w:rFonts w:ascii="Arial" w:eastAsia="Calibri" w:hAnsi="Arial" w:cs="Arial"/>
          <w:lang w:val="it-IT"/>
        </w:rPr>
        <w:t>quadriceps</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strength</w:t>
      </w:r>
      <w:proofErr w:type="spellEnd"/>
      <w:r w:rsidRPr="002E2ED7">
        <w:rPr>
          <w:rFonts w:ascii="Arial" w:eastAsia="Calibri" w:hAnsi="Arial" w:cs="Arial"/>
          <w:lang w:val="it-IT"/>
        </w:rPr>
        <w:t xml:space="preserve"> and </w:t>
      </w:r>
      <w:proofErr w:type="spellStart"/>
      <w:r w:rsidRPr="002E2ED7">
        <w:rPr>
          <w:rFonts w:ascii="Arial" w:eastAsia="Calibri" w:hAnsi="Arial" w:cs="Arial"/>
          <w:lang w:val="it-IT"/>
        </w:rPr>
        <w:t>functional</w:t>
      </w:r>
      <w:proofErr w:type="spellEnd"/>
      <w:r w:rsidRPr="002E2ED7">
        <w:rPr>
          <w:rFonts w:ascii="Arial" w:eastAsia="Calibri" w:hAnsi="Arial" w:cs="Arial"/>
          <w:lang w:val="it-IT"/>
        </w:rPr>
        <w:t xml:space="preserve"> recovery in </w:t>
      </w:r>
      <w:proofErr w:type="spellStart"/>
      <w:r w:rsidRPr="002E2ED7">
        <w:rPr>
          <w:rFonts w:ascii="Arial" w:eastAsia="Calibri" w:hAnsi="Arial" w:cs="Arial"/>
          <w:lang w:val="it-IT"/>
        </w:rPr>
        <w:t>total</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knee</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arthroplasty</w:t>
      </w:r>
      <w:proofErr w:type="spellEnd"/>
      <w:r w:rsidRPr="002E2ED7">
        <w:rPr>
          <w:rFonts w:ascii="Arial" w:eastAsia="Calibri" w:hAnsi="Arial" w:cs="Arial"/>
          <w:lang w:val="it-IT"/>
        </w:rPr>
        <w:t xml:space="preserve">. A pilot study. </w:t>
      </w:r>
      <w:r w:rsidRPr="002E2ED7">
        <w:rPr>
          <w:rFonts w:ascii="Arial" w:eastAsia="Calibri" w:hAnsi="Arial" w:cs="Arial"/>
          <w:i/>
          <w:iCs/>
          <w:lang w:val="it-IT"/>
        </w:rPr>
        <w:t xml:space="preserve">BMC </w:t>
      </w:r>
      <w:proofErr w:type="spellStart"/>
      <w:r w:rsidRPr="002E2ED7">
        <w:rPr>
          <w:rFonts w:ascii="Arial" w:eastAsia="Calibri" w:hAnsi="Arial" w:cs="Arial"/>
          <w:i/>
          <w:iCs/>
          <w:lang w:val="it-IT"/>
        </w:rPr>
        <w:t>Musculoskelet</w:t>
      </w:r>
      <w:proofErr w:type="spellEnd"/>
      <w:r w:rsidRPr="002E2ED7">
        <w:rPr>
          <w:rFonts w:ascii="Arial" w:eastAsia="Calibri" w:hAnsi="Arial" w:cs="Arial"/>
          <w:i/>
          <w:iCs/>
          <w:lang w:val="it-IT"/>
        </w:rPr>
        <w:t xml:space="preserve"> </w:t>
      </w:r>
      <w:proofErr w:type="spellStart"/>
      <w:r w:rsidRPr="002E2ED7">
        <w:rPr>
          <w:rFonts w:ascii="Arial" w:eastAsia="Calibri" w:hAnsi="Arial" w:cs="Arial"/>
          <w:i/>
          <w:iCs/>
          <w:lang w:val="it-IT"/>
        </w:rPr>
        <w:t>Disord</w:t>
      </w:r>
      <w:proofErr w:type="spellEnd"/>
      <w:r w:rsidRPr="002E2ED7">
        <w:rPr>
          <w:rFonts w:ascii="Arial" w:eastAsia="Calibri" w:hAnsi="Arial" w:cs="Arial"/>
          <w:lang w:val="it-IT"/>
        </w:rPr>
        <w:t xml:space="preserve">. </w:t>
      </w:r>
      <w:proofErr w:type="gramStart"/>
      <w:r w:rsidRPr="002E2ED7">
        <w:rPr>
          <w:rFonts w:ascii="Arial" w:eastAsia="Calibri" w:hAnsi="Arial" w:cs="Arial"/>
          <w:lang w:val="it-IT"/>
        </w:rPr>
        <w:t>2010;11:119</w:t>
      </w:r>
      <w:proofErr w:type="gramEnd"/>
      <w:r w:rsidRPr="002E2ED7">
        <w:rPr>
          <w:rFonts w:ascii="Arial" w:eastAsia="Calibri" w:hAnsi="Arial" w:cs="Arial"/>
          <w:lang w:val="it-IT"/>
        </w:rPr>
        <w:t xml:space="preserve">. </w:t>
      </w:r>
      <w:proofErr w:type="gramStart"/>
      <w:r w:rsidRPr="002E2ED7">
        <w:rPr>
          <w:rFonts w:ascii="Arial" w:eastAsia="Calibri" w:hAnsi="Arial" w:cs="Arial"/>
          <w:lang w:val="it-IT"/>
        </w:rPr>
        <w:t>doi:10.1186</w:t>
      </w:r>
      <w:proofErr w:type="gramEnd"/>
      <w:r w:rsidRPr="002E2ED7">
        <w:rPr>
          <w:rFonts w:ascii="Arial" w:eastAsia="Calibri" w:hAnsi="Arial" w:cs="Arial"/>
          <w:lang w:val="it-IT"/>
        </w:rPr>
        <w:t>/1471-2474-11-119</w:t>
      </w:r>
    </w:p>
    <w:p w14:paraId="2B305A27" w14:textId="77777777" w:rsidR="002E2ED7" w:rsidRPr="002E2ED7" w:rsidRDefault="002E2ED7" w:rsidP="002E2ED7">
      <w:pPr>
        <w:pStyle w:val="Bibliografia"/>
        <w:rPr>
          <w:rFonts w:ascii="Arial" w:eastAsia="Calibri" w:hAnsi="Arial" w:cs="Arial"/>
          <w:lang w:val="it-IT"/>
        </w:rPr>
      </w:pPr>
      <w:r w:rsidRPr="002E2ED7">
        <w:rPr>
          <w:rFonts w:ascii="Arial" w:eastAsia="Calibri" w:hAnsi="Arial" w:cs="Arial"/>
          <w:lang w:val="it-IT"/>
        </w:rPr>
        <w:t>14.</w:t>
      </w:r>
      <w:r w:rsidRPr="002E2ED7">
        <w:rPr>
          <w:rFonts w:ascii="Arial" w:eastAsia="Calibri" w:hAnsi="Arial" w:cs="Arial"/>
          <w:lang w:val="it-IT"/>
        </w:rPr>
        <w:tab/>
        <w:t xml:space="preserve">Peng L, Wang K, Zeng Y, </w:t>
      </w:r>
      <w:proofErr w:type="spellStart"/>
      <w:r w:rsidRPr="002E2ED7">
        <w:rPr>
          <w:rFonts w:ascii="Arial" w:eastAsia="Calibri" w:hAnsi="Arial" w:cs="Arial"/>
          <w:lang w:val="it-IT"/>
        </w:rPr>
        <w:t>Wu</w:t>
      </w:r>
      <w:proofErr w:type="spellEnd"/>
      <w:r w:rsidRPr="002E2ED7">
        <w:rPr>
          <w:rFonts w:ascii="Arial" w:eastAsia="Calibri" w:hAnsi="Arial" w:cs="Arial"/>
          <w:lang w:val="it-IT"/>
        </w:rPr>
        <w:t xml:space="preserve"> Y, Si H, Shen B. </w:t>
      </w:r>
      <w:proofErr w:type="spellStart"/>
      <w:r w:rsidRPr="002E2ED7">
        <w:rPr>
          <w:rFonts w:ascii="Arial" w:eastAsia="Calibri" w:hAnsi="Arial" w:cs="Arial"/>
          <w:lang w:val="it-IT"/>
        </w:rPr>
        <w:t>Effect</w:t>
      </w:r>
      <w:proofErr w:type="spellEnd"/>
      <w:r w:rsidRPr="002E2ED7">
        <w:rPr>
          <w:rFonts w:ascii="Arial" w:eastAsia="Calibri" w:hAnsi="Arial" w:cs="Arial"/>
          <w:lang w:val="it-IT"/>
        </w:rPr>
        <w:t xml:space="preserve"> of </w:t>
      </w:r>
      <w:proofErr w:type="spellStart"/>
      <w:r w:rsidRPr="002E2ED7">
        <w:rPr>
          <w:rFonts w:ascii="Arial" w:eastAsia="Calibri" w:hAnsi="Arial" w:cs="Arial"/>
          <w:lang w:val="it-IT"/>
        </w:rPr>
        <w:t>Neuromuscular</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Electrical</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Stimulation</w:t>
      </w:r>
      <w:proofErr w:type="spellEnd"/>
      <w:r w:rsidRPr="002E2ED7">
        <w:rPr>
          <w:rFonts w:ascii="Arial" w:eastAsia="Calibri" w:hAnsi="Arial" w:cs="Arial"/>
          <w:lang w:val="it-IT"/>
        </w:rPr>
        <w:t xml:space="preserve"> After Total Knee </w:t>
      </w:r>
      <w:proofErr w:type="spellStart"/>
      <w:r w:rsidRPr="002E2ED7">
        <w:rPr>
          <w:rFonts w:ascii="Arial" w:eastAsia="Calibri" w:hAnsi="Arial" w:cs="Arial"/>
          <w:lang w:val="it-IT"/>
        </w:rPr>
        <w:t>Arthroplasty</w:t>
      </w:r>
      <w:proofErr w:type="spellEnd"/>
      <w:r w:rsidRPr="002E2ED7">
        <w:rPr>
          <w:rFonts w:ascii="Arial" w:eastAsia="Calibri" w:hAnsi="Arial" w:cs="Arial"/>
          <w:lang w:val="it-IT"/>
        </w:rPr>
        <w:t xml:space="preserve">: A </w:t>
      </w:r>
      <w:proofErr w:type="spellStart"/>
      <w:r w:rsidRPr="002E2ED7">
        <w:rPr>
          <w:rFonts w:ascii="Arial" w:eastAsia="Calibri" w:hAnsi="Arial" w:cs="Arial"/>
          <w:lang w:val="it-IT"/>
        </w:rPr>
        <w:t>Systematic</w:t>
      </w:r>
      <w:proofErr w:type="spellEnd"/>
      <w:r w:rsidRPr="002E2ED7">
        <w:rPr>
          <w:rFonts w:ascii="Arial" w:eastAsia="Calibri" w:hAnsi="Arial" w:cs="Arial"/>
          <w:lang w:val="it-IT"/>
        </w:rPr>
        <w:t xml:space="preserve"> Review and Meta-Analysis of </w:t>
      </w:r>
      <w:proofErr w:type="spellStart"/>
      <w:r w:rsidRPr="002E2ED7">
        <w:rPr>
          <w:rFonts w:ascii="Arial" w:eastAsia="Calibri" w:hAnsi="Arial" w:cs="Arial"/>
          <w:lang w:val="it-IT"/>
        </w:rPr>
        <w:t>Randomized</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Controlled</w:t>
      </w:r>
      <w:proofErr w:type="spellEnd"/>
      <w:r w:rsidRPr="002E2ED7">
        <w:rPr>
          <w:rFonts w:ascii="Arial" w:eastAsia="Calibri" w:hAnsi="Arial" w:cs="Arial"/>
          <w:lang w:val="it-IT"/>
        </w:rPr>
        <w:t xml:space="preserve"> Trials. </w:t>
      </w:r>
      <w:r w:rsidRPr="002E2ED7">
        <w:rPr>
          <w:rFonts w:ascii="Arial" w:eastAsia="Calibri" w:hAnsi="Arial" w:cs="Arial"/>
          <w:i/>
          <w:iCs/>
          <w:lang w:val="it-IT"/>
        </w:rPr>
        <w:t xml:space="preserve">Front </w:t>
      </w:r>
      <w:proofErr w:type="spellStart"/>
      <w:r w:rsidRPr="002E2ED7">
        <w:rPr>
          <w:rFonts w:ascii="Arial" w:eastAsia="Calibri" w:hAnsi="Arial" w:cs="Arial"/>
          <w:i/>
          <w:iCs/>
          <w:lang w:val="it-IT"/>
        </w:rPr>
        <w:t>Med</w:t>
      </w:r>
      <w:proofErr w:type="spellEnd"/>
      <w:r w:rsidRPr="002E2ED7">
        <w:rPr>
          <w:rFonts w:ascii="Arial" w:eastAsia="Calibri" w:hAnsi="Arial" w:cs="Arial"/>
          <w:i/>
          <w:iCs/>
          <w:lang w:val="it-IT"/>
        </w:rPr>
        <w:t xml:space="preserve"> (Lausanne)</w:t>
      </w:r>
      <w:r w:rsidRPr="002E2ED7">
        <w:rPr>
          <w:rFonts w:ascii="Arial" w:eastAsia="Calibri" w:hAnsi="Arial" w:cs="Arial"/>
          <w:lang w:val="it-IT"/>
        </w:rPr>
        <w:t xml:space="preserve">. </w:t>
      </w:r>
      <w:proofErr w:type="gramStart"/>
      <w:r w:rsidRPr="002E2ED7">
        <w:rPr>
          <w:rFonts w:ascii="Arial" w:eastAsia="Calibri" w:hAnsi="Arial" w:cs="Arial"/>
          <w:lang w:val="it-IT"/>
        </w:rPr>
        <w:t>2021;8:779019</w:t>
      </w:r>
      <w:proofErr w:type="gramEnd"/>
      <w:r w:rsidRPr="002E2ED7">
        <w:rPr>
          <w:rFonts w:ascii="Arial" w:eastAsia="Calibri" w:hAnsi="Arial" w:cs="Arial"/>
          <w:lang w:val="it-IT"/>
        </w:rPr>
        <w:t xml:space="preserve">. </w:t>
      </w:r>
      <w:proofErr w:type="gramStart"/>
      <w:r w:rsidRPr="002E2ED7">
        <w:rPr>
          <w:rFonts w:ascii="Arial" w:eastAsia="Calibri" w:hAnsi="Arial" w:cs="Arial"/>
          <w:lang w:val="it-IT"/>
        </w:rPr>
        <w:t>doi:10.3389</w:t>
      </w:r>
      <w:proofErr w:type="gramEnd"/>
      <w:r w:rsidRPr="002E2ED7">
        <w:rPr>
          <w:rFonts w:ascii="Arial" w:eastAsia="Calibri" w:hAnsi="Arial" w:cs="Arial"/>
          <w:lang w:val="it-IT"/>
        </w:rPr>
        <w:t>/fmed.2021.779019</w:t>
      </w:r>
    </w:p>
    <w:p w14:paraId="78FF602F" w14:textId="77777777" w:rsidR="002E2ED7" w:rsidRPr="002E2ED7" w:rsidRDefault="002E2ED7" w:rsidP="002E2ED7">
      <w:pPr>
        <w:pStyle w:val="Bibliografia"/>
        <w:rPr>
          <w:rFonts w:ascii="Arial" w:eastAsia="Calibri" w:hAnsi="Arial" w:cs="Arial"/>
          <w:lang w:val="it-IT"/>
        </w:rPr>
      </w:pPr>
      <w:r w:rsidRPr="002E2ED7">
        <w:rPr>
          <w:rFonts w:ascii="Arial" w:eastAsia="Calibri" w:hAnsi="Arial" w:cs="Arial"/>
          <w:lang w:val="it-IT"/>
        </w:rPr>
        <w:t>15.</w:t>
      </w:r>
      <w:r w:rsidRPr="002E2ED7">
        <w:rPr>
          <w:rFonts w:ascii="Arial" w:eastAsia="Calibri" w:hAnsi="Arial" w:cs="Arial"/>
          <w:lang w:val="it-IT"/>
        </w:rPr>
        <w:tab/>
        <w:t xml:space="preserve">World </w:t>
      </w:r>
      <w:proofErr w:type="spellStart"/>
      <w:r w:rsidRPr="002E2ED7">
        <w:rPr>
          <w:rFonts w:ascii="Arial" w:eastAsia="Calibri" w:hAnsi="Arial" w:cs="Arial"/>
          <w:lang w:val="it-IT"/>
        </w:rPr>
        <w:t>Medical</w:t>
      </w:r>
      <w:proofErr w:type="spellEnd"/>
      <w:r w:rsidRPr="002E2ED7">
        <w:rPr>
          <w:rFonts w:ascii="Arial" w:eastAsia="Calibri" w:hAnsi="Arial" w:cs="Arial"/>
          <w:lang w:val="it-IT"/>
        </w:rPr>
        <w:t xml:space="preserve"> Association. World </w:t>
      </w:r>
      <w:proofErr w:type="spellStart"/>
      <w:r w:rsidRPr="002E2ED7">
        <w:rPr>
          <w:rFonts w:ascii="Arial" w:eastAsia="Calibri" w:hAnsi="Arial" w:cs="Arial"/>
          <w:lang w:val="it-IT"/>
        </w:rPr>
        <w:t>Medical</w:t>
      </w:r>
      <w:proofErr w:type="spellEnd"/>
      <w:r w:rsidRPr="002E2ED7">
        <w:rPr>
          <w:rFonts w:ascii="Arial" w:eastAsia="Calibri" w:hAnsi="Arial" w:cs="Arial"/>
          <w:lang w:val="it-IT"/>
        </w:rPr>
        <w:t xml:space="preserve"> Association Declaration of Helsinki: </w:t>
      </w:r>
      <w:proofErr w:type="spellStart"/>
      <w:r w:rsidRPr="002E2ED7">
        <w:rPr>
          <w:rFonts w:ascii="Arial" w:eastAsia="Calibri" w:hAnsi="Arial" w:cs="Arial"/>
          <w:lang w:val="it-IT"/>
        </w:rPr>
        <w:t>ethical</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principles</w:t>
      </w:r>
      <w:proofErr w:type="spellEnd"/>
      <w:r w:rsidRPr="002E2ED7">
        <w:rPr>
          <w:rFonts w:ascii="Arial" w:eastAsia="Calibri" w:hAnsi="Arial" w:cs="Arial"/>
          <w:lang w:val="it-IT"/>
        </w:rPr>
        <w:t xml:space="preserve"> for </w:t>
      </w:r>
      <w:proofErr w:type="spellStart"/>
      <w:r w:rsidRPr="002E2ED7">
        <w:rPr>
          <w:rFonts w:ascii="Arial" w:eastAsia="Calibri" w:hAnsi="Arial" w:cs="Arial"/>
          <w:lang w:val="it-IT"/>
        </w:rPr>
        <w:t>medical</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research</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involving</w:t>
      </w:r>
      <w:proofErr w:type="spellEnd"/>
      <w:r w:rsidRPr="002E2ED7">
        <w:rPr>
          <w:rFonts w:ascii="Arial" w:eastAsia="Calibri" w:hAnsi="Arial" w:cs="Arial"/>
          <w:lang w:val="it-IT"/>
        </w:rPr>
        <w:t xml:space="preserve"> human </w:t>
      </w:r>
      <w:proofErr w:type="spellStart"/>
      <w:r w:rsidRPr="002E2ED7">
        <w:rPr>
          <w:rFonts w:ascii="Arial" w:eastAsia="Calibri" w:hAnsi="Arial" w:cs="Arial"/>
          <w:lang w:val="it-IT"/>
        </w:rPr>
        <w:t>subjects</w:t>
      </w:r>
      <w:proofErr w:type="spellEnd"/>
      <w:r w:rsidRPr="002E2ED7">
        <w:rPr>
          <w:rFonts w:ascii="Arial" w:eastAsia="Calibri" w:hAnsi="Arial" w:cs="Arial"/>
          <w:lang w:val="it-IT"/>
        </w:rPr>
        <w:t xml:space="preserve">. </w:t>
      </w:r>
      <w:r w:rsidRPr="002E2ED7">
        <w:rPr>
          <w:rFonts w:ascii="Arial" w:eastAsia="Calibri" w:hAnsi="Arial" w:cs="Arial"/>
          <w:i/>
          <w:iCs/>
          <w:lang w:val="it-IT"/>
        </w:rPr>
        <w:t>JAMA</w:t>
      </w:r>
      <w:r w:rsidRPr="002E2ED7">
        <w:rPr>
          <w:rFonts w:ascii="Arial" w:eastAsia="Calibri" w:hAnsi="Arial" w:cs="Arial"/>
          <w:lang w:val="it-IT"/>
        </w:rPr>
        <w:t xml:space="preserve">. 2013;310(20):2191-2194. </w:t>
      </w:r>
      <w:proofErr w:type="gramStart"/>
      <w:r w:rsidRPr="002E2ED7">
        <w:rPr>
          <w:rFonts w:ascii="Arial" w:eastAsia="Calibri" w:hAnsi="Arial" w:cs="Arial"/>
          <w:lang w:val="it-IT"/>
        </w:rPr>
        <w:t>doi:10.1001</w:t>
      </w:r>
      <w:proofErr w:type="gramEnd"/>
      <w:r w:rsidRPr="002E2ED7">
        <w:rPr>
          <w:rFonts w:ascii="Arial" w:eastAsia="Calibri" w:hAnsi="Arial" w:cs="Arial"/>
          <w:lang w:val="it-IT"/>
        </w:rPr>
        <w:t>/jama.2013.281053</w:t>
      </w:r>
    </w:p>
    <w:p w14:paraId="41F7BAB9" w14:textId="0B9689C3" w:rsidR="008A7018" w:rsidRPr="00C25B41" w:rsidRDefault="002E2ED7" w:rsidP="002E2ED7">
      <w:pPr>
        <w:pStyle w:val="Bibliografia"/>
        <w:rPr>
          <w:rFonts w:ascii="Arial" w:eastAsia="Arial" w:hAnsi="Arial" w:cs="Arial"/>
          <w:i/>
        </w:rPr>
      </w:pPr>
      <w:r w:rsidRPr="002E2ED7">
        <w:rPr>
          <w:rFonts w:ascii="Arial" w:eastAsia="Calibri" w:hAnsi="Arial" w:cs="Arial"/>
          <w:lang w:val="it-IT"/>
        </w:rPr>
        <w:t>16.</w:t>
      </w:r>
      <w:r w:rsidRPr="002E2ED7">
        <w:rPr>
          <w:rFonts w:ascii="Arial" w:eastAsia="Calibri" w:hAnsi="Arial" w:cs="Arial"/>
          <w:lang w:val="it-IT"/>
        </w:rPr>
        <w:tab/>
        <w:t xml:space="preserve">Stevens-Lapsley JE, Balter JE, Wolfe P, Eckhoff DG, Kohrt WM. Early </w:t>
      </w:r>
      <w:proofErr w:type="spellStart"/>
      <w:r w:rsidRPr="002E2ED7">
        <w:rPr>
          <w:rFonts w:ascii="Arial" w:eastAsia="Calibri" w:hAnsi="Arial" w:cs="Arial"/>
          <w:lang w:val="it-IT"/>
        </w:rPr>
        <w:t>Neuromuscular</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Electrical</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Stimulation</w:t>
      </w:r>
      <w:proofErr w:type="spellEnd"/>
      <w:r w:rsidRPr="002E2ED7">
        <w:rPr>
          <w:rFonts w:ascii="Arial" w:eastAsia="Calibri" w:hAnsi="Arial" w:cs="Arial"/>
          <w:lang w:val="it-IT"/>
        </w:rPr>
        <w:t xml:space="preserve"> to </w:t>
      </w:r>
      <w:proofErr w:type="spellStart"/>
      <w:r w:rsidRPr="002E2ED7">
        <w:rPr>
          <w:rFonts w:ascii="Arial" w:eastAsia="Calibri" w:hAnsi="Arial" w:cs="Arial"/>
          <w:lang w:val="it-IT"/>
        </w:rPr>
        <w:t>Improve</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Quadriceps</w:t>
      </w:r>
      <w:proofErr w:type="spellEnd"/>
      <w:r w:rsidRPr="002E2ED7">
        <w:rPr>
          <w:rFonts w:ascii="Arial" w:eastAsia="Calibri" w:hAnsi="Arial" w:cs="Arial"/>
          <w:lang w:val="it-IT"/>
        </w:rPr>
        <w:t xml:space="preserve"> Muscle Strength After Total Knee </w:t>
      </w:r>
      <w:proofErr w:type="spellStart"/>
      <w:r w:rsidRPr="002E2ED7">
        <w:rPr>
          <w:rFonts w:ascii="Arial" w:eastAsia="Calibri" w:hAnsi="Arial" w:cs="Arial"/>
          <w:lang w:val="it-IT"/>
        </w:rPr>
        <w:t>Arthroplasty</w:t>
      </w:r>
      <w:proofErr w:type="spellEnd"/>
      <w:r w:rsidRPr="002E2ED7">
        <w:rPr>
          <w:rFonts w:ascii="Arial" w:eastAsia="Calibri" w:hAnsi="Arial" w:cs="Arial"/>
          <w:lang w:val="it-IT"/>
        </w:rPr>
        <w:t xml:space="preserve">: A </w:t>
      </w:r>
      <w:proofErr w:type="spellStart"/>
      <w:r w:rsidRPr="002E2ED7">
        <w:rPr>
          <w:rFonts w:ascii="Arial" w:eastAsia="Calibri" w:hAnsi="Arial" w:cs="Arial"/>
          <w:lang w:val="it-IT"/>
        </w:rPr>
        <w:t>Randomized</w:t>
      </w:r>
      <w:proofErr w:type="spellEnd"/>
      <w:r w:rsidRPr="002E2ED7">
        <w:rPr>
          <w:rFonts w:ascii="Arial" w:eastAsia="Calibri" w:hAnsi="Arial" w:cs="Arial"/>
          <w:lang w:val="it-IT"/>
        </w:rPr>
        <w:t xml:space="preserve"> </w:t>
      </w:r>
      <w:proofErr w:type="spellStart"/>
      <w:r w:rsidRPr="002E2ED7">
        <w:rPr>
          <w:rFonts w:ascii="Arial" w:eastAsia="Calibri" w:hAnsi="Arial" w:cs="Arial"/>
          <w:lang w:val="it-IT"/>
        </w:rPr>
        <w:t>Controlled</w:t>
      </w:r>
      <w:proofErr w:type="spellEnd"/>
      <w:r w:rsidRPr="002E2ED7">
        <w:rPr>
          <w:rFonts w:ascii="Arial" w:eastAsia="Calibri" w:hAnsi="Arial" w:cs="Arial"/>
          <w:lang w:val="it-IT"/>
        </w:rPr>
        <w:t xml:space="preserve"> Trial. </w:t>
      </w:r>
      <w:proofErr w:type="spellStart"/>
      <w:r w:rsidRPr="002E2ED7">
        <w:rPr>
          <w:rFonts w:ascii="Arial" w:eastAsia="Calibri" w:hAnsi="Arial" w:cs="Arial"/>
          <w:i/>
          <w:iCs/>
          <w:lang w:val="it-IT"/>
        </w:rPr>
        <w:t>Phys</w:t>
      </w:r>
      <w:proofErr w:type="spellEnd"/>
      <w:r w:rsidRPr="002E2ED7">
        <w:rPr>
          <w:rFonts w:ascii="Arial" w:eastAsia="Calibri" w:hAnsi="Arial" w:cs="Arial"/>
          <w:i/>
          <w:iCs/>
          <w:lang w:val="it-IT"/>
        </w:rPr>
        <w:t xml:space="preserve"> Ther</w:t>
      </w:r>
      <w:r w:rsidRPr="002E2ED7">
        <w:rPr>
          <w:rFonts w:ascii="Arial" w:eastAsia="Calibri" w:hAnsi="Arial" w:cs="Arial"/>
          <w:lang w:val="it-IT"/>
        </w:rPr>
        <w:t>. 2012;92(2):210-226. doi:10.2522/ptj.20110124</w:t>
      </w:r>
      <w:r>
        <w:rPr>
          <w:rFonts w:ascii="Arial" w:eastAsia="Arial" w:hAnsi="Arial" w:cs="Arial"/>
          <w:i/>
        </w:rPr>
        <w:fldChar w:fldCharType="end"/>
      </w:r>
    </w:p>
    <w:sectPr w:rsidR="008A7018" w:rsidRPr="00C25B41" w:rsidSect="006E56EF">
      <w:headerReference w:type="even" r:id="rId11"/>
      <w:headerReference w:type="default" r:id="rId12"/>
      <w:footerReference w:type="even" r:id="rId13"/>
      <w:footerReference w:type="default" r:id="rId14"/>
      <w:headerReference w:type="first" r:id="rId15"/>
      <w:footerReference w:type="first" r:id="rId16"/>
      <w:pgSz w:w="11906" w:h="16838"/>
      <w:pgMar w:top="1417" w:right="1134" w:bottom="1134" w:left="1134" w:header="708"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EFA61" w14:textId="77777777" w:rsidR="00524A21" w:rsidRDefault="00524A21">
      <w:r>
        <w:separator/>
      </w:r>
    </w:p>
  </w:endnote>
  <w:endnote w:type="continuationSeparator" w:id="0">
    <w:p w14:paraId="7882026A" w14:textId="77777777" w:rsidR="00524A21" w:rsidRDefault="00524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035159889"/>
      <w:docPartObj>
        <w:docPartGallery w:val="Page Numbers (Bottom of Page)"/>
        <w:docPartUnique/>
      </w:docPartObj>
    </w:sdtPr>
    <w:sdtContent>
      <w:p w14:paraId="0BC2BD93" w14:textId="2344BB7F" w:rsidR="008A696B" w:rsidRDefault="008A696B" w:rsidP="00012EFB">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76C2940F" w14:textId="77777777" w:rsidR="008A696B" w:rsidRDefault="008A696B" w:rsidP="000E630C">
    <w:pPr>
      <w:pBdr>
        <w:top w:val="nil"/>
        <w:left w:val="nil"/>
        <w:bottom w:val="nil"/>
        <w:right w:val="nil"/>
        <w:between w:val="nil"/>
      </w:pBdr>
      <w:tabs>
        <w:tab w:val="center" w:pos="4819"/>
        <w:tab w:val="right" w:pos="96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502429752"/>
      <w:docPartObj>
        <w:docPartGallery w:val="Page Numbers (Bottom of Page)"/>
        <w:docPartUnique/>
      </w:docPartObj>
    </w:sdtPr>
    <w:sdtContent>
      <w:p w14:paraId="7D745868" w14:textId="7C255B8E" w:rsidR="008A696B" w:rsidRDefault="008A696B" w:rsidP="00012EFB">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5B011F">
          <w:rPr>
            <w:rStyle w:val="Numeropagina"/>
            <w:noProof/>
          </w:rPr>
          <w:t>17</w:t>
        </w:r>
        <w:r>
          <w:rPr>
            <w:rStyle w:val="Numeropagina"/>
          </w:rPr>
          <w:fldChar w:fldCharType="end"/>
        </w:r>
      </w:p>
    </w:sdtContent>
  </w:sdt>
  <w:p w14:paraId="72790729" w14:textId="77777777" w:rsidR="008A696B" w:rsidRDefault="008A696B">
    <w:pPr>
      <w:widowControl w:val="0"/>
      <w:pBdr>
        <w:top w:val="nil"/>
        <w:left w:val="nil"/>
        <w:bottom w:val="nil"/>
        <w:right w:val="nil"/>
        <w:between w:val="nil"/>
      </w:pBdr>
      <w:spacing w:line="276" w:lineRule="auto"/>
      <w:rPr>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197DE" w14:textId="68B84911" w:rsidR="008A696B" w:rsidRDefault="008A696B">
    <w:pPr>
      <w:pStyle w:val="Pidipagina"/>
    </w:pPr>
    <w:proofErr w:type="spellStart"/>
    <w:r>
      <w:t>Protocollo</w:t>
    </w:r>
    <w:proofErr w:type="spellEnd"/>
    <w:r>
      <w:t xml:space="preserve"> </w:t>
    </w:r>
    <w:proofErr w:type="spellStart"/>
    <w:r>
      <w:t>dello</w:t>
    </w:r>
    <w:proofErr w:type="spellEnd"/>
    <w:r>
      <w:t xml:space="preserve"> </w:t>
    </w:r>
    <w:proofErr w:type="spellStart"/>
    <w:r>
      <w:t>Studio_Rev</w:t>
    </w:r>
    <w:proofErr w:type="spellEnd"/>
    <w:r>
      <w:t>. 3_29_01_2022</w:t>
    </w:r>
  </w:p>
  <w:p w14:paraId="76FDEB7C" w14:textId="77777777" w:rsidR="008A696B" w:rsidRDefault="008A696B">
    <w:pPr>
      <w:pBdr>
        <w:top w:val="nil"/>
        <w:left w:val="nil"/>
        <w:bottom w:val="nil"/>
        <w:right w:val="nil"/>
        <w:between w:val="nil"/>
      </w:pBdr>
      <w:tabs>
        <w:tab w:val="center" w:pos="4819"/>
        <w:tab w:val="right" w:pos="9638"/>
      </w:tabs>
      <w:jc w:val="center"/>
      <w:rPr>
        <w:color w:val="0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0E284" w14:textId="77777777" w:rsidR="00524A21" w:rsidRDefault="00524A21">
      <w:r>
        <w:separator/>
      </w:r>
    </w:p>
  </w:footnote>
  <w:footnote w:type="continuationSeparator" w:id="0">
    <w:p w14:paraId="2B581686" w14:textId="77777777" w:rsidR="00524A21" w:rsidRDefault="00524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414DA" w14:textId="77777777" w:rsidR="008A696B" w:rsidRDefault="008A696B">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D14FC" w14:textId="77777777" w:rsidR="008A696B" w:rsidRDefault="008A696B">
    <w:pPr>
      <w:pBdr>
        <w:top w:val="nil"/>
        <w:left w:val="nil"/>
        <w:bottom w:val="nil"/>
        <w:right w:val="nil"/>
        <w:between w:val="nil"/>
      </w:pBdr>
      <w:tabs>
        <w:tab w:val="center" w:pos="4819"/>
        <w:tab w:val="right" w:pos="9638"/>
      </w:tabs>
      <w:ind w:left="426" w:hanging="426"/>
      <w:rPr>
        <w:color w:val="000000"/>
      </w:rPr>
    </w:pPr>
    <w:r>
      <w:rPr>
        <w:noProof/>
        <w:color w:val="000000"/>
      </w:rPr>
      <w:drawing>
        <wp:inline distT="0" distB="0" distL="0" distR="0" wp14:anchorId="0760A002" wp14:editId="20E7102B">
          <wp:extent cx="1396618" cy="978898"/>
          <wp:effectExtent l="0" t="0" r="0" b="0"/>
          <wp:docPr id="20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396618" cy="978898"/>
                  </a:xfrm>
                  <a:prstGeom prst="rect">
                    <a:avLst/>
                  </a:prstGeom>
                  <a:ln/>
                </pic:spPr>
              </pic:pic>
            </a:graphicData>
          </a:graphic>
        </wp:inline>
      </w:drawing>
    </w:r>
  </w:p>
  <w:p w14:paraId="025AE835" w14:textId="77777777" w:rsidR="008A696B" w:rsidRDefault="008A696B">
    <w:pPr>
      <w:pBdr>
        <w:top w:val="nil"/>
        <w:left w:val="nil"/>
        <w:bottom w:val="nil"/>
        <w:right w:val="nil"/>
        <w:between w:val="nil"/>
      </w:pBdr>
      <w:tabs>
        <w:tab w:val="center" w:pos="4819"/>
        <w:tab w:val="right" w:pos="9638"/>
        <w:tab w:val="left" w:pos="4140"/>
      </w:tabs>
      <w:rPr>
        <w:color w:val="000000"/>
      </w:rPr>
    </w:pPr>
  </w:p>
  <w:p w14:paraId="748AF8DD" w14:textId="77777777" w:rsidR="008A696B" w:rsidRDefault="008A696B">
    <w:pPr>
      <w:pBdr>
        <w:top w:val="nil"/>
        <w:left w:val="nil"/>
        <w:bottom w:val="nil"/>
        <w:right w:val="nil"/>
        <w:between w:val="nil"/>
      </w:pBdr>
      <w:tabs>
        <w:tab w:val="center" w:pos="4819"/>
        <w:tab w:val="right" w:pos="9638"/>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FDAF4" w14:textId="77777777" w:rsidR="008A696B" w:rsidRDefault="008A696B">
    <w:pPr>
      <w:pBdr>
        <w:top w:val="nil"/>
        <w:left w:val="nil"/>
        <w:bottom w:val="nil"/>
        <w:right w:val="nil"/>
        <w:between w:val="nil"/>
      </w:pBdr>
      <w:tabs>
        <w:tab w:val="center" w:pos="4819"/>
        <w:tab w:val="right" w:pos="9638"/>
      </w:tabs>
      <w:ind w:left="426" w:hanging="426"/>
      <w:rPr>
        <w:color w:val="000000"/>
      </w:rPr>
    </w:pPr>
    <w:r>
      <w:rPr>
        <w:noProof/>
        <w:color w:val="000000"/>
      </w:rPr>
      <w:drawing>
        <wp:inline distT="0" distB="0" distL="0" distR="0" wp14:anchorId="5B64183D" wp14:editId="2A02B51A">
          <wp:extent cx="1982327" cy="1389425"/>
          <wp:effectExtent l="0" t="0" r="0" b="0"/>
          <wp:docPr id="20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982327" cy="1389425"/>
                  </a:xfrm>
                  <a:prstGeom prst="rect">
                    <a:avLst/>
                  </a:prstGeom>
                  <a:ln/>
                </pic:spPr>
              </pic:pic>
            </a:graphicData>
          </a:graphic>
        </wp:inline>
      </w:drawing>
    </w:r>
    <w:r>
      <w:rPr>
        <w:noProof/>
      </w:rPr>
      <mc:AlternateContent>
        <mc:Choice Requires="wpg">
          <w:drawing>
            <wp:anchor distT="0" distB="0" distL="114300" distR="114300" simplePos="0" relativeHeight="251658240" behindDoc="0" locked="0" layoutInCell="1" hidden="0" allowOverlap="1" wp14:anchorId="44EA7139" wp14:editId="71067C2F">
              <wp:simplePos x="0" y="0"/>
              <wp:positionH relativeFrom="column">
                <wp:posOffset>114300</wp:posOffset>
              </wp:positionH>
              <wp:positionV relativeFrom="paragraph">
                <wp:posOffset>0</wp:posOffset>
              </wp:positionV>
              <wp:extent cx="12700" cy="12700"/>
              <wp:effectExtent l="0" t="0" r="0" b="0"/>
              <wp:wrapNone/>
              <wp:docPr id="196" name="Connettore 2 196"/>
              <wp:cNvGraphicFramePr/>
              <a:graphic xmlns:a="http://schemas.openxmlformats.org/drawingml/2006/main">
                <a:graphicData uri="http://schemas.microsoft.com/office/word/2010/wordprocessingShape">
                  <wps:wsp>
                    <wps:cNvCnPr/>
                    <wps:spPr>
                      <a:xfrm>
                        <a:off x="7502460" y="3901920"/>
                        <a:ext cx="0" cy="1524000"/>
                      </a:xfrm>
                      <a:prstGeom prst="straightConnector1">
                        <a:avLst/>
                      </a:prstGeom>
                      <a:solidFill>
                        <a:srgbClr val="FFFFFF"/>
                      </a:solidFill>
                      <a:ln w="9525" cap="flat" cmpd="sng">
                        <a:solidFill>
                          <a:srgbClr val="7F7F7F"/>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196"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12700" cy="12700"/>
                      </a:xfrm>
                      <a:prstGeom prst="rect"/>
                      <a:ln/>
                    </pic:spPr>
                  </pic:pic>
                </a:graphicData>
              </a:graphic>
            </wp:anchor>
          </w:drawing>
        </mc:Fallback>
      </mc:AlternateContent>
    </w:r>
  </w:p>
  <w:p w14:paraId="702F9775" w14:textId="77777777" w:rsidR="008A696B" w:rsidRDefault="008A696B">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43E"/>
    <w:multiLevelType w:val="multilevel"/>
    <w:tmpl w:val="C25A7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B46DB0"/>
    <w:multiLevelType w:val="multilevel"/>
    <w:tmpl w:val="AF1AE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B3C9B"/>
    <w:multiLevelType w:val="hybridMultilevel"/>
    <w:tmpl w:val="5C82511A"/>
    <w:lvl w:ilvl="0" w:tplc="257A03BA">
      <w:start w:val="3"/>
      <w:numFmt w:val="bullet"/>
      <w:lvlText w:val=""/>
      <w:lvlJc w:val="left"/>
      <w:pPr>
        <w:ind w:left="720" w:hanging="360"/>
      </w:pPr>
      <w:rPr>
        <w:rFonts w:ascii="Wingdings" w:eastAsia="Calibri" w:hAnsi="Wingdings"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EBB21B0"/>
    <w:multiLevelType w:val="hybridMultilevel"/>
    <w:tmpl w:val="126AF07C"/>
    <w:lvl w:ilvl="0" w:tplc="A00ECBDA">
      <w:start w:val="4"/>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A1E7E0F"/>
    <w:multiLevelType w:val="multilevel"/>
    <w:tmpl w:val="D16C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763F29"/>
    <w:multiLevelType w:val="multilevel"/>
    <w:tmpl w:val="97784250"/>
    <w:lvl w:ilvl="0">
      <w:start w:val="1"/>
      <w:numFmt w:val="decimal"/>
      <w:lvlText w:val="%1."/>
      <w:lvlJc w:val="left"/>
      <w:pPr>
        <w:ind w:left="720" w:hanging="360"/>
      </w:pPr>
    </w:lvl>
    <w:lvl w:ilvl="1">
      <w:start w:val="1"/>
      <w:numFmt w:val="lowerLetter"/>
      <w:pStyle w:val="ProtocolAppendix"/>
      <w:lvlText w:val="%2."/>
      <w:lvlJc w:val="left"/>
      <w:pPr>
        <w:ind w:left="1440" w:hanging="360"/>
      </w:pPr>
    </w:lvl>
    <w:lvl w:ilvl="2">
      <w:start w:val="1"/>
      <w:numFmt w:val="lowerRoman"/>
      <w:pStyle w:val="ProtocolApp2"/>
      <w:lvlText w:val="%3."/>
      <w:lvlJc w:val="right"/>
      <w:pPr>
        <w:ind w:left="2160" w:hanging="180"/>
      </w:pPr>
    </w:lvl>
    <w:lvl w:ilvl="3">
      <w:start w:val="1"/>
      <w:numFmt w:val="decimal"/>
      <w:pStyle w:val="ProtocolApp3"/>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49619A2"/>
    <w:multiLevelType w:val="hybridMultilevel"/>
    <w:tmpl w:val="34D2C230"/>
    <w:lvl w:ilvl="0" w:tplc="76565BB8">
      <w:start w:val="2"/>
      <w:numFmt w:val="bullet"/>
      <w:lvlText w:val=""/>
      <w:lvlJc w:val="left"/>
      <w:pPr>
        <w:ind w:left="720" w:hanging="360"/>
      </w:pPr>
      <w:rPr>
        <w:rFonts w:ascii="Wingdings" w:eastAsia="Arial" w:hAnsi="Wingding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5CA379A"/>
    <w:multiLevelType w:val="multilevel"/>
    <w:tmpl w:val="8500DC66"/>
    <w:lvl w:ilvl="0">
      <w:start w:val="9"/>
      <w:numFmt w:val="decimal"/>
      <w:pStyle w:val="ProtocolList1"/>
      <w:lvlText w:val="%1"/>
      <w:lvlJc w:val="left"/>
      <w:pPr>
        <w:ind w:left="432" w:hanging="432"/>
      </w:pPr>
      <w:rPr>
        <w:sz w:val="24"/>
        <w:szCs w:val="24"/>
      </w:rPr>
    </w:lvl>
    <w:lvl w:ilvl="1">
      <w:start w:val="1"/>
      <w:numFmt w:val="decimal"/>
      <w:pStyle w:val="ProtocolList2"/>
      <w:lvlText w:val="%1.%2"/>
      <w:lvlJc w:val="left"/>
      <w:pPr>
        <w:ind w:left="576" w:hanging="576"/>
      </w:pPr>
      <w:rPr>
        <w:b/>
        <w:i w:val="0"/>
        <w:color w:val="000000"/>
        <w:sz w:val="22"/>
        <w:szCs w:val="22"/>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8375935"/>
    <w:multiLevelType w:val="multilevel"/>
    <w:tmpl w:val="35A2D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B63BF1"/>
    <w:multiLevelType w:val="multilevel"/>
    <w:tmpl w:val="9C3E9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2E2F55"/>
    <w:multiLevelType w:val="hybridMultilevel"/>
    <w:tmpl w:val="F7760E6C"/>
    <w:lvl w:ilvl="0" w:tplc="73260446">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44C80000"/>
    <w:multiLevelType w:val="multilevel"/>
    <w:tmpl w:val="5A025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180A92"/>
    <w:multiLevelType w:val="multilevel"/>
    <w:tmpl w:val="576AD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F36CDF"/>
    <w:multiLevelType w:val="hybridMultilevel"/>
    <w:tmpl w:val="951A7D6E"/>
    <w:lvl w:ilvl="0" w:tplc="5E94B266">
      <w:start w:val="3"/>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E1053A3"/>
    <w:multiLevelType w:val="hybridMultilevel"/>
    <w:tmpl w:val="F646779C"/>
    <w:lvl w:ilvl="0" w:tplc="6DB41340">
      <w:start w:val="1"/>
      <w:numFmt w:val="decimal"/>
      <w:lvlText w:val="%1"/>
      <w:lvlJc w:val="left"/>
      <w:pPr>
        <w:ind w:left="792" w:hanging="360"/>
      </w:pPr>
      <w:rPr>
        <w:rFonts w:hint="default"/>
      </w:rPr>
    </w:lvl>
    <w:lvl w:ilvl="1" w:tplc="04100019">
      <w:start w:val="1"/>
      <w:numFmt w:val="lowerLetter"/>
      <w:lvlText w:val="%2."/>
      <w:lvlJc w:val="left"/>
      <w:pPr>
        <w:ind w:left="1512" w:hanging="360"/>
      </w:pPr>
    </w:lvl>
    <w:lvl w:ilvl="2" w:tplc="0410001B" w:tentative="1">
      <w:start w:val="1"/>
      <w:numFmt w:val="lowerRoman"/>
      <w:lvlText w:val="%3."/>
      <w:lvlJc w:val="right"/>
      <w:pPr>
        <w:ind w:left="2232" w:hanging="180"/>
      </w:pPr>
    </w:lvl>
    <w:lvl w:ilvl="3" w:tplc="0410000F" w:tentative="1">
      <w:start w:val="1"/>
      <w:numFmt w:val="decimal"/>
      <w:lvlText w:val="%4."/>
      <w:lvlJc w:val="left"/>
      <w:pPr>
        <w:ind w:left="2952" w:hanging="360"/>
      </w:pPr>
    </w:lvl>
    <w:lvl w:ilvl="4" w:tplc="04100019" w:tentative="1">
      <w:start w:val="1"/>
      <w:numFmt w:val="lowerLetter"/>
      <w:lvlText w:val="%5."/>
      <w:lvlJc w:val="left"/>
      <w:pPr>
        <w:ind w:left="3672" w:hanging="360"/>
      </w:pPr>
    </w:lvl>
    <w:lvl w:ilvl="5" w:tplc="0410001B" w:tentative="1">
      <w:start w:val="1"/>
      <w:numFmt w:val="lowerRoman"/>
      <w:lvlText w:val="%6."/>
      <w:lvlJc w:val="right"/>
      <w:pPr>
        <w:ind w:left="4392" w:hanging="180"/>
      </w:pPr>
    </w:lvl>
    <w:lvl w:ilvl="6" w:tplc="0410000F" w:tentative="1">
      <w:start w:val="1"/>
      <w:numFmt w:val="decimal"/>
      <w:lvlText w:val="%7."/>
      <w:lvlJc w:val="left"/>
      <w:pPr>
        <w:ind w:left="5112" w:hanging="360"/>
      </w:pPr>
    </w:lvl>
    <w:lvl w:ilvl="7" w:tplc="04100019" w:tentative="1">
      <w:start w:val="1"/>
      <w:numFmt w:val="lowerLetter"/>
      <w:lvlText w:val="%8."/>
      <w:lvlJc w:val="left"/>
      <w:pPr>
        <w:ind w:left="5832" w:hanging="360"/>
      </w:pPr>
    </w:lvl>
    <w:lvl w:ilvl="8" w:tplc="0410001B" w:tentative="1">
      <w:start w:val="1"/>
      <w:numFmt w:val="lowerRoman"/>
      <w:lvlText w:val="%9."/>
      <w:lvlJc w:val="right"/>
      <w:pPr>
        <w:ind w:left="6552" w:hanging="180"/>
      </w:pPr>
    </w:lvl>
  </w:abstractNum>
  <w:abstractNum w:abstractNumId="15" w15:restartNumberingAfterBreak="0">
    <w:nsid w:val="5F906426"/>
    <w:multiLevelType w:val="hybridMultilevel"/>
    <w:tmpl w:val="1164889C"/>
    <w:lvl w:ilvl="0" w:tplc="B06A8580">
      <w:start w:val="5"/>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67F65BD"/>
    <w:multiLevelType w:val="multilevel"/>
    <w:tmpl w:val="9288E5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F804F61"/>
    <w:multiLevelType w:val="multilevel"/>
    <w:tmpl w:val="EDE0301E"/>
    <w:lvl w:ilvl="0">
      <w:start w:val="1"/>
      <w:numFmt w:val="decimal"/>
      <w:pStyle w:val="Titolo1"/>
      <w:lvlText w:val="%1"/>
      <w:lvlJc w:val="left"/>
      <w:pPr>
        <w:ind w:left="432" w:hanging="432"/>
      </w:pPr>
      <w:rPr>
        <w:sz w:val="24"/>
        <w:szCs w:val="24"/>
      </w:rPr>
    </w:lvl>
    <w:lvl w:ilvl="1">
      <w:start w:val="1"/>
      <w:numFmt w:val="decimal"/>
      <w:pStyle w:val="Titolo2"/>
      <w:lvlText w:val="%1.%2"/>
      <w:lvlJc w:val="left"/>
      <w:pPr>
        <w:ind w:left="1427" w:hanging="576"/>
      </w:pPr>
      <w:rPr>
        <w:b/>
        <w:i w:val="0"/>
        <w:color w:val="000000"/>
        <w:sz w:val="22"/>
        <w:szCs w:val="22"/>
      </w:r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18" w15:restartNumberingAfterBreak="0">
    <w:nsid w:val="74B75081"/>
    <w:multiLevelType w:val="hybridMultilevel"/>
    <w:tmpl w:val="95AA110E"/>
    <w:lvl w:ilvl="0" w:tplc="CDA824F8">
      <w:start w:val="50"/>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B2173DC"/>
    <w:multiLevelType w:val="hybridMultilevel"/>
    <w:tmpl w:val="184EDD5C"/>
    <w:lvl w:ilvl="0" w:tplc="6C4ADA66">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B11A38"/>
    <w:multiLevelType w:val="multilevel"/>
    <w:tmpl w:val="9288E5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02567535">
    <w:abstractNumId w:val="17"/>
  </w:num>
  <w:num w:numId="2" w16cid:durableId="744257527">
    <w:abstractNumId w:val="5"/>
  </w:num>
  <w:num w:numId="3" w16cid:durableId="1793550414">
    <w:abstractNumId w:val="7"/>
  </w:num>
  <w:num w:numId="4" w16cid:durableId="1301570302">
    <w:abstractNumId w:val="16"/>
  </w:num>
  <w:num w:numId="5" w16cid:durableId="1798834581">
    <w:abstractNumId w:val="18"/>
  </w:num>
  <w:num w:numId="6" w16cid:durableId="1844315662">
    <w:abstractNumId w:val="15"/>
  </w:num>
  <w:num w:numId="7" w16cid:durableId="1664821505">
    <w:abstractNumId w:val="6"/>
  </w:num>
  <w:num w:numId="8" w16cid:durableId="960306699">
    <w:abstractNumId w:val="13"/>
  </w:num>
  <w:num w:numId="9" w16cid:durableId="402879022">
    <w:abstractNumId w:val="2"/>
  </w:num>
  <w:num w:numId="10" w16cid:durableId="278683125">
    <w:abstractNumId w:val="10"/>
  </w:num>
  <w:num w:numId="11" w16cid:durableId="815757743">
    <w:abstractNumId w:val="14"/>
  </w:num>
  <w:num w:numId="12" w16cid:durableId="1562596473">
    <w:abstractNumId w:val="17"/>
  </w:num>
  <w:num w:numId="13" w16cid:durableId="904024094">
    <w:abstractNumId w:val="3"/>
  </w:num>
  <w:num w:numId="14" w16cid:durableId="1696735079">
    <w:abstractNumId w:val="19"/>
  </w:num>
  <w:num w:numId="15" w16cid:durableId="254749865">
    <w:abstractNumId w:val="20"/>
  </w:num>
  <w:num w:numId="16" w16cid:durableId="1174610695">
    <w:abstractNumId w:val="0"/>
  </w:num>
  <w:num w:numId="17" w16cid:durableId="1191995819">
    <w:abstractNumId w:val="8"/>
  </w:num>
  <w:num w:numId="18" w16cid:durableId="135028535">
    <w:abstractNumId w:val="1"/>
  </w:num>
  <w:num w:numId="19" w16cid:durableId="888109457">
    <w:abstractNumId w:val="9"/>
  </w:num>
  <w:num w:numId="20" w16cid:durableId="345719000">
    <w:abstractNumId w:val="4"/>
  </w:num>
  <w:num w:numId="21" w16cid:durableId="1275870648">
    <w:abstractNumId w:val="12"/>
  </w:num>
  <w:num w:numId="22" w16cid:durableId="2529333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018"/>
    <w:rsid w:val="00004987"/>
    <w:rsid w:val="0001108A"/>
    <w:rsid w:val="00012EFB"/>
    <w:rsid w:val="000147F1"/>
    <w:rsid w:val="00025992"/>
    <w:rsid w:val="00033D86"/>
    <w:rsid w:val="000472E3"/>
    <w:rsid w:val="00070E09"/>
    <w:rsid w:val="000937DF"/>
    <w:rsid w:val="00093A40"/>
    <w:rsid w:val="00094969"/>
    <w:rsid w:val="000B19D1"/>
    <w:rsid w:val="000B30DA"/>
    <w:rsid w:val="000C157F"/>
    <w:rsid w:val="000C5BA9"/>
    <w:rsid w:val="000C6598"/>
    <w:rsid w:val="000E0B2C"/>
    <w:rsid w:val="000E630C"/>
    <w:rsid w:val="000F066F"/>
    <w:rsid w:val="000F0ED3"/>
    <w:rsid w:val="000F3F68"/>
    <w:rsid w:val="00103E36"/>
    <w:rsid w:val="0011144C"/>
    <w:rsid w:val="00113145"/>
    <w:rsid w:val="00121E30"/>
    <w:rsid w:val="00154EA0"/>
    <w:rsid w:val="00184D8A"/>
    <w:rsid w:val="00190D40"/>
    <w:rsid w:val="001916EC"/>
    <w:rsid w:val="00194A5D"/>
    <w:rsid w:val="00194BE0"/>
    <w:rsid w:val="00195F81"/>
    <w:rsid w:val="00196363"/>
    <w:rsid w:val="001A082A"/>
    <w:rsid w:val="001A1FF4"/>
    <w:rsid w:val="001B1EBE"/>
    <w:rsid w:val="001E75D5"/>
    <w:rsid w:val="001F14C5"/>
    <w:rsid w:val="001F4E4C"/>
    <w:rsid w:val="002005C2"/>
    <w:rsid w:val="002014EC"/>
    <w:rsid w:val="00240B28"/>
    <w:rsid w:val="0025186F"/>
    <w:rsid w:val="00253BAC"/>
    <w:rsid w:val="00260F04"/>
    <w:rsid w:val="00273A96"/>
    <w:rsid w:val="00291078"/>
    <w:rsid w:val="00291F90"/>
    <w:rsid w:val="0029368F"/>
    <w:rsid w:val="00294352"/>
    <w:rsid w:val="002A1A48"/>
    <w:rsid w:val="002B2386"/>
    <w:rsid w:val="002C0BC4"/>
    <w:rsid w:val="002D4A80"/>
    <w:rsid w:val="002E2ED7"/>
    <w:rsid w:val="002E43E8"/>
    <w:rsid w:val="002E6895"/>
    <w:rsid w:val="00312BB4"/>
    <w:rsid w:val="0031543D"/>
    <w:rsid w:val="0033080F"/>
    <w:rsid w:val="003363BC"/>
    <w:rsid w:val="00336E03"/>
    <w:rsid w:val="003700F3"/>
    <w:rsid w:val="00383688"/>
    <w:rsid w:val="00392A46"/>
    <w:rsid w:val="003A2550"/>
    <w:rsid w:val="003A3C27"/>
    <w:rsid w:val="003B4172"/>
    <w:rsid w:val="003B68EB"/>
    <w:rsid w:val="003E2192"/>
    <w:rsid w:val="003E3B67"/>
    <w:rsid w:val="003E7421"/>
    <w:rsid w:val="00422812"/>
    <w:rsid w:val="0042287B"/>
    <w:rsid w:val="00430B65"/>
    <w:rsid w:val="004448CB"/>
    <w:rsid w:val="00445A38"/>
    <w:rsid w:val="0045489D"/>
    <w:rsid w:val="004711BD"/>
    <w:rsid w:val="00471DBC"/>
    <w:rsid w:val="00474963"/>
    <w:rsid w:val="00477BAE"/>
    <w:rsid w:val="00481307"/>
    <w:rsid w:val="00482B2A"/>
    <w:rsid w:val="00494D61"/>
    <w:rsid w:val="00494D7C"/>
    <w:rsid w:val="004A2147"/>
    <w:rsid w:val="004A6C27"/>
    <w:rsid w:val="004B5286"/>
    <w:rsid w:val="004B608B"/>
    <w:rsid w:val="00506AB9"/>
    <w:rsid w:val="00524A21"/>
    <w:rsid w:val="00527061"/>
    <w:rsid w:val="00531A3D"/>
    <w:rsid w:val="00535DAA"/>
    <w:rsid w:val="00543B92"/>
    <w:rsid w:val="005460C5"/>
    <w:rsid w:val="0054750C"/>
    <w:rsid w:val="00555CF8"/>
    <w:rsid w:val="0055660D"/>
    <w:rsid w:val="00560448"/>
    <w:rsid w:val="005651AC"/>
    <w:rsid w:val="00573B5B"/>
    <w:rsid w:val="00581A2A"/>
    <w:rsid w:val="005858FF"/>
    <w:rsid w:val="005A0A39"/>
    <w:rsid w:val="005A4B7F"/>
    <w:rsid w:val="005A567B"/>
    <w:rsid w:val="005B011F"/>
    <w:rsid w:val="005B1C7C"/>
    <w:rsid w:val="005D7837"/>
    <w:rsid w:val="00606269"/>
    <w:rsid w:val="00610D6E"/>
    <w:rsid w:val="00615213"/>
    <w:rsid w:val="006174DB"/>
    <w:rsid w:val="00621DA2"/>
    <w:rsid w:val="006262C4"/>
    <w:rsid w:val="00657A77"/>
    <w:rsid w:val="006656D4"/>
    <w:rsid w:val="006749E2"/>
    <w:rsid w:val="00675F7F"/>
    <w:rsid w:val="006A04E4"/>
    <w:rsid w:val="006A262A"/>
    <w:rsid w:val="006C1CAB"/>
    <w:rsid w:val="006C1DCC"/>
    <w:rsid w:val="006D5587"/>
    <w:rsid w:val="006E56EF"/>
    <w:rsid w:val="006F71E7"/>
    <w:rsid w:val="00705C02"/>
    <w:rsid w:val="007213F4"/>
    <w:rsid w:val="00722EA4"/>
    <w:rsid w:val="00724B54"/>
    <w:rsid w:val="00726B06"/>
    <w:rsid w:val="007332DC"/>
    <w:rsid w:val="00753D6D"/>
    <w:rsid w:val="0076306B"/>
    <w:rsid w:val="00765302"/>
    <w:rsid w:val="00770EA6"/>
    <w:rsid w:val="00771C3C"/>
    <w:rsid w:val="00776C34"/>
    <w:rsid w:val="0078271A"/>
    <w:rsid w:val="00794DCA"/>
    <w:rsid w:val="007A20F8"/>
    <w:rsid w:val="007A73A6"/>
    <w:rsid w:val="007B24CD"/>
    <w:rsid w:val="007C6AB5"/>
    <w:rsid w:val="007D561F"/>
    <w:rsid w:val="007E0168"/>
    <w:rsid w:val="007E2946"/>
    <w:rsid w:val="007E47CD"/>
    <w:rsid w:val="007F00FE"/>
    <w:rsid w:val="007F72E8"/>
    <w:rsid w:val="008055E6"/>
    <w:rsid w:val="00805CDF"/>
    <w:rsid w:val="00860E3D"/>
    <w:rsid w:val="00865DE2"/>
    <w:rsid w:val="00867639"/>
    <w:rsid w:val="008717EF"/>
    <w:rsid w:val="008751B7"/>
    <w:rsid w:val="00880B3E"/>
    <w:rsid w:val="008818B9"/>
    <w:rsid w:val="00892A6D"/>
    <w:rsid w:val="008A0C29"/>
    <w:rsid w:val="008A3B7A"/>
    <w:rsid w:val="008A696B"/>
    <w:rsid w:val="008A7018"/>
    <w:rsid w:val="008C6239"/>
    <w:rsid w:val="008D4430"/>
    <w:rsid w:val="008D5E45"/>
    <w:rsid w:val="008E5154"/>
    <w:rsid w:val="008E6801"/>
    <w:rsid w:val="009249C3"/>
    <w:rsid w:val="009340AB"/>
    <w:rsid w:val="009617C7"/>
    <w:rsid w:val="00973B1A"/>
    <w:rsid w:val="00975AB2"/>
    <w:rsid w:val="00980D69"/>
    <w:rsid w:val="00986B5E"/>
    <w:rsid w:val="009A50DA"/>
    <w:rsid w:val="009C66A6"/>
    <w:rsid w:val="009C6829"/>
    <w:rsid w:val="009D23E4"/>
    <w:rsid w:val="009D5BE6"/>
    <w:rsid w:val="009E1AE3"/>
    <w:rsid w:val="009E362F"/>
    <w:rsid w:val="009E4C68"/>
    <w:rsid w:val="009E5279"/>
    <w:rsid w:val="009E5CF2"/>
    <w:rsid w:val="009F3533"/>
    <w:rsid w:val="009F6E3A"/>
    <w:rsid w:val="00A044C1"/>
    <w:rsid w:val="00A265CB"/>
    <w:rsid w:val="00A75970"/>
    <w:rsid w:val="00A75CAB"/>
    <w:rsid w:val="00A8369D"/>
    <w:rsid w:val="00A92160"/>
    <w:rsid w:val="00A92A22"/>
    <w:rsid w:val="00A93A1A"/>
    <w:rsid w:val="00AA7289"/>
    <w:rsid w:val="00AC67F8"/>
    <w:rsid w:val="00AD6B64"/>
    <w:rsid w:val="00AE2306"/>
    <w:rsid w:val="00AF07E6"/>
    <w:rsid w:val="00AF3939"/>
    <w:rsid w:val="00B002DD"/>
    <w:rsid w:val="00B06105"/>
    <w:rsid w:val="00B06BAE"/>
    <w:rsid w:val="00B22FD3"/>
    <w:rsid w:val="00B44633"/>
    <w:rsid w:val="00B452E1"/>
    <w:rsid w:val="00B5480D"/>
    <w:rsid w:val="00B56D6E"/>
    <w:rsid w:val="00B63930"/>
    <w:rsid w:val="00B942B1"/>
    <w:rsid w:val="00BB41AC"/>
    <w:rsid w:val="00BD7C0E"/>
    <w:rsid w:val="00BE03A2"/>
    <w:rsid w:val="00BE2028"/>
    <w:rsid w:val="00BE69B6"/>
    <w:rsid w:val="00BE7021"/>
    <w:rsid w:val="00BF314B"/>
    <w:rsid w:val="00C0207A"/>
    <w:rsid w:val="00C030DC"/>
    <w:rsid w:val="00C0781D"/>
    <w:rsid w:val="00C103F7"/>
    <w:rsid w:val="00C12272"/>
    <w:rsid w:val="00C15BB0"/>
    <w:rsid w:val="00C25B41"/>
    <w:rsid w:val="00C26915"/>
    <w:rsid w:val="00C33719"/>
    <w:rsid w:val="00C40291"/>
    <w:rsid w:val="00C416AD"/>
    <w:rsid w:val="00C56C02"/>
    <w:rsid w:val="00C7279C"/>
    <w:rsid w:val="00C752B5"/>
    <w:rsid w:val="00C83249"/>
    <w:rsid w:val="00C87E4A"/>
    <w:rsid w:val="00C924AF"/>
    <w:rsid w:val="00CB1337"/>
    <w:rsid w:val="00CC7DA1"/>
    <w:rsid w:val="00CE667D"/>
    <w:rsid w:val="00CF104F"/>
    <w:rsid w:val="00CF1893"/>
    <w:rsid w:val="00CF2252"/>
    <w:rsid w:val="00CF3FCC"/>
    <w:rsid w:val="00D0520B"/>
    <w:rsid w:val="00D060DC"/>
    <w:rsid w:val="00D07319"/>
    <w:rsid w:val="00D16A67"/>
    <w:rsid w:val="00D222BB"/>
    <w:rsid w:val="00D32D7D"/>
    <w:rsid w:val="00D34053"/>
    <w:rsid w:val="00D41B3A"/>
    <w:rsid w:val="00D438C6"/>
    <w:rsid w:val="00D46480"/>
    <w:rsid w:val="00D4765F"/>
    <w:rsid w:val="00D513E2"/>
    <w:rsid w:val="00D5583F"/>
    <w:rsid w:val="00D65CF6"/>
    <w:rsid w:val="00D67956"/>
    <w:rsid w:val="00D84A25"/>
    <w:rsid w:val="00D96FA6"/>
    <w:rsid w:val="00DB6DA5"/>
    <w:rsid w:val="00DD19E1"/>
    <w:rsid w:val="00DD61B9"/>
    <w:rsid w:val="00DE22F3"/>
    <w:rsid w:val="00DE593B"/>
    <w:rsid w:val="00DF086D"/>
    <w:rsid w:val="00DF4886"/>
    <w:rsid w:val="00E02BFB"/>
    <w:rsid w:val="00E02F1A"/>
    <w:rsid w:val="00E17921"/>
    <w:rsid w:val="00E2177E"/>
    <w:rsid w:val="00E22E23"/>
    <w:rsid w:val="00E25BC6"/>
    <w:rsid w:val="00E30883"/>
    <w:rsid w:val="00E30C6A"/>
    <w:rsid w:val="00E35922"/>
    <w:rsid w:val="00E474A3"/>
    <w:rsid w:val="00E501B5"/>
    <w:rsid w:val="00E50686"/>
    <w:rsid w:val="00E55DAD"/>
    <w:rsid w:val="00E67BE5"/>
    <w:rsid w:val="00E740E3"/>
    <w:rsid w:val="00E905E5"/>
    <w:rsid w:val="00E931C0"/>
    <w:rsid w:val="00E95F65"/>
    <w:rsid w:val="00EA41CD"/>
    <w:rsid w:val="00EB5CC2"/>
    <w:rsid w:val="00EB6869"/>
    <w:rsid w:val="00ED05D8"/>
    <w:rsid w:val="00ED58FD"/>
    <w:rsid w:val="00EE4D47"/>
    <w:rsid w:val="00EF31FE"/>
    <w:rsid w:val="00F109A2"/>
    <w:rsid w:val="00F12212"/>
    <w:rsid w:val="00F34CD8"/>
    <w:rsid w:val="00F37DDD"/>
    <w:rsid w:val="00F4383C"/>
    <w:rsid w:val="00F453D7"/>
    <w:rsid w:val="00F506AB"/>
    <w:rsid w:val="00F535A5"/>
    <w:rsid w:val="00F72F27"/>
    <w:rsid w:val="00F73B72"/>
    <w:rsid w:val="00F75EC0"/>
    <w:rsid w:val="00FA10E0"/>
    <w:rsid w:val="00FB1CDA"/>
    <w:rsid w:val="00FB2026"/>
    <w:rsid w:val="00FC4BB2"/>
    <w:rsid w:val="00FC4FF4"/>
    <w:rsid w:val="00FE5F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3C964"/>
  <w15:docId w15:val="{F8E9C501-EF7C-4ACE-A04C-FEE80C01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90D40"/>
    <w:pPr>
      <w:spacing w:after="0" w:line="240" w:lineRule="auto"/>
    </w:pPr>
    <w:rPr>
      <w:rFonts w:ascii="Times New Roman" w:eastAsia="Times New Roman" w:hAnsi="Times New Roman" w:cs="Times New Roman"/>
      <w:sz w:val="24"/>
      <w:szCs w:val="24"/>
      <w:lang w:val="en-US"/>
    </w:rPr>
  </w:style>
  <w:style w:type="paragraph" w:styleId="Titolo1">
    <w:name w:val="heading 1"/>
    <w:aliases w:val="Titol 1,Heading,Heading3,Level 1,Heading 11,titre 1,Level 11,Heading 111,titre 11,Titol 11,PHD Heading 1,Level 12,Titre 11"/>
    <w:basedOn w:val="Normale"/>
    <w:next w:val="ProtocolBody"/>
    <w:link w:val="Titolo1Carattere"/>
    <w:qFormat/>
    <w:rsid w:val="009B24DD"/>
    <w:pPr>
      <w:keepNext/>
      <w:widowControl w:val="0"/>
      <w:numPr>
        <w:numId w:val="1"/>
      </w:numPr>
      <w:tabs>
        <w:tab w:val="left" w:pos="851"/>
      </w:tabs>
      <w:autoSpaceDE w:val="0"/>
      <w:autoSpaceDN w:val="0"/>
      <w:adjustRightInd w:val="0"/>
      <w:spacing w:before="360" w:after="180"/>
      <w:outlineLvl w:val="0"/>
    </w:pPr>
    <w:rPr>
      <w:rFonts w:ascii="Arial" w:hAnsi="Arial" w:cs="Arial"/>
      <w:b/>
      <w:bCs/>
      <w:caps/>
      <w:kern w:val="32"/>
      <w:sz w:val="36"/>
      <w:szCs w:val="32"/>
      <w:lang w:val="en-GB"/>
    </w:rPr>
  </w:style>
  <w:style w:type="paragraph" w:styleId="Titolo2">
    <w:name w:val="heading 2"/>
    <w:aliases w:val="Titre 21,Heading 21,titre 2,Level 2,Titre 211,Heading 211,titre 21,PHD Heading 2,Titre 212,Titre 212 Char,Titre 212 Char Char"/>
    <w:basedOn w:val="Titolo1"/>
    <w:next w:val="Normale"/>
    <w:link w:val="Titolo2Carattere"/>
    <w:qFormat/>
    <w:rsid w:val="009B24DD"/>
    <w:pPr>
      <w:keepNext w:val="0"/>
      <w:numPr>
        <w:ilvl w:val="1"/>
      </w:numPr>
      <w:tabs>
        <w:tab w:val="clear" w:pos="851"/>
      </w:tabs>
      <w:spacing w:after="120"/>
      <w:outlineLvl w:val="1"/>
    </w:pPr>
    <w:rPr>
      <w:iCs/>
      <w:caps w:val="0"/>
      <w:color w:val="000000"/>
      <w:sz w:val="28"/>
      <w:szCs w:val="28"/>
    </w:rPr>
  </w:style>
  <w:style w:type="paragraph" w:styleId="Titolo3">
    <w:name w:val="heading 3"/>
    <w:basedOn w:val="Titolo2"/>
    <w:next w:val="Normale"/>
    <w:link w:val="Titolo3Carattere"/>
    <w:qFormat/>
    <w:rsid w:val="009B24DD"/>
    <w:pPr>
      <w:numPr>
        <w:ilvl w:val="2"/>
      </w:numPr>
      <w:tabs>
        <w:tab w:val="left" w:pos="851"/>
      </w:tabs>
      <w:autoSpaceDE/>
      <w:autoSpaceDN/>
      <w:adjustRightInd/>
      <w:spacing w:before="180" w:after="60"/>
      <w:outlineLvl w:val="2"/>
    </w:pPr>
    <w:rPr>
      <w:noProof/>
      <w:sz w:val="24"/>
      <w:szCs w:val="22"/>
      <w:lang w:eastAsia="de-DE"/>
    </w:rPr>
  </w:style>
  <w:style w:type="paragraph" w:styleId="Titolo4">
    <w:name w:val="heading 4"/>
    <w:aliases w:val="Heading 41,titre 4,Heading 411,titre 41,PHD Heading 4"/>
    <w:basedOn w:val="Titolo3"/>
    <w:next w:val="Normale"/>
    <w:link w:val="Titolo4Carattere"/>
    <w:qFormat/>
    <w:rsid w:val="009B24DD"/>
    <w:pPr>
      <w:numPr>
        <w:ilvl w:val="3"/>
      </w:numPr>
      <w:outlineLvl w:val="3"/>
    </w:pPr>
    <w:rPr>
      <w:iCs w:val="0"/>
      <w:sz w:val="22"/>
    </w:rPr>
  </w:style>
  <w:style w:type="paragraph" w:styleId="Titolo5">
    <w:name w:val="heading 5"/>
    <w:aliases w:val="DontUse,Heading 51,titre 5,Heading 511,titre 51,PHD Heading 5"/>
    <w:basedOn w:val="Normale"/>
    <w:next w:val="Normale"/>
    <w:link w:val="Titolo5Carattere"/>
    <w:qFormat/>
    <w:rsid w:val="009B24DD"/>
    <w:pPr>
      <w:keepNext/>
      <w:widowControl w:val="0"/>
      <w:numPr>
        <w:ilvl w:val="4"/>
        <w:numId w:val="1"/>
      </w:numPr>
      <w:tabs>
        <w:tab w:val="left" w:pos="1080"/>
        <w:tab w:val="left" w:pos="2269"/>
      </w:tabs>
      <w:spacing w:before="60" w:after="120"/>
      <w:outlineLvl w:val="4"/>
    </w:pPr>
    <w:rPr>
      <w:rFonts w:ascii="Arial" w:hAnsi="Arial" w:cs="Arial"/>
      <w:b/>
      <w:bCs/>
      <w:lang w:val="de-DE" w:eastAsia="de-DE"/>
    </w:rPr>
  </w:style>
  <w:style w:type="paragraph" w:styleId="Titolo6">
    <w:name w:val="heading 6"/>
    <w:aliases w:val="dontUse"/>
    <w:basedOn w:val="Normale"/>
    <w:next w:val="Normale"/>
    <w:link w:val="Titolo6Carattere"/>
    <w:qFormat/>
    <w:rsid w:val="009B24DD"/>
    <w:pPr>
      <w:keepNext/>
      <w:widowControl w:val="0"/>
      <w:numPr>
        <w:ilvl w:val="5"/>
        <w:numId w:val="1"/>
      </w:numPr>
      <w:tabs>
        <w:tab w:val="left" w:pos="1440"/>
      </w:tabs>
      <w:spacing w:before="360" w:after="240"/>
      <w:outlineLvl w:val="5"/>
    </w:pPr>
    <w:rPr>
      <w:rFonts w:ascii="Helvetica" w:hAnsi="Helvetica"/>
      <w:b/>
      <w:bCs/>
      <w:sz w:val="28"/>
      <w:szCs w:val="28"/>
      <w:lang w:val="de-DE" w:eastAsia="de-DE"/>
    </w:rPr>
  </w:style>
  <w:style w:type="paragraph" w:styleId="Titolo7">
    <w:name w:val="heading 7"/>
    <w:basedOn w:val="Normale"/>
    <w:next w:val="Normale"/>
    <w:link w:val="Titolo7Carattere"/>
    <w:qFormat/>
    <w:rsid w:val="009B24DD"/>
    <w:pPr>
      <w:widowControl w:val="0"/>
      <w:numPr>
        <w:ilvl w:val="6"/>
        <w:numId w:val="1"/>
      </w:numPr>
      <w:tabs>
        <w:tab w:val="left" w:pos="0"/>
      </w:tabs>
      <w:spacing w:before="240" w:after="60"/>
      <w:outlineLvl w:val="6"/>
    </w:pPr>
    <w:rPr>
      <w:rFonts w:ascii="Arial" w:hAnsi="Arial" w:cs="Arial"/>
      <w:sz w:val="20"/>
      <w:szCs w:val="20"/>
      <w:lang w:val="de-DE" w:eastAsia="de-DE"/>
    </w:rPr>
  </w:style>
  <w:style w:type="paragraph" w:styleId="Titolo8">
    <w:name w:val="heading 8"/>
    <w:basedOn w:val="Normale"/>
    <w:next w:val="Normale"/>
    <w:link w:val="Titolo8Carattere"/>
    <w:qFormat/>
    <w:rsid w:val="009B24DD"/>
    <w:pPr>
      <w:widowControl w:val="0"/>
      <w:numPr>
        <w:ilvl w:val="7"/>
        <w:numId w:val="1"/>
      </w:numPr>
      <w:tabs>
        <w:tab w:val="left" w:pos="0"/>
      </w:tabs>
      <w:spacing w:before="240" w:after="60"/>
      <w:outlineLvl w:val="7"/>
    </w:pPr>
    <w:rPr>
      <w:rFonts w:ascii="Arial" w:hAnsi="Arial" w:cs="Arial"/>
      <w:i/>
      <w:iCs/>
      <w:sz w:val="20"/>
      <w:szCs w:val="20"/>
      <w:lang w:val="de-DE" w:eastAsia="de-DE"/>
    </w:rPr>
  </w:style>
  <w:style w:type="paragraph" w:styleId="Titolo9">
    <w:name w:val="heading 9"/>
    <w:basedOn w:val="Normale"/>
    <w:next w:val="Normale"/>
    <w:link w:val="Titolo9Carattere"/>
    <w:qFormat/>
    <w:rsid w:val="009B24DD"/>
    <w:pPr>
      <w:widowControl w:val="0"/>
      <w:numPr>
        <w:ilvl w:val="8"/>
        <w:numId w:val="1"/>
      </w:numPr>
      <w:tabs>
        <w:tab w:val="left" w:pos="0"/>
      </w:tabs>
      <w:spacing w:before="240" w:after="60"/>
      <w:outlineLvl w:val="8"/>
    </w:pPr>
    <w:rPr>
      <w:rFonts w:ascii="Arial" w:hAnsi="Arial" w:cs="Arial"/>
      <w:i/>
      <w:iCs/>
      <w:sz w:val="18"/>
      <w:szCs w:val="18"/>
      <w:lang w:val="de-DE" w:eastAsia="de-D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Intestazione">
    <w:name w:val="header"/>
    <w:basedOn w:val="Normale"/>
    <w:link w:val="IntestazioneCarattere"/>
    <w:uiPriority w:val="99"/>
    <w:unhideWhenUsed/>
    <w:rsid w:val="00C44E58"/>
    <w:pPr>
      <w:tabs>
        <w:tab w:val="center" w:pos="4819"/>
        <w:tab w:val="right" w:pos="9638"/>
      </w:tabs>
    </w:pPr>
  </w:style>
  <w:style w:type="character" w:customStyle="1" w:styleId="IntestazioneCarattere">
    <w:name w:val="Intestazione Carattere"/>
    <w:basedOn w:val="Carpredefinitoparagrafo"/>
    <w:link w:val="Intestazione"/>
    <w:uiPriority w:val="99"/>
    <w:rsid w:val="00C44E58"/>
  </w:style>
  <w:style w:type="paragraph" w:styleId="Pidipagina">
    <w:name w:val="footer"/>
    <w:basedOn w:val="Normale"/>
    <w:link w:val="PidipaginaCarattere"/>
    <w:uiPriority w:val="99"/>
    <w:unhideWhenUsed/>
    <w:rsid w:val="00C44E58"/>
    <w:pPr>
      <w:tabs>
        <w:tab w:val="center" w:pos="4819"/>
        <w:tab w:val="right" w:pos="9638"/>
      </w:tabs>
    </w:pPr>
  </w:style>
  <w:style w:type="character" w:customStyle="1" w:styleId="PidipaginaCarattere">
    <w:name w:val="Piè di pagina Carattere"/>
    <w:basedOn w:val="Carpredefinitoparagrafo"/>
    <w:link w:val="Pidipagina"/>
    <w:uiPriority w:val="99"/>
    <w:rsid w:val="00C44E58"/>
  </w:style>
  <w:style w:type="character" w:styleId="Collegamentoipertestuale">
    <w:name w:val="Hyperlink"/>
    <w:basedOn w:val="Carpredefinitoparagrafo"/>
    <w:uiPriority w:val="99"/>
    <w:unhideWhenUsed/>
    <w:rsid w:val="00C85BF1"/>
    <w:rPr>
      <w:color w:val="0563C1" w:themeColor="hyperlink"/>
      <w:u w:val="single"/>
    </w:rPr>
  </w:style>
  <w:style w:type="paragraph" w:styleId="Testofumetto">
    <w:name w:val="Balloon Text"/>
    <w:basedOn w:val="Normale"/>
    <w:link w:val="TestofumettoCarattere"/>
    <w:uiPriority w:val="99"/>
    <w:semiHidden/>
    <w:unhideWhenUsed/>
    <w:rsid w:val="0077564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75648"/>
    <w:rPr>
      <w:rFonts w:ascii="Segoe UI" w:hAnsi="Segoe UI" w:cs="Segoe UI"/>
      <w:sz w:val="18"/>
      <w:szCs w:val="18"/>
    </w:rPr>
  </w:style>
  <w:style w:type="character" w:customStyle="1" w:styleId="Titolo1Carattere">
    <w:name w:val="Titolo 1 Carattere"/>
    <w:aliases w:val="Titol 1 Carattere,Heading Carattere,Heading3 Carattere,Level 1 Carattere,Heading 11 Carattere,titre 1 Carattere,Level 11 Carattere,Heading 111 Carattere,titre 11 Carattere,Titol 11 Carattere,PHD Heading 1 Carattere,Level 12 Carattere"/>
    <w:basedOn w:val="Carpredefinitoparagrafo"/>
    <w:link w:val="Titolo1"/>
    <w:rsid w:val="009B24DD"/>
    <w:rPr>
      <w:rFonts w:ascii="Arial" w:eastAsia="Times New Roman" w:hAnsi="Arial" w:cs="Arial"/>
      <w:b/>
      <w:bCs/>
      <w:caps/>
      <w:kern w:val="32"/>
      <w:sz w:val="36"/>
      <w:szCs w:val="32"/>
      <w:lang w:val="en-GB"/>
    </w:rPr>
  </w:style>
  <w:style w:type="character" w:customStyle="1" w:styleId="Titolo2Carattere">
    <w:name w:val="Titolo 2 Carattere"/>
    <w:aliases w:val="Titre 21 Carattere,Heading 21 Carattere,titre 2 Carattere,Level 2 Carattere,Titre 211 Carattere,Heading 211 Carattere,titre 21 Carattere,PHD Heading 2 Carattere,Titre 212 Carattere,Titre 212 Char Carattere"/>
    <w:basedOn w:val="Carpredefinitoparagrafo"/>
    <w:link w:val="Titolo2"/>
    <w:rsid w:val="009B24DD"/>
    <w:rPr>
      <w:rFonts w:ascii="Arial" w:eastAsia="Times New Roman" w:hAnsi="Arial" w:cs="Arial"/>
      <w:b/>
      <w:bCs/>
      <w:iCs/>
      <w:color w:val="000000"/>
      <w:kern w:val="32"/>
      <w:sz w:val="28"/>
      <w:szCs w:val="28"/>
      <w:lang w:val="en-GB"/>
    </w:rPr>
  </w:style>
  <w:style w:type="character" w:customStyle="1" w:styleId="Titolo3Carattere">
    <w:name w:val="Titolo 3 Carattere"/>
    <w:basedOn w:val="Carpredefinitoparagrafo"/>
    <w:link w:val="Titolo3"/>
    <w:rsid w:val="009B24DD"/>
    <w:rPr>
      <w:rFonts w:ascii="Arial" w:eastAsia="Times New Roman" w:hAnsi="Arial" w:cs="Arial"/>
      <w:b/>
      <w:bCs/>
      <w:iCs/>
      <w:noProof/>
      <w:color w:val="000000"/>
      <w:kern w:val="32"/>
      <w:sz w:val="24"/>
      <w:lang w:val="en-GB" w:eastAsia="de-DE"/>
    </w:rPr>
  </w:style>
  <w:style w:type="character" w:customStyle="1" w:styleId="Titolo4Carattere">
    <w:name w:val="Titolo 4 Carattere"/>
    <w:aliases w:val="Heading 41 Carattere,titre 4 Carattere,Heading 411 Carattere,titre 41 Carattere,PHD Heading 4 Carattere"/>
    <w:basedOn w:val="Carpredefinitoparagrafo"/>
    <w:link w:val="Titolo4"/>
    <w:rsid w:val="009B24DD"/>
    <w:rPr>
      <w:rFonts w:ascii="Arial" w:eastAsia="Times New Roman" w:hAnsi="Arial" w:cs="Arial"/>
      <w:b/>
      <w:bCs/>
      <w:noProof/>
      <w:color w:val="000000"/>
      <w:kern w:val="32"/>
      <w:lang w:val="en-GB" w:eastAsia="de-DE"/>
    </w:rPr>
  </w:style>
  <w:style w:type="character" w:customStyle="1" w:styleId="Titolo5Carattere">
    <w:name w:val="Titolo 5 Carattere"/>
    <w:aliases w:val="DontUse Carattere,Heading 51 Carattere,titre 5 Carattere,Heading 511 Carattere,titre 51 Carattere,PHD Heading 5 Carattere"/>
    <w:basedOn w:val="Carpredefinitoparagrafo"/>
    <w:link w:val="Titolo5"/>
    <w:rsid w:val="009B24DD"/>
    <w:rPr>
      <w:rFonts w:ascii="Arial" w:eastAsia="Times New Roman" w:hAnsi="Arial" w:cs="Arial"/>
      <w:b/>
      <w:bCs/>
      <w:sz w:val="24"/>
      <w:szCs w:val="24"/>
      <w:lang w:val="de-DE" w:eastAsia="de-DE"/>
    </w:rPr>
  </w:style>
  <w:style w:type="character" w:customStyle="1" w:styleId="Titolo6Carattere">
    <w:name w:val="Titolo 6 Carattere"/>
    <w:aliases w:val="dontUse Carattere"/>
    <w:basedOn w:val="Carpredefinitoparagrafo"/>
    <w:link w:val="Titolo6"/>
    <w:rsid w:val="009B24DD"/>
    <w:rPr>
      <w:rFonts w:ascii="Helvetica" w:eastAsia="Times New Roman" w:hAnsi="Helvetica" w:cs="Times New Roman"/>
      <w:b/>
      <w:bCs/>
      <w:sz w:val="28"/>
      <w:szCs w:val="28"/>
      <w:lang w:val="de-DE" w:eastAsia="de-DE"/>
    </w:rPr>
  </w:style>
  <w:style w:type="character" w:customStyle="1" w:styleId="Titolo7Carattere">
    <w:name w:val="Titolo 7 Carattere"/>
    <w:basedOn w:val="Carpredefinitoparagrafo"/>
    <w:link w:val="Titolo7"/>
    <w:rsid w:val="009B24DD"/>
    <w:rPr>
      <w:rFonts w:ascii="Arial" w:eastAsia="Times New Roman" w:hAnsi="Arial" w:cs="Arial"/>
      <w:sz w:val="20"/>
      <w:szCs w:val="20"/>
      <w:lang w:val="de-DE" w:eastAsia="de-DE"/>
    </w:rPr>
  </w:style>
  <w:style w:type="character" w:customStyle="1" w:styleId="Titolo8Carattere">
    <w:name w:val="Titolo 8 Carattere"/>
    <w:basedOn w:val="Carpredefinitoparagrafo"/>
    <w:link w:val="Titolo8"/>
    <w:rsid w:val="009B24DD"/>
    <w:rPr>
      <w:rFonts w:ascii="Arial" w:eastAsia="Times New Roman" w:hAnsi="Arial" w:cs="Arial"/>
      <w:i/>
      <w:iCs/>
      <w:sz w:val="20"/>
      <w:szCs w:val="20"/>
      <w:lang w:val="de-DE" w:eastAsia="de-DE"/>
    </w:rPr>
  </w:style>
  <w:style w:type="character" w:customStyle="1" w:styleId="Titolo9Carattere">
    <w:name w:val="Titolo 9 Carattere"/>
    <w:basedOn w:val="Carpredefinitoparagrafo"/>
    <w:link w:val="Titolo9"/>
    <w:rsid w:val="009B24DD"/>
    <w:rPr>
      <w:rFonts w:ascii="Arial" w:eastAsia="Times New Roman" w:hAnsi="Arial" w:cs="Arial"/>
      <w:i/>
      <w:iCs/>
      <w:sz w:val="18"/>
      <w:szCs w:val="18"/>
      <w:lang w:val="de-DE" w:eastAsia="de-DE"/>
    </w:rPr>
  </w:style>
  <w:style w:type="paragraph" w:styleId="Paragrafoelenco">
    <w:name w:val="List Paragraph"/>
    <w:basedOn w:val="Normale"/>
    <w:uiPriority w:val="1"/>
    <w:qFormat/>
    <w:rsid w:val="009B24DD"/>
    <w:pPr>
      <w:ind w:left="720"/>
      <w:contextualSpacing/>
    </w:pPr>
    <w:rPr>
      <w:rFonts w:eastAsiaTheme="minorEastAsia"/>
      <w:lang w:val="de-DE" w:eastAsia="de-DE"/>
    </w:rPr>
  </w:style>
  <w:style w:type="paragraph" w:customStyle="1" w:styleId="ProtocolBody">
    <w:name w:val="Protocol Body"/>
    <w:link w:val="ProtocolBodyChar"/>
    <w:rsid w:val="009B24DD"/>
    <w:pPr>
      <w:spacing w:after="60" w:line="240" w:lineRule="auto"/>
      <w:jc w:val="both"/>
    </w:pPr>
    <w:rPr>
      <w:rFonts w:ascii="Arial" w:eastAsia="Times New Roman" w:hAnsi="Arial" w:cs="Times New Roman"/>
      <w:bCs/>
      <w:szCs w:val="20"/>
      <w:lang w:val="en-US" w:eastAsia="de-CH"/>
    </w:rPr>
  </w:style>
  <w:style w:type="character" w:customStyle="1" w:styleId="ProtocolBodyChar">
    <w:name w:val="Protocol Body Char"/>
    <w:link w:val="ProtocolBody"/>
    <w:rsid w:val="009B24DD"/>
    <w:rPr>
      <w:rFonts w:ascii="Arial" w:eastAsia="Times New Roman" w:hAnsi="Arial" w:cs="Times New Roman"/>
      <w:bCs/>
      <w:szCs w:val="20"/>
      <w:lang w:val="en-US" w:eastAsia="de-CH"/>
    </w:rPr>
  </w:style>
  <w:style w:type="paragraph" w:customStyle="1" w:styleId="ProtocolApp2">
    <w:name w:val="Protocol App_2"/>
    <w:basedOn w:val="ProtocolBody"/>
    <w:rsid w:val="009B24DD"/>
    <w:pPr>
      <w:numPr>
        <w:ilvl w:val="2"/>
        <w:numId w:val="2"/>
      </w:numPr>
      <w:tabs>
        <w:tab w:val="num" w:pos="360"/>
      </w:tabs>
      <w:spacing w:before="180"/>
      <w:outlineLvl w:val="1"/>
    </w:pPr>
    <w:rPr>
      <w:b/>
      <w:sz w:val="24"/>
      <w:szCs w:val="24"/>
    </w:rPr>
  </w:style>
  <w:style w:type="paragraph" w:customStyle="1" w:styleId="ProtocolApp3">
    <w:name w:val="Protocol App3"/>
    <w:basedOn w:val="ProtocolBody"/>
    <w:rsid w:val="009B24DD"/>
    <w:pPr>
      <w:numPr>
        <w:ilvl w:val="3"/>
        <w:numId w:val="2"/>
      </w:numPr>
      <w:tabs>
        <w:tab w:val="num" w:pos="360"/>
      </w:tabs>
    </w:pPr>
    <w:rPr>
      <w:b/>
    </w:rPr>
  </w:style>
  <w:style w:type="paragraph" w:customStyle="1" w:styleId="ProtocolAppendix">
    <w:name w:val="Protocol Appendix"/>
    <w:basedOn w:val="ProtocolBody"/>
    <w:next w:val="Normale"/>
    <w:rsid w:val="009B24DD"/>
    <w:pPr>
      <w:numPr>
        <w:ilvl w:val="1"/>
        <w:numId w:val="2"/>
      </w:numPr>
      <w:tabs>
        <w:tab w:val="num" w:pos="360"/>
      </w:tabs>
      <w:spacing w:after="120"/>
      <w:outlineLvl w:val="1"/>
    </w:pPr>
    <w:rPr>
      <w:rFonts w:cs="Arial"/>
      <w:b/>
      <w:bCs w:val="0"/>
      <w:sz w:val="28"/>
      <w:szCs w:val="28"/>
    </w:rPr>
  </w:style>
  <w:style w:type="paragraph" w:customStyle="1" w:styleId="ProtocolList1">
    <w:name w:val="Protocol List1"/>
    <w:basedOn w:val="ProtocolBody"/>
    <w:next w:val="ProtocolBody"/>
    <w:link w:val="ProtocolList1Char"/>
    <w:rsid w:val="009B24DD"/>
    <w:pPr>
      <w:numPr>
        <w:numId w:val="3"/>
      </w:numPr>
      <w:spacing w:before="60"/>
    </w:pPr>
    <w:rPr>
      <w:b/>
    </w:rPr>
  </w:style>
  <w:style w:type="character" w:customStyle="1" w:styleId="ProtocolList1Char">
    <w:name w:val="Protocol List1 Char"/>
    <w:link w:val="ProtocolList1"/>
    <w:rsid w:val="009B24DD"/>
    <w:rPr>
      <w:rFonts w:ascii="Arial" w:eastAsia="Times New Roman" w:hAnsi="Arial" w:cs="Times New Roman"/>
      <w:b/>
      <w:bCs/>
      <w:szCs w:val="20"/>
      <w:lang w:val="en-US" w:eastAsia="de-CH"/>
    </w:rPr>
  </w:style>
  <w:style w:type="paragraph" w:customStyle="1" w:styleId="ProtocolList2">
    <w:name w:val="Protocol List2"/>
    <w:basedOn w:val="ProtocolBody"/>
    <w:next w:val="ProtocolBody"/>
    <w:rsid w:val="009B24DD"/>
    <w:pPr>
      <w:numPr>
        <w:ilvl w:val="1"/>
        <w:numId w:val="3"/>
      </w:numPr>
      <w:tabs>
        <w:tab w:val="num" w:pos="360"/>
        <w:tab w:val="num" w:pos="1440"/>
      </w:tabs>
      <w:ind w:left="1440" w:hanging="360"/>
    </w:pPr>
  </w:style>
  <w:style w:type="paragraph" w:customStyle="1" w:styleId="Protocolsignofftabs">
    <w:name w:val="Protocol sign off tabs"/>
    <w:basedOn w:val="ProtocolBody"/>
    <w:next w:val="ProtocolBody"/>
    <w:rsid w:val="009B24DD"/>
    <w:pPr>
      <w:tabs>
        <w:tab w:val="left" w:pos="851"/>
        <w:tab w:val="left" w:pos="4536"/>
        <w:tab w:val="left" w:pos="5670"/>
      </w:tabs>
    </w:pPr>
  </w:style>
  <w:style w:type="paragraph" w:customStyle="1" w:styleId="Protocolsignofftabs0">
    <w:name w:val="Protocol sign off tabs ___"/>
    <w:basedOn w:val="Protocolsignofftabs"/>
    <w:rsid w:val="009B24DD"/>
    <w:pPr>
      <w:tabs>
        <w:tab w:val="left" w:leader="underscore" w:pos="3969"/>
        <w:tab w:val="left" w:leader="underscore" w:pos="9072"/>
      </w:tabs>
      <w:spacing w:before="480"/>
    </w:pPr>
  </w:style>
  <w:style w:type="paragraph" w:customStyle="1" w:styleId="ProtocolTitle14ptnotnumbered">
    <w:name w:val="Protocol Title 14pt not numbered"/>
    <w:basedOn w:val="ProtocolBody"/>
    <w:next w:val="ProtocolBody"/>
    <w:link w:val="ProtocolTitle14ptnotnumberedChar"/>
    <w:rsid w:val="009B24DD"/>
    <w:pPr>
      <w:spacing w:before="120" w:after="120"/>
    </w:pPr>
    <w:rPr>
      <w:caps/>
      <w:sz w:val="28"/>
    </w:rPr>
  </w:style>
  <w:style w:type="paragraph" w:customStyle="1" w:styleId="ProtocolTrialOverviewTitle">
    <w:name w:val="Protocol Trial Overview Title"/>
    <w:basedOn w:val="Normale"/>
    <w:rsid w:val="009B24DD"/>
    <w:pPr>
      <w:spacing w:before="180" w:after="60"/>
    </w:pPr>
    <w:rPr>
      <w:rFonts w:ascii="Arial" w:hAnsi="Arial"/>
      <w:b/>
      <w:bCs/>
      <w:szCs w:val="20"/>
      <w:lang w:val="en-GB" w:eastAsia="de-CH"/>
    </w:rPr>
  </w:style>
  <w:style w:type="paragraph" w:styleId="Sommario1">
    <w:name w:val="toc 1"/>
    <w:aliases w:val="Protocol_TOC_1"/>
    <w:basedOn w:val="ProtocolBody"/>
    <w:next w:val="ProtocolBody"/>
    <w:uiPriority w:val="39"/>
    <w:rsid w:val="009B24DD"/>
    <w:pPr>
      <w:tabs>
        <w:tab w:val="left" w:pos="340"/>
        <w:tab w:val="right" w:pos="9639"/>
      </w:tabs>
      <w:ind w:left="340" w:right="340" w:hanging="340"/>
    </w:pPr>
    <w:rPr>
      <w:caps/>
    </w:rPr>
  </w:style>
  <w:style w:type="paragraph" w:styleId="Sommario2">
    <w:name w:val="toc 2"/>
    <w:aliases w:val="Protocol_TOC_2"/>
    <w:basedOn w:val="ProtocolBody"/>
    <w:next w:val="ProtocolBody"/>
    <w:uiPriority w:val="39"/>
    <w:rsid w:val="009B24DD"/>
    <w:pPr>
      <w:tabs>
        <w:tab w:val="left" w:pos="907"/>
        <w:tab w:val="right" w:pos="9639"/>
      </w:tabs>
      <w:ind w:left="964" w:right="340" w:hanging="624"/>
    </w:pPr>
  </w:style>
  <w:style w:type="character" w:customStyle="1" w:styleId="ProtocolTitle14ptnotnumberedChar">
    <w:name w:val="Protocol Title 14pt not numbered Char"/>
    <w:link w:val="ProtocolTitle14ptnotnumbered"/>
    <w:rsid w:val="009B24DD"/>
    <w:rPr>
      <w:rFonts w:ascii="Arial" w:eastAsia="Times New Roman" w:hAnsi="Arial" w:cs="Times New Roman"/>
      <w:bCs/>
      <w:caps/>
      <w:sz w:val="28"/>
      <w:szCs w:val="20"/>
      <w:lang w:val="en-US" w:eastAsia="de-CH"/>
    </w:rPr>
  </w:style>
  <w:style w:type="paragraph" w:customStyle="1" w:styleId="instruction">
    <w:name w:val="instruction"/>
    <w:basedOn w:val="Normale"/>
    <w:next w:val="Normale"/>
    <w:autoRedefine/>
    <w:qFormat/>
    <w:rsid w:val="009B24DD"/>
    <w:rPr>
      <w:rFonts w:ascii="Helvetica" w:eastAsiaTheme="minorEastAsia" w:hAnsi="Helvetica"/>
      <w:bCs/>
      <w:i/>
      <w:iCs/>
      <w:color w:val="0000FF"/>
      <w:sz w:val="18"/>
      <w:szCs w:val="18"/>
      <w:lang w:val="en-GB" w:eastAsia="ja-JP"/>
    </w:rPr>
  </w:style>
  <w:style w:type="character" w:styleId="Rimandonotaapidipagina">
    <w:name w:val="footnote reference"/>
    <w:basedOn w:val="Carpredefinitoparagrafo"/>
    <w:uiPriority w:val="99"/>
    <w:semiHidden/>
    <w:unhideWhenUsed/>
    <w:rsid w:val="009B24DD"/>
    <w:rPr>
      <w:vertAlign w:val="superscript"/>
    </w:rPr>
  </w:style>
  <w:style w:type="paragraph" w:customStyle="1" w:styleId="ProtocolTitel1">
    <w:name w:val="Protocol Titel 1"/>
    <w:basedOn w:val="Titolo1"/>
    <w:next w:val="Normale"/>
    <w:link w:val="ProtocolTitel1Zeichen"/>
    <w:autoRedefine/>
    <w:qFormat/>
    <w:rsid w:val="009B24DD"/>
    <w:pPr>
      <w:keepLines/>
      <w:widowControl/>
      <w:numPr>
        <w:numId w:val="0"/>
      </w:numPr>
      <w:tabs>
        <w:tab w:val="clear" w:pos="851"/>
      </w:tabs>
      <w:autoSpaceDE/>
      <w:autoSpaceDN/>
      <w:adjustRightInd/>
      <w:spacing w:before="480" w:after="240"/>
      <w:ind w:left="432" w:hanging="432"/>
    </w:pPr>
    <w:rPr>
      <w:rFonts w:ascii="Helvetica" w:eastAsia="MS Gothic" w:hAnsi="Helvetica" w:cstheme="minorBidi"/>
      <w:kern w:val="0"/>
      <w:sz w:val="24"/>
      <w:szCs w:val="24"/>
      <w:lang w:val="de-CH" w:eastAsia="ja-JP"/>
    </w:rPr>
  </w:style>
  <w:style w:type="character" w:customStyle="1" w:styleId="ProtocolTitel1Zeichen">
    <w:name w:val="Protocol Titel 1 Zeichen"/>
    <w:link w:val="ProtocolTitel1"/>
    <w:rsid w:val="009B24DD"/>
    <w:rPr>
      <w:rFonts w:ascii="Helvetica" w:eastAsia="MS Gothic" w:hAnsi="Helvetica"/>
      <w:b/>
      <w:bCs/>
      <w:caps/>
      <w:sz w:val="24"/>
      <w:szCs w:val="24"/>
      <w:lang w:val="de-CH" w:eastAsia="ja-JP"/>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left w:w="115" w:type="dxa"/>
        <w:right w:w="115" w:type="dxa"/>
      </w:tblCellMar>
    </w:tblPr>
  </w:style>
  <w:style w:type="character" w:styleId="Rimandocommento">
    <w:name w:val="annotation reference"/>
    <w:basedOn w:val="Carpredefinitoparagrafo"/>
    <w:uiPriority w:val="99"/>
    <w:semiHidden/>
    <w:unhideWhenUsed/>
    <w:rsid w:val="00E95F65"/>
    <w:rPr>
      <w:sz w:val="16"/>
      <w:szCs w:val="16"/>
    </w:rPr>
  </w:style>
  <w:style w:type="paragraph" w:styleId="Testocommento">
    <w:name w:val="annotation text"/>
    <w:basedOn w:val="Normale"/>
    <w:link w:val="TestocommentoCarattere"/>
    <w:uiPriority w:val="99"/>
    <w:semiHidden/>
    <w:unhideWhenUsed/>
    <w:rsid w:val="00E95F65"/>
    <w:rPr>
      <w:sz w:val="20"/>
      <w:szCs w:val="20"/>
    </w:rPr>
  </w:style>
  <w:style w:type="character" w:customStyle="1" w:styleId="TestocommentoCarattere">
    <w:name w:val="Testo commento Carattere"/>
    <w:basedOn w:val="Carpredefinitoparagrafo"/>
    <w:link w:val="Testocommento"/>
    <w:uiPriority w:val="99"/>
    <w:semiHidden/>
    <w:rsid w:val="00E95F65"/>
    <w:rPr>
      <w:sz w:val="20"/>
      <w:szCs w:val="20"/>
    </w:rPr>
  </w:style>
  <w:style w:type="paragraph" w:styleId="Soggettocommento">
    <w:name w:val="annotation subject"/>
    <w:basedOn w:val="Testocommento"/>
    <w:next w:val="Testocommento"/>
    <w:link w:val="SoggettocommentoCarattere"/>
    <w:uiPriority w:val="99"/>
    <w:semiHidden/>
    <w:unhideWhenUsed/>
    <w:rsid w:val="00E95F65"/>
    <w:rPr>
      <w:b/>
      <w:bCs/>
    </w:rPr>
  </w:style>
  <w:style w:type="character" w:customStyle="1" w:styleId="SoggettocommentoCarattere">
    <w:name w:val="Soggetto commento Carattere"/>
    <w:basedOn w:val="TestocommentoCarattere"/>
    <w:link w:val="Soggettocommento"/>
    <w:uiPriority w:val="99"/>
    <w:semiHidden/>
    <w:rsid w:val="00E95F65"/>
    <w:rPr>
      <w:b/>
      <w:bCs/>
      <w:sz w:val="20"/>
      <w:szCs w:val="20"/>
    </w:rPr>
  </w:style>
  <w:style w:type="paragraph" w:customStyle="1" w:styleId="paragraph">
    <w:name w:val="paragraph"/>
    <w:basedOn w:val="Normale"/>
    <w:uiPriority w:val="99"/>
    <w:rsid w:val="003363BC"/>
    <w:pPr>
      <w:spacing w:before="120"/>
      <w:jc w:val="both"/>
    </w:pPr>
    <w:rPr>
      <w:szCs w:val="20"/>
    </w:rPr>
  </w:style>
  <w:style w:type="paragraph" w:styleId="Didascalia">
    <w:name w:val="caption"/>
    <w:basedOn w:val="Normale"/>
    <w:next w:val="Normale"/>
    <w:uiPriority w:val="35"/>
    <w:unhideWhenUsed/>
    <w:qFormat/>
    <w:rsid w:val="00196363"/>
    <w:pPr>
      <w:spacing w:after="200"/>
    </w:pPr>
    <w:rPr>
      <w:i/>
      <w:iCs/>
      <w:color w:val="44546A" w:themeColor="text2"/>
      <w:sz w:val="18"/>
      <w:szCs w:val="18"/>
    </w:rPr>
  </w:style>
  <w:style w:type="paragraph" w:styleId="Revisione">
    <w:name w:val="Revision"/>
    <w:hidden/>
    <w:uiPriority w:val="99"/>
    <w:semiHidden/>
    <w:rsid w:val="00535DAA"/>
    <w:pPr>
      <w:spacing w:after="0" w:line="240" w:lineRule="auto"/>
    </w:pPr>
  </w:style>
  <w:style w:type="character" w:styleId="Numeropagina">
    <w:name w:val="page number"/>
    <w:basedOn w:val="Carpredefinitoparagrafo"/>
    <w:uiPriority w:val="99"/>
    <w:semiHidden/>
    <w:unhideWhenUsed/>
    <w:rsid w:val="000E630C"/>
  </w:style>
  <w:style w:type="table" w:styleId="Grigliatabella">
    <w:name w:val="Table Grid"/>
    <w:basedOn w:val="Tabellanormale"/>
    <w:uiPriority w:val="39"/>
    <w:rsid w:val="00FC4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71References">
    <w:name w:val="MDPI_7.1_References"/>
    <w:qFormat/>
    <w:rsid w:val="00DB6DA5"/>
    <w:pPr>
      <w:numPr>
        <w:numId w:val="14"/>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paragraph" w:styleId="NormaleWeb">
    <w:name w:val="Normal (Web)"/>
    <w:basedOn w:val="Normale"/>
    <w:uiPriority w:val="99"/>
    <w:unhideWhenUsed/>
    <w:rsid w:val="001A082A"/>
    <w:pPr>
      <w:spacing w:before="100" w:beforeAutospacing="1" w:after="100" w:afterAutospacing="1"/>
    </w:pPr>
  </w:style>
  <w:style w:type="character" w:styleId="Enfasigrassetto">
    <w:name w:val="Strong"/>
    <w:basedOn w:val="Carpredefinitoparagrafo"/>
    <w:uiPriority w:val="22"/>
    <w:qFormat/>
    <w:rsid w:val="00D438C6"/>
    <w:rPr>
      <w:b/>
      <w:bCs/>
    </w:rPr>
  </w:style>
  <w:style w:type="character" w:customStyle="1" w:styleId="apple-converted-space">
    <w:name w:val="apple-converted-space"/>
    <w:basedOn w:val="Carpredefinitoparagrafo"/>
    <w:rsid w:val="00D438C6"/>
  </w:style>
  <w:style w:type="paragraph" w:styleId="Bibliografia">
    <w:name w:val="Bibliography"/>
    <w:basedOn w:val="Normale"/>
    <w:next w:val="Normale"/>
    <w:uiPriority w:val="37"/>
    <w:unhideWhenUsed/>
    <w:rsid w:val="002E2ED7"/>
    <w:pPr>
      <w:tabs>
        <w:tab w:val="left" w:pos="380"/>
      </w:tabs>
      <w:spacing w:after="240"/>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5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mailto:luca.marin@unipv.it"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rG2gdNTJnMJoNG9T/h0V1zJYXMQ==">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</go:docsCustomData>
</go:gDocsCustomXmlDataStorage>
</file>

<file path=customXml/itemProps1.xml><?xml version="1.0" encoding="utf-8"?>
<ds:datastoreItem xmlns:ds="http://schemas.openxmlformats.org/officeDocument/2006/customXml" ds:itemID="{B78827CE-2DD0-4928-8FE7-E9E696FEAB9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15</Pages>
  <Words>14144</Words>
  <Characters>80626</Characters>
  <Application>Microsoft Office Word</Application>
  <DocSecurity>0</DocSecurity>
  <Lines>671</Lines>
  <Paragraphs>189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Urti Antonio</dc:creator>
  <cp:lastModifiedBy>       </cp:lastModifiedBy>
  <cp:revision>17</cp:revision>
  <cp:lastPrinted>2023-11-17T11:07:00Z</cp:lastPrinted>
  <dcterms:created xsi:type="dcterms:W3CDTF">2024-01-23T13:43:00Z</dcterms:created>
  <dcterms:modified xsi:type="dcterms:W3CDTF">2026-04-27T13:30:00Z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id="z9krIStQ"/&gt;&lt;style id="http://www.zotero.org/styles/american-medical-association-brackets" hasBibliography="1" bibliographyStyleHasBeenSet="1"/&gt;&lt;prefs&gt;&lt;pref name="fieldType" value="Field"/&gt;&lt;/prefs</vt:lpwstr>
  </property>
  <property fmtid="{D5CDD505-2E9C-101B-9397-08002B2CF9AE}" pid="3" name="ZOTERO_PREF_2">
    <vt:lpwstr>&gt;&lt;/data&gt;</vt:lpwstr>
  </property>
</Properties>
</file>