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AA4B1" w14:textId="1796AC0A" w:rsidR="0066499B" w:rsidRPr="009C6FD6" w:rsidRDefault="00B043FA" w:rsidP="00B36D6D">
      <w:pPr>
        <w:spacing w:line="360" w:lineRule="auto"/>
        <w:jc w:val="both"/>
        <w:rPr>
          <w:rFonts w:ascii="Calibri" w:eastAsia="Calibri" w:hAnsi="Calibri" w:cs="Calibri"/>
          <w:b/>
          <w:color w:val="000000"/>
          <w:sz w:val="22"/>
          <w:szCs w:val="22"/>
          <w:lang w:val="en-GB"/>
        </w:rPr>
      </w:pPr>
      <w:r>
        <w:rPr>
          <w:rFonts w:ascii="Calibri" w:eastAsia="Calibri" w:hAnsi="Calibri" w:cs="Calibri"/>
          <w:b/>
          <w:color w:val="000000"/>
          <w:sz w:val="22"/>
          <w:szCs w:val="22"/>
          <w:lang w:val="en-GB"/>
        </w:rPr>
        <w:t xml:space="preserve">CONSORT 2025 checklist of information to include when reporting a randomised trial* </w:t>
      </w:r>
    </w:p>
    <w:tbl>
      <w:tblPr>
        <w:tblStyle w:val="a0"/>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B36D6D" w:rsidRPr="009C6FD6" w14:paraId="42F6C7CE" w14:textId="60744FD6" w:rsidTr="00BC3998">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Pr>
                <w:rFonts w:ascii="Calibri" w:eastAsia="Calibri" w:hAnsi="Calibri" w:cs="Calibri"/>
                <w:b/>
                <w:color w:val="000000"/>
                <w:sz w:val="22"/>
                <w:szCs w:val="22"/>
                <w:lang w:val="en-GB"/>
              </w:rPr>
              <w:t>No</w:t>
            </w:r>
          </w:p>
        </w:tc>
        <w:tc>
          <w:tcPr>
            <w:tcW w:w="935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CONSORT 2025 checklist item description</w:t>
            </w:r>
          </w:p>
        </w:tc>
        <w:tc>
          <w:tcPr>
            <w:tcW w:w="1417"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BC3998">
        <w:trPr>
          <w:trHeight w:val="268"/>
        </w:trPr>
        <w:tc>
          <w:tcPr>
            <w:tcW w:w="12895"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14:paraId="0AC158EA"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BC3998">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1a</w:t>
            </w:r>
          </w:p>
        </w:tc>
        <w:tc>
          <w:tcPr>
            <w:tcW w:w="935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 xml:space="preserve">Identification as a randomised trial </w:t>
            </w:r>
          </w:p>
        </w:tc>
        <w:tc>
          <w:tcPr>
            <w:tcW w:w="1417" w:type="dxa"/>
          </w:tcPr>
          <w:p w14:paraId="682CEBAD" w14:textId="17F23766"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p>
        </w:tc>
      </w:tr>
      <w:tr w:rsidR="00B36D6D" w:rsidRPr="009C6FD6" w14:paraId="2962253C" w14:textId="1E5A4156" w:rsidTr="00BC3998">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1b</w:t>
            </w:r>
          </w:p>
        </w:tc>
        <w:tc>
          <w:tcPr>
            <w:tcW w:w="935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Structured summary of the trial design, methods, results, and conclusions</w:t>
            </w:r>
          </w:p>
        </w:tc>
        <w:tc>
          <w:tcPr>
            <w:tcW w:w="1417" w:type="dxa"/>
          </w:tcPr>
          <w:p w14:paraId="078952E4" w14:textId="262A88D1"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1-2</w:t>
            </w:r>
          </w:p>
        </w:tc>
      </w:tr>
      <w:tr w:rsidR="00B36D6D" w:rsidRPr="009C6FD6" w14:paraId="3A57CE3F" w14:textId="3A3DB5B7" w:rsidTr="00BC3998">
        <w:trPr>
          <w:trHeight w:val="276"/>
        </w:trPr>
        <w:tc>
          <w:tcPr>
            <w:tcW w:w="12895"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Open science</w:t>
            </w:r>
          </w:p>
        </w:tc>
        <w:tc>
          <w:tcPr>
            <w:tcW w:w="1417"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BC3998">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p>
        </w:tc>
        <w:tc>
          <w:tcPr>
            <w:tcW w:w="9356"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Name of trial registry, identifying number (with URL) and date of registration</w:t>
            </w:r>
          </w:p>
        </w:tc>
        <w:tc>
          <w:tcPr>
            <w:tcW w:w="1417" w:type="dxa"/>
          </w:tcPr>
          <w:p w14:paraId="5384896B" w14:textId="5A73837D"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22</w:t>
            </w:r>
          </w:p>
        </w:tc>
      </w:tr>
      <w:tr w:rsidR="00B36D6D" w:rsidRPr="009C6FD6" w14:paraId="5732C7E5" w14:textId="1E98AF6E" w:rsidTr="00BC3998">
        <w:trPr>
          <w:trHeight w:val="27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3</w:t>
            </w:r>
          </w:p>
        </w:tc>
        <w:tc>
          <w:tcPr>
            <w:tcW w:w="9356" w:type="dxa"/>
          </w:tcPr>
          <w:p w14:paraId="2530AB92"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Where the trial protocol and statistical analysis plan can be accessed</w:t>
            </w:r>
          </w:p>
        </w:tc>
        <w:tc>
          <w:tcPr>
            <w:tcW w:w="1417" w:type="dxa"/>
          </w:tcPr>
          <w:p w14:paraId="628ED577" w14:textId="0A94FAC4"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5457CDD4" w14:textId="1CA03383" w:rsidTr="00BC3998">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c>
          <w:tcPr>
            <w:tcW w:w="9356"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14:textId="60E37FE5"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22</w:t>
            </w:r>
          </w:p>
        </w:tc>
      </w:tr>
      <w:tr w:rsidR="00B36D6D" w:rsidRPr="009C6FD6" w14:paraId="53FD3373" w14:textId="12E61B4B" w:rsidTr="00BC3998">
        <w:trPr>
          <w:trHeight w:val="272"/>
        </w:trPr>
        <w:tc>
          <w:tcPr>
            <w:tcW w:w="2547"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Funding and conflicts of interest</w:t>
            </w:r>
          </w:p>
        </w:tc>
        <w:tc>
          <w:tcPr>
            <w:tcW w:w="992"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5a</w:t>
            </w:r>
          </w:p>
        </w:tc>
        <w:tc>
          <w:tcPr>
            <w:tcW w:w="9356" w:type="dxa"/>
          </w:tcPr>
          <w:p w14:paraId="4D265E51"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14:textId="43C65CA6"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22</w:t>
            </w:r>
          </w:p>
        </w:tc>
      </w:tr>
      <w:tr w:rsidR="00B36D6D" w:rsidRPr="009C6FD6" w14:paraId="0D642CEB" w14:textId="5FE698ED" w:rsidTr="00BC3998">
        <w:trPr>
          <w:trHeight w:val="272"/>
        </w:trPr>
        <w:tc>
          <w:tcPr>
            <w:tcW w:w="2547"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5b</w:t>
            </w:r>
          </w:p>
        </w:tc>
        <w:tc>
          <w:tcPr>
            <w:tcW w:w="9356"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Financial and other conflicts of interest of the manuscript authors</w:t>
            </w:r>
          </w:p>
        </w:tc>
        <w:tc>
          <w:tcPr>
            <w:tcW w:w="1417" w:type="dxa"/>
          </w:tcPr>
          <w:p w14:paraId="2C85AC6B" w14:textId="5C5DFE83"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22</w:t>
            </w:r>
          </w:p>
        </w:tc>
      </w:tr>
      <w:tr w:rsidR="00B36D6D" w:rsidRPr="009C6FD6" w14:paraId="6808DB3F" w14:textId="1F344310" w:rsidTr="00BC3998">
        <w:trPr>
          <w:trHeight w:val="276"/>
        </w:trPr>
        <w:tc>
          <w:tcPr>
            <w:tcW w:w="12895"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Introduction</w:t>
            </w:r>
          </w:p>
        </w:tc>
        <w:tc>
          <w:tcPr>
            <w:tcW w:w="1417" w:type="dxa"/>
            <w:shd w:val="clear" w:color="auto" w:fill="C6D9F1" w:themeFill="text2" w:themeFillTint="33"/>
          </w:tcPr>
          <w:p w14:paraId="32FD8D83"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37A3670E" w14:textId="442AA61E" w:rsidTr="00BC3998">
        <w:trPr>
          <w:trHeight w:val="271"/>
        </w:trPr>
        <w:tc>
          <w:tcPr>
            <w:tcW w:w="2547"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c>
          <w:tcPr>
            <w:tcW w:w="9356"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Scientific background and rationale</w:t>
            </w:r>
          </w:p>
        </w:tc>
        <w:tc>
          <w:tcPr>
            <w:tcW w:w="1417" w:type="dxa"/>
          </w:tcPr>
          <w:p w14:paraId="3333AA56" w14:textId="571B248E"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2-3</w:t>
            </w:r>
          </w:p>
        </w:tc>
      </w:tr>
      <w:tr w:rsidR="00B36D6D" w:rsidRPr="009C6FD6" w14:paraId="55C5B04A" w14:textId="601A6C1F" w:rsidTr="00BC3998">
        <w:trPr>
          <w:trHeight w:val="276"/>
        </w:trPr>
        <w:tc>
          <w:tcPr>
            <w:tcW w:w="2547"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Objectives</w:t>
            </w:r>
          </w:p>
        </w:tc>
        <w:tc>
          <w:tcPr>
            <w:tcW w:w="992"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c>
          <w:tcPr>
            <w:tcW w:w="9356"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Specific objectives related to benefits and harms</w:t>
            </w:r>
          </w:p>
        </w:tc>
        <w:tc>
          <w:tcPr>
            <w:tcW w:w="1417" w:type="dxa"/>
          </w:tcPr>
          <w:p w14:paraId="70B2DB04" w14:textId="47563D4B"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w:t>
            </w:r>
          </w:p>
        </w:tc>
      </w:tr>
      <w:tr w:rsidR="00B36D6D" w:rsidRPr="009C6FD6" w14:paraId="1B31CFED" w14:textId="18892F07" w:rsidTr="00BC3998">
        <w:trPr>
          <w:trHeight w:val="276"/>
        </w:trPr>
        <w:tc>
          <w:tcPr>
            <w:tcW w:w="12895"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Methods</w:t>
            </w:r>
          </w:p>
        </w:tc>
        <w:tc>
          <w:tcPr>
            <w:tcW w:w="1417" w:type="dxa"/>
            <w:shd w:val="clear" w:color="auto" w:fill="C6D9F1" w:themeFill="text2" w:themeFillTint="33"/>
          </w:tcPr>
          <w:p w14:paraId="61DDDBB5"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05C5AAED" w14:textId="1742A97D" w:rsidTr="00BC3998">
        <w:trPr>
          <w:trHeight w:val="268"/>
        </w:trPr>
        <w:tc>
          <w:tcPr>
            <w:tcW w:w="2547"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Patient and public involvement</w:t>
            </w:r>
          </w:p>
        </w:tc>
        <w:tc>
          <w:tcPr>
            <w:tcW w:w="992"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c>
          <w:tcPr>
            <w:tcW w:w="9356"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Details of patient or public involvement in the design, conduct and reporting of the trial</w:t>
            </w:r>
          </w:p>
        </w:tc>
        <w:tc>
          <w:tcPr>
            <w:tcW w:w="1417" w:type="dxa"/>
          </w:tcPr>
          <w:p w14:paraId="736CE81D" w14:textId="527A3AB1"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118C078" w14:textId="34119A38" w:rsidTr="00BC3998">
        <w:trPr>
          <w:trHeight w:val="268"/>
        </w:trPr>
        <w:tc>
          <w:tcPr>
            <w:tcW w:w="2547" w:type="dxa"/>
          </w:tcPr>
          <w:p w14:paraId="0B3B044B"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Trial design</w:t>
            </w:r>
          </w:p>
        </w:tc>
        <w:tc>
          <w:tcPr>
            <w:tcW w:w="992" w:type="dxa"/>
          </w:tcPr>
          <w:p w14:paraId="72205B94"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c>
          <w:tcPr>
            <w:tcW w:w="9356" w:type="dxa"/>
          </w:tcPr>
          <w:p w14:paraId="5E662EA8"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14:textId="614D1D6E"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3B0F7B6A" w14:textId="5F6C4DC7" w:rsidTr="00BC3998">
        <w:trPr>
          <w:trHeight w:val="214"/>
        </w:trPr>
        <w:tc>
          <w:tcPr>
            <w:tcW w:w="2547" w:type="dxa"/>
          </w:tcPr>
          <w:p w14:paraId="7D9C8279"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Changes to trial protocol</w:t>
            </w:r>
          </w:p>
        </w:tc>
        <w:tc>
          <w:tcPr>
            <w:tcW w:w="992" w:type="dxa"/>
          </w:tcPr>
          <w:p w14:paraId="784655B6"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10</w:t>
            </w:r>
          </w:p>
        </w:tc>
        <w:tc>
          <w:tcPr>
            <w:tcW w:w="9356" w:type="dxa"/>
          </w:tcPr>
          <w:p w14:paraId="3D532DC4"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417" w:type="dxa"/>
          </w:tcPr>
          <w:p w14:paraId="58F0C5A6" w14:textId="666EE81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8EEE53F" w14:textId="27DB62E6" w:rsidTr="00BC3998">
        <w:trPr>
          <w:trHeight w:val="273"/>
        </w:trPr>
        <w:tc>
          <w:tcPr>
            <w:tcW w:w="2547" w:type="dxa"/>
          </w:tcPr>
          <w:p w14:paraId="5BFE68B9"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Trial setting</w:t>
            </w:r>
          </w:p>
        </w:tc>
        <w:tc>
          <w:tcPr>
            <w:tcW w:w="992" w:type="dxa"/>
          </w:tcPr>
          <w:p w14:paraId="4A046B88"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11</w:t>
            </w:r>
          </w:p>
        </w:tc>
        <w:tc>
          <w:tcPr>
            <w:tcW w:w="9356" w:type="dxa"/>
          </w:tcPr>
          <w:p w14:paraId="269E1095"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14:paraId="266DD31E" w14:textId="4C5596BF"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134ACE67" w14:textId="5E48FD43" w:rsidTr="00BC3998">
        <w:trPr>
          <w:trHeight w:val="276"/>
        </w:trPr>
        <w:tc>
          <w:tcPr>
            <w:tcW w:w="2547" w:type="dxa"/>
            <w:vMerge w:val="restart"/>
            <w:vAlign w:val="center"/>
          </w:tcPr>
          <w:p w14:paraId="1FDD4F72"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Eligibility criteria</w:t>
            </w:r>
          </w:p>
        </w:tc>
        <w:tc>
          <w:tcPr>
            <w:tcW w:w="992" w:type="dxa"/>
          </w:tcPr>
          <w:p w14:paraId="083D8CAD"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12a</w:t>
            </w:r>
          </w:p>
        </w:tc>
        <w:tc>
          <w:tcPr>
            <w:tcW w:w="9356" w:type="dxa"/>
          </w:tcPr>
          <w:p w14:paraId="3C4A8E88"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Eligibility criteria for participants</w:t>
            </w:r>
          </w:p>
        </w:tc>
        <w:tc>
          <w:tcPr>
            <w:tcW w:w="1417" w:type="dxa"/>
          </w:tcPr>
          <w:p w14:paraId="3128EB9A" w14:textId="7C3B6D6A"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2E19841C" w14:textId="09E33AE1" w:rsidTr="00BC3998">
        <w:trPr>
          <w:trHeight w:val="276"/>
        </w:trPr>
        <w:tc>
          <w:tcPr>
            <w:tcW w:w="2547" w:type="dxa"/>
            <w:vMerge/>
            <w:vAlign w:val="center"/>
          </w:tcPr>
          <w:p w14:paraId="37DCF479"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12b</w:t>
            </w:r>
          </w:p>
        </w:tc>
        <w:tc>
          <w:tcPr>
            <w:tcW w:w="9356" w:type="dxa"/>
          </w:tcPr>
          <w:p w14:paraId="17B5A221"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tcPr>
          <w:p w14:paraId="6D568B99" w14:textId="3690E1BA"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72C268E0" w14:textId="2C365FD3" w:rsidTr="00BC3998">
        <w:trPr>
          <w:trHeight w:val="463"/>
        </w:trPr>
        <w:tc>
          <w:tcPr>
            <w:tcW w:w="2547" w:type="dxa"/>
          </w:tcPr>
          <w:p w14:paraId="23EE01E3" w14:textId="2BBC8976"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lastRenderedPageBreak/>
              <w:t>Intervention and comparator</w:t>
            </w:r>
          </w:p>
        </w:tc>
        <w:tc>
          <w:tcPr>
            <w:tcW w:w="992" w:type="dxa"/>
          </w:tcPr>
          <w:p w14:paraId="7CCB2186"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13</w:t>
            </w:r>
          </w:p>
        </w:tc>
        <w:tc>
          <w:tcPr>
            <w:tcW w:w="9356" w:type="dxa"/>
          </w:tcPr>
          <w:p w14:paraId="17D21D80" w14:textId="3ACFFF1E"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Intervention and comparator with sufficient details to allow replication. If relevant, where additional materials describing the intervention and comparator (e.g., intervention manual) can be accessed</w:t>
            </w:r>
          </w:p>
        </w:tc>
        <w:tc>
          <w:tcPr>
            <w:tcW w:w="1417" w:type="dxa"/>
          </w:tcPr>
          <w:p w14:paraId="3D06E337" w14:textId="406CE9F4"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5-7</w:t>
            </w:r>
          </w:p>
        </w:tc>
      </w:tr>
      <w:tr w:rsidR="00B36D6D" w:rsidRPr="009C6FD6" w14:paraId="2D3DE58D" w14:textId="4C478C59" w:rsidTr="00BC3998">
        <w:trPr>
          <w:trHeight w:val="614"/>
        </w:trPr>
        <w:tc>
          <w:tcPr>
            <w:tcW w:w="2547" w:type="dxa"/>
          </w:tcPr>
          <w:p w14:paraId="273E4E1D"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Outcomes</w:t>
            </w:r>
          </w:p>
        </w:tc>
        <w:tc>
          <w:tcPr>
            <w:tcW w:w="992" w:type="dxa"/>
          </w:tcPr>
          <w:p w14:paraId="1C478860"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14</w:t>
            </w:r>
          </w:p>
          <w:p w14:paraId="7F479C8B" w14:textId="77777777" w:rsidR="00B36D6D" w:rsidRPr="009C6FD6" w:rsidRDefault="00B36D6D">
            <w:pPr>
              <w:spacing w:line="240" w:lineRule="auto"/>
              <w:jc w:val="center"/>
              <w:rPr>
                <w:rFonts w:ascii="Calibri" w:eastAsia="Calibri" w:hAnsi="Calibri" w:cs="Calibri"/>
                <w:color w:val="000000"/>
                <w:sz w:val="22"/>
                <w:szCs w:val="22"/>
                <w:lang w:val="en-GB"/>
              </w:rPr>
            </w:pPr>
          </w:p>
        </w:tc>
        <w:tc>
          <w:tcPr>
            <w:tcW w:w="9356" w:type="dxa"/>
          </w:tcPr>
          <w:p w14:paraId="794D803F"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14:textId="2E3A6AC1"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7-8</w:t>
            </w:r>
          </w:p>
        </w:tc>
      </w:tr>
      <w:tr w:rsidR="00B36D6D" w:rsidRPr="009C6FD6" w14:paraId="58D124DA" w14:textId="000F135E" w:rsidTr="00BC3998">
        <w:trPr>
          <w:trHeight w:val="339"/>
        </w:trPr>
        <w:tc>
          <w:tcPr>
            <w:tcW w:w="2547" w:type="dxa"/>
          </w:tcPr>
          <w:p w14:paraId="3A9C2505"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Harms</w:t>
            </w:r>
          </w:p>
        </w:tc>
        <w:tc>
          <w:tcPr>
            <w:tcW w:w="992" w:type="dxa"/>
          </w:tcPr>
          <w:p w14:paraId="1344FFA5"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15</w:t>
            </w:r>
          </w:p>
        </w:tc>
        <w:tc>
          <w:tcPr>
            <w:tcW w:w="9356" w:type="dxa"/>
          </w:tcPr>
          <w:p w14:paraId="591013B6"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How harms were defined and assessed (e.g., systematically, non-systematically)</w:t>
            </w:r>
          </w:p>
        </w:tc>
        <w:tc>
          <w:tcPr>
            <w:tcW w:w="1417" w:type="dxa"/>
          </w:tcPr>
          <w:p w14:paraId="5D66BF02" w14:textId="121E46FB"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62973BF2" w14:textId="49BAA2F8" w:rsidTr="00BC3998">
        <w:trPr>
          <w:trHeight w:val="273"/>
        </w:trPr>
        <w:tc>
          <w:tcPr>
            <w:tcW w:w="2547" w:type="dxa"/>
            <w:vMerge w:val="restart"/>
          </w:tcPr>
          <w:p w14:paraId="6A7FA313"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Sample size</w:t>
            </w:r>
          </w:p>
        </w:tc>
        <w:tc>
          <w:tcPr>
            <w:tcW w:w="992" w:type="dxa"/>
          </w:tcPr>
          <w:p w14:paraId="3D9FEE9D"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16a</w:t>
            </w:r>
          </w:p>
        </w:tc>
        <w:tc>
          <w:tcPr>
            <w:tcW w:w="9356" w:type="dxa"/>
          </w:tcPr>
          <w:p w14:paraId="3B91C74A"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14:paraId="180AD325" w14:textId="0EE25C44"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r>
      <w:tr w:rsidR="00B36D6D" w:rsidRPr="009C6FD6" w14:paraId="365605D7" w14:textId="7252FE1E" w:rsidTr="00BC3998">
        <w:trPr>
          <w:trHeight w:val="273"/>
        </w:trPr>
        <w:tc>
          <w:tcPr>
            <w:tcW w:w="2547" w:type="dxa"/>
            <w:vMerge/>
          </w:tcPr>
          <w:p w14:paraId="5EE3997D"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16b</w:t>
            </w:r>
          </w:p>
        </w:tc>
        <w:tc>
          <w:tcPr>
            <w:tcW w:w="9356" w:type="dxa"/>
          </w:tcPr>
          <w:p w14:paraId="5929DED2"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Explanation of any interim analyses and stopping guidelines</w:t>
            </w:r>
          </w:p>
        </w:tc>
        <w:tc>
          <w:tcPr>
            <w:tcW w:w="1417" w:type="dxa"/>
          </w:tcPr>
          <w:p w14:paraId="74EBB045" w14:textId="1CFA4CCF"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7CF31D29" w14:textId="10D62C26" w:rsidTr="00BC3998">
        <w:trPr>
          <w:trHeight w:val="276"/>
        </w:trPr>
        <w:tc>
          <w:tcPr>
            <w:tcW w:w="2547" w:type="dxa"/>
          </w:tcPr>
          <w:p w14:paraId="1D2AE3FF"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Randomisation:</w:t>
            </w:r>
          </w:p>
        </w:tc>
        <w:tc>
          <w:tcPr>
            <w:tcW w:w="992" w:type="dxa"/>
          </w:tcPr>
          <w:p w14:paraId="11796DC7"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 </w:t>
            </w:r>
          </w:p>
        </w:tc>
        <w:tc>
          <w:tcPr>
            <w:tcW w:w="9356" w:type="dxa"/>
          </w:tcPr>
          <w:p w14:paraId="7A753159"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 </w:t>
            </w:r>
          </w:p>
        </w:tc>
        <w:tc>
          <w:tcPr>
            <w:tcW w:w="1417" w:type="dxa"/>
          </w:tcPr>
          <w:p w14:paraId="036862A2"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4537F87A" w14:textId="569C9680" w:rsidTr="00BC3998">
        <w:trPr>
          <w:trHeight w:val="266"/>
        </w:trPr>
        <w:tc>
          <w:tcPr>
            <w:tcW w:w="2547" w:type="dxa"/>
            <w:vMerge w:val="restart"/>
          </w:tcPr>
          <w:p w14:paraId="15B2BB96" w14:textId="77777777" w:rsidR="00B36D6D" w:rsidRPr="009C6FD6" w:rsidRDefault="00B36D6D">
            <w:pPr>
              <w:spacing w:line="240" w:lineRule="auto"/>
              <w:ind w:left="113"/>
              <w:rPr>
                <w:rFonts w:ascii="Calibri" w:eastAsia="Calibri" w:hAnsi="Calibri" w:cs="Calibri"/>
                <w:color w:val="000000"/>
                <w:sz w:val="22"/>
                <w:szCs w:val="22"/>
                <w:lang w:val="en-GB"/>
              </w:rPr>
            </w:pPr>
            <w:r>
              <w:rPr>
                <w:rFonts w:ascii="Calibri" w:eastAsia="Calibri" w:hAnsi="Calibri" w:cs="Calibri"/>
                <w:color w:val="000000"/>
                <w:sz w:val="22"/>
                <w:szCs w:val="22"/>
                <w:lang w:val="en-GB"/>
              </w:rPr>
              <w:t>Sequence generation</w:t>
            </w:r>
          </w:p>
        </w:tc>
        <w:tc>
          <w:tcPr>
            <w:tcW w:w="992" w:type="dxa"/>
          </w:tcPr>
          <w:p w14:paraId="04D32F8E"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17a</w:t>
            </w:r>
          </w:p>
        </w:tc>
        <w:tc>
          <w:tcPr>
            <w:tcW w:w="9356" w:type="dxa"/>
          </w:tcPr>
          <w:p w14:paraId="34D407B2"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Who generated the random allocation sequence and the method used</w:t>
            </w:r>
          </w:p>
        </w:tc>
        <w:tc>
          <w:tcPr>
            <w:tcW w:w="1417" w:type="dxa"/>
          </w:tcPr>
          <w:p w14:paraId="50468870" w14:textId="49616C34"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14EC82C6" w14:textId="3CED05A8" w:rsidTr="00BC3998">
        <w:trPr>
          <w:trHeight w:val="285"/>
        </w:trPr>
        <w:tc>
          <w:tcPr>
            <w:tcW w:w="2547" w:type="dxa"/>
            <w:vMerge/>
          </w:tcPr>
          <w:p w14:paraId="0F443E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17b</w:t>
            </w:r>
          </w:p>
        </w:tc>
        <w:tc>
          <w:tcPr>
            <w:tcW w:w="9356" w:type="dxa"/>
          </w:tcPr>
          <w:p w14:paraId="29B4B766"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14:paraId="6BFED71E" w14:textId="3980D9E9"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30B7CE14" w14:textId="2A8F98FA" w:rsidTr="00BC3998">
        <w:trPr>
          <w:trHeight w:val="544"/>
        </w:trPr>
        <w:tc>
          <w:tcPr>
            <w:tcW w:w="2547" w:type="dxa"/>
          </w:tcPr>
          <w:p w14:paraId="50619AAE" w14:textId="77777777" w:rsidR="00B36D6D" w:rsidRPr="009C6FD6" w:rsidRDefault="00B36D6D">
            <w:pPr>
              <w:spacing w:line="240" w:lineRule="auto"/>
              <w:ind w:left="113"/>
              <w:rPr>
                <w:rFonts w:ascii="Calibri" w:eastAsia="Calibri" w:hAnsi="Calibri" w:cs="Calibri"/>
                <w:color w:val="000000"/>
                <w:sz w:val="22"/>
                <w:szCs w:val="22"/>
                <w:lang w:val="en-GB"/>
              </w:rPr>
            </w:pPr>
            <w:r>
              <w:rPr>
                <w:rFonts w:ascii="Calibri" w:eastAsia="Calibri" w:hAnsi="Calibri" w:cs="Calibri"/>
                <w:color w:val="000000"/>
                <w:sz w:val="22"/>
                <w:szCs w:val="22"/>
                <w:lang w:val="en-GB"/>
              </w:rPr>
              <w:t>Allocation concealment mechanism</w:t>
            </w:r>
          </w:p>
        </w:tc>
        <w:tc>
          <w:tcPr>
            <w:tcW w:w="992" w:type="dxa"/>
          </w:tcPr>
          <w:p w14:paraId="4B77DA41"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18</w:t>
            </w:r>
          </w:p>
        </w:tc>
        <w:tc>
          <w:tcPr>
            <w:tcW w:w="9356" w:type="dxa"/>
          </w:tcPr>
          <w:p w14:paraId="4FFCCFAC"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14:textId="1F34A360"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685356C7" w14:textId="4A9F88ED" w:rsidTr="00BC3998">
        <w:trPr>
          <w:trHeight w:val="558"/>
        </w:trPr>
        <w:tc>
          <w:tcPr>
            <w:tcW w:w="2547" w:type="dxa"/>
          </w:tcPr>
          <w:p w14:paraId="1669B1E1" w14:textId="77777777" w:rsidR="00B36D6D" w:rsidRPr="009C6FD6" w:rsidRDefault="00B36D6D">
            <w:pPr>
              <w:spacing w:line="240" w:lineRule="auto"/>
              <w:ind w:left="113"/>
              <w:rPr>
                <w:rFonts w:ascii="Calibri" w:eastAsia="Calibri" w:hAnsi="Calibri" w:cs="Calibri"/>
                <w:color w:val="000000"/>
                <w:sz w:val="22"/>
                <w:szCs w:val="22"/>
                <w:lang w:val="en-GB"/>
              </w:rPr>
            </w:pPr>
            <w:r>
              <w:rPr>
                <w:rFonts w:ascii="Calibri" w:eastAsia="Calibri" w:hAnsi="Calibri" w:cs="Calibri"/>
                <w:color w:val="000000"/>
                <w:sz w:val="22"/>
                <w:szCs w:val="22"/>
                <w:lang w:val="en-GB"/>
              </w:rPr>
              <w:t>Implementation</w:t>
            </w:r>
          </w:p>
        </w:tc>
        <w:tc>
          <w:tcPr>
            <w:tcW w:w="992" w:type="dxa"/>
          </w:tcPr>
          <w:p w14:paraId="6FD9CBB1"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19</w:t>
            </w:r>
          </w:p>
        </w:tc>
        <w:tc>
          <w:tcPr>
            <w:tcW w:w="9356" w:type="dxa"/>
          </w:tcPr>
          <w:p w14:paraId="11684608"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14:textId="416C6AA6"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14AA8C84" w14:textId="0364F565" w:rsidTr="00BC3998">
        <w:trPr>
          <w:trHeight w:val="251"/>
        </w:trPr>
        <w:tc>
          <w:tcPr>
            <w:tcW w:w="2547" w:type="dxa"/>
            <w:vMerge w:val="restart"/>
          </w:tcPr>
          <w:p w14:paraId="60350122"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Blinding</w:t>
            </w:r>
          </w:p>
        </w:tc>
        <w:tc>
          <w:tcPr>
            <w:tcW w:w="992" w:type="dxa"/>
          </w:tcPr>
          <w:p w14:paraId="6C796451"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20a</w:t>
            </w:r>
          </w:p>
        </w:tc>
        <w:tc>
          <w:tcPr>
            <w:tcW w:w="9356" w:type="dxa"/>
          </w:tcPr>
          <w:p w14:paraId="080A7802"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14:textId="774434CC"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19571F76" w14:textId="1258F279" w:rsidTr="00BC3998">
        <w:trPr>
          <w:trHeight w:val="274"/>
        </w:trPr>
        <w:tc>
          <w:tcPr>
            <w:tcW w:w="2547" w:type="dxa"/>
            <w:vMerge/>
          </w:tcPr>
          <w:p w14:paraId="6DDD68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20b</w:t>
            </w:r>
          </w:p>
        </w:tc>
        <w:tc>
          <w:tcPr>
            <w:tcW w:w="9356" w:type="dxa"/>
          </w:tcPr>
          <w:p w14:paraId="64C5F50F"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If blinded, how blinding was achieved and description of the similarity of interventions</w:t>
            </w:r>
          </w:p>
        </w:tc>
        <w:tc>
          <w:tcPr>
            <w:tcW w:w="1417" w:type="dxa"/>
          </w:tcPr>
          <w:p w14:paraId="795AB5B0" w14:textId="0EAA75CA"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039E9794" w14:textId="27F927CF" w:rsidTr="00BC3998">
        <w:trPr>
          <w:trHeight w:val="225"/>
        </w:trPr>
        <w:tc>
          <w:tcPr>
            <w:tcW w:w="2547" w:type="dxa"/>
            <w:vMerge w:val="restart"/>
          </w:tcPr>
          <w:p w14:paraId="3E5EB1A2"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Statistical methods</w:t>
            </w:r>
          </w:p>
        </w:tc>
        <w:tc>
          <w:tcPr>
            <w:tcW w:w="992" w:type="dxa"/>
          </w:tcPr>
          <w:p w14:paraId="51D15D6E"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21a</w:t>
            </w:r>
          </w:p>
        </w:tc>
        <w:tc>
          <w:tcPr>
            <w:tcW w:w="9356" w:type="dxa"/>
          </w:tcPr>
          <w:p w14:paraId="67FA2D09"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14:paraId="1C79083E" w14:textId="3C758DA4"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9-10</w:t>
            </w:r>
          </w:p>
        </w:tc>
      </w:tr>
      <w:tr w:rsidR="00B36D6D" w:rsidRPr="009C6FD6" w14:paraId="06CA6CC2" w14:textId="6A3DF668" w:rsidTr="00BC3998">
        <w:trPr>
          <w:trHeight w:val="225"/>
        </w:trPr>
        <w:tc>
          <w:tcPr>
            <w:tcW w:w="2547" w:type="dxa"/>
            <w:vMerge/>
          </w:tcPr>
          <w:p w14:paraId="7629AC0E"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21b</w:t>
            </w:r>
          </w:p>
        </w:tc>
        <w:tc>
          <w:tcPr>
            <w:tcW w:w="9356" w:type="dxa"/>
          </w:tcPr>
          <w:p w14:paraId="096BC753"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14:paraId="6622E359" w14:textId="04C79C75"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9-10</w:t>
            </w:r>
          </w:p>
        </w:tc>
      </w:tr>
      <w:tr w:rsidR="00B36D6D" w:rsidRPr="009C6FD6" w14:paraId="35065EEA" w14:textId="6378B8ED" w:rsidTr="00BC3998">
        <w:trPr>
          <w:trHeight w:val="225"/>
        </w:trPr>
        <w:tc>
          <w:tcPr>
            <w:tcW w:w="2547" w:type="dxa"/>
            <w:vMerge/>
          </w:tcPr>
          <w:p w14:paraId="1EBB0B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21c</w:t>
            </w:r>
          </w:p>
        </w:tc>
        <w:tc>
          <w:tcPr>
            <w:tcW w:w="9356" w:type="dxa"/>
          </w:tcPr>
          <w:p w14:paraId="06CE57AE"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How missing data were handled in the analysis</w:t>
            </w:r>
          </w:p>
        </w:tc>
        <w:tc>
          <w:tcPr>
            <w:tcW w:w="1417" w:type="dxa"/>
          </w:tcPr>
          <w:p w14:paraId="295B5602" w14:textId="78C9D9BD"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10</w:t>
            </w:r>
          </w:p>
        </w:tc>
      </w:tr>
      <w:tr w:rsidR="00B36D6D" w:rsidRPr="009C6FD6" w14:paraId="1498BEBC" w14:textId="2FFF5282" w:rsidTr="00BC3998">
        <w:trPr>
          <w:trHeight w:val="257"/>
        </w:trPr>
        <w:tc>
          <w:tcPr>
            <w:tcW w:w="2547" w:type="dxa"/>
            <w:vMerge/>
          </w:tcPr>
          <w:p w14:paraId="507413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21d</w:t>
            </w:r>
          </w:p>
        </w:tc>
        <w:tc>
          <w:tcPr>
            <w:tcW w:w="9356" w:type="dxa"/>
          </w:tcPr>
          <w:p w14:paraId="25A70C8A"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Methods for any additional analyses (e.g., subgroup and sensitivity analyses), distinguishing prespecified from post-hoc</w:t>
            </w:r>
          </w:p>
        </w:tc>
        <w:tc>
          <w:tcPr>
            <w:tcW w:w="1417" w:type="dxa"/>
          </w:tcPr>
          <w:p w14:paraId="710D1F83" w14:textId="72B3326D"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3F41CCB8" w14:textId="1F7EE013" w:rsidTr="00BC3998">
        <w:trPr>
          <w:trHeight w:val="276"/>
        </w:trPr>
        <w:tc>
          <w:tcPr>
            <w:tcW w:w="12895" w:type="dxa"/>
            <w:gridSpan w:val="3"/>
            <w:shd w:val="clear" w:color="auto" w:fill="BDD7EE"/>
            <w:vAlign w:val="bottom"/>
          </w:tcPr>
          <w:p w14:paraId="42D9F967" w14:textId="77777777" w:rsidR="00B36D6D" w:rsidRPr="009C6FD6" w:rsidRDefault="00B36D6D">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Results</w:t>
            </w:r>
          </w:p>
        </w:tc>
        <w:tc>
          <w:tcPr>
            <w:tcW w:w="1417" w:type="dxa"/>
            <w:shd w:val="clear" w:color="auto" w:fill="C6D9F1" w:themeFill="text2" w:themeFillTint="33"/>
          </w:tcPr>
          <w:p w14:paraId="6166F990"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10F8ECC" w14:textId="46810026" w:rsidTr="00BC3998">
        <w:trPr>
          <w:trHeight w:val="409"/>
        </w:trPr>
        <w:tc>
          <w:tcPr>
            <w:tcW w:w="2547" w:type="dxa"/>
            <w:vMerge w:val="restart"/>
          </w:tcPr>
          <w:p w14:paraId="5A5782B0"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Participant flow, including flow diagram</w:t>
            </w:r>
          </w:p>
        </w:tc>
        <w:tc>
          <w:tcPr>
            <w:tcW w:w="992" w:type="dxa"/>
          </w:tcPr>
          <w:p w14:paraId="6A3D7D97"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22a</w:t>
            </w:r>
          </w:p>
        </w:tc>
        <w:tc>
          <w:tcPr>
            <w:tcW w:w="9356" w:type="dxa"/>
          </w:tcPr>
          <w:p w14:paraId="5407FA06" w14:textId="61442A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For each group, the numbers of participants who were randomly assigned, received intended intervention, and were analysed for the primary outcome</w:t>
            </w:r>
          </w:p>
        </w:tc>
        <w:tc>
          <w:tcPr>
            <w:tcW w:w="1417" w:type="dxa"/>
          </w:tcPr>
          <w:p w14:paraId="5DEF8ECA" w14:textId="5FA268B8"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11</w:t>
            </w:r>
          </w:p>
        </w:tc>
      </w:tr>
      <w:tr w:rsidR="00B36D6D" w:rsidRPr="009C6FD6" w14:paraId="2FE65AFD" w14:textId="4A45C52E" w:rsidTr="00BC3998">
        <w:trPr>
          <w:trHeight w:val="189"/>
        </w:trPr>
        <w:tc>
          <w:tcPr>
            <w:tcW w:w="2547" w:type="dxa"/>
            <w:vMerge/>
          </w:tcPr>
          <w:p w14:paraId="5CE6010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22b</w:t>
            </w:r>
          </w:p>
        </w:tc>
        <w:tc>
          <w:tcPr>
            <w:tcW w:w="9356" w:type="dxa"/>
          </w:tcPr>
          <w:p w14:paraId="1DDC84FB"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For each group, losses and exclusions after randomisation, together with reasons</w:t>
            </w:r>
          </w:p>
        </w:tc>
        <w:tc>
          <w:tcPr>
            <w:tcW w:w="1417" w:type="dxa"/>
          </w:tcPr>
          <w:p w14:paraId="71AA61D4" w14:textId="7498550D"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11</w:t>
            </w:r>
          </w:p>
        </w:tc>
      </w:tr>
      <w:tr w:rsidR="00B36D6D" w:rsidRPr="009C6FD6" w14:paraId="59CD0FA1" w14:textId="30780657" w:rsidTr="00BC3998">
        <w:trPr>
          <w:trHeight w:val="221"/>
        </w:trPr>
        <w:tc>
          <w:tcPr>
            <w:tcW w:w="2547" w:type="dxa"/>
            <w:vMerge w:val="restart"/>
          </w:tcPr>
          <w:p w14:paraId="333D7287"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Recruitment</w:t>
            </w:r>
          </w:p>
        </w:tc>
        <w:tc>
          <w:tcPr>
            <w:tcW w:w="992" w:type="dxa"/>
          </w:tcPr>
          <w:p w14:paraId="575F7DFB"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23a</w:t>
            </w:r>
          </w:p>
        </w:tc>
        <w:tc>
          <w:tcPr>
            <w:tcW w:w="9356" w:type="dxa"/>
          </w:tcPr>
          <w:p w14:paraId="0570F754"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Dates defining the periods of recruitment and follow-up for outcomes of benefits and harms</w:t>
            </w:r>
          </w:p>
        </w:tc>
        <w:tc>
          <w:tcPr>
            <w:tcW w:w="1417" w:type="dxa"/>
          </w:tcPr>
          <w:p w14:paraId="0798090E" w14:textId="1303B761"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09AF0A77" w14:textId="6EA02291" w:rsidTr="00BC3998">
        <w:trPr>
          <w:trHeight w:val="276"/>
        </w:trPr>
        <w:tc>
          <w:tcPr>
            <w:tcW w:w="2547" w:type="dxa"/>
            <w:vMerge/>
          </w:tcPr>
          <w:p w14:paraId="2ADD839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23b</w:t>
            </w:r>
          </w:p>
        </w:tc>
        <w:tc>
          <w:tcPr>
            <w:tcW w:w="9356" w:type="dxa"/>
          </w:tcPr>
          <w:p w14:paraId="1CC3415B"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If relevant, why the trial ended or was stopped</w:t>
            </w:r>
          </w:p>
        </w:tc>
        <w:tc>
          <w:tcPr>
            <w:tcW w:w="1417" w:type="dxa"/>
          </w:tcPr>
          <w:p w14:paraId="105B15A1" w14:textId="109ECE32"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6606AF75" w14:textId="11598C32" w:rsidTr="00BC3998">
        <w:trPr>
          <w:trHeight w:val="441"/>
        </w:trPr>
        <w:tc>
          <w:tcPr>
            <w:tcW w:w="2547" w:type="dxa"/>
            <w:vMerge w:val="restart"/>
          </w:tcPr>
          <w:p w14:paraId="1B3138DF" w14:textId="6EF71583"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lastRenderedPageBreak/>
              <w:t>Intervention and comparator delivery</w:t>
            </w:r>
          </w:p>
        </w:tc>
        <w:tc>
          <w:tcPr>
            <w:tcW w:w="992" w:type="dxa"/>
          </w:tcPr>
          <w:p w14:paraId="4A5F7AFC"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24a</w:t>
            </w:r>
          </w:p>
        </w:tc>
        <w:tc>
          <w:tcPr>
            <w:tcW w:w="9356" w:type="dxa"/>
          </w:tcPr>
          <w:p w14:paraId="4BFDE352" w14:textId="4785DB30"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 xml:space="preserve">Intervention and comparator as they were actually administered (e.g., where appropriate, who delivered the intervention/comparator, how participants adhered, whether they were delivered as intended [fidelity]) </w:t>
            </w:r>
          </w:p>
        </w:tc>
        <w:tc>
          <w:tcPr>
            <w:tcW w:w="1417" w:type="dxa"/>
          </w:tcPr>
          <w:p w14:paraId="33641150" w14:textId="3759125B"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5-7</w:t>
            </w:r>
          </w:p>
        </w:tc>
      </w:tr>
      <w:tr w:rsidR="00B36D6D" w:rsidRPr="009C6FD6" w14:paraId="033933B9" w14:textId="20F8F7EA" w:rsidTr="00BC3998">
        <w:trPr>
          <w:trHeight w:val="243"/>
        </w:trPr>
        <w:tc>
          <w:tcPr>
            <w:tcW w:w="2547" w:type="dxa"/>
            <w:vMerge/>
          </w:tcPr>
          <w:p w14:paraId="29860036"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24b</w:t>
            </w:r>
          </w:p>
        </w:tc>
        <w:tc>
          <w:tcPr>
            <w:tcW w:w="9356" w:type="dxa"/>
          </w:tcPr>
          <w:p w14:paraId="10AE211E"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Concomitant care received during the trial for each group</w:t>
            </w:r>
          </w:p>
        </w:tc>
        <w:tc>
          <w:tcPr>
            <w:tcW w:w="1417" w:type="dxa"/>
          </w:tcPr>
          <w:p w14:paraId="0A4B9B49" w14:textId="6F21FDC1"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63F6DFC5" w14:textId="1190F9BE" w:rsidTr="00BC3998">
        <w:trPr>
          <w:trHeight w:val="243"/>
        </w:trPr>
        <w:tc>
          <w:tcPr>
            <w:tcW w:w="2547" w:type="dxa"/>
          </w:tcPr>
          <w:p w14:paraId="4482000C"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Baseline data</w:t>
            </w:r>
          </w:p>
        </w:tc>
        <w:tc>
          <w:tcPr>
            <w:tcW w:w="992" w:type="dxa"/>
          </w:tcPr>
          <w:p w14:paraId="4A489CE9"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25</w:t>
            </w:r>
          </w:p>
        </w:tc>
        <w:tc>
          <w:tcPr>
            <w:tcW w:w="9356" w:type="dxa"/>
          </w:tcPr>
          <w:p w14:paraId="5EB86B3D"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A table showing baseline demographic and clinical characteristics for each group</w:t>
            </w:r>
          </w:p>
        </w:tc>
        <w:tc>
          <w:tcPr>
            <w:tcW w:w="1417" w:type="dxa"/>
          </w:tcPr>
          <w:p w14:paraId="01C9A6AC" w14:textId="0610C702"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12</w:t>
            </w:r>
          </w:p>
        </w:tc>
      </w:tr>
      <w:tr w:rsidR="00B36D6D" w:rsidRPr="009C6FD6" w14:paraId="7EA4CB43" w14:textId="300BD440" w:rsidTr="00BC3998">
        <w:trPr>
          <w:trHeight w:val="416"/>
        </w:trPr>
        <w:tc>
          <w:tcPr>
            <w:tcW w:w="2547" w:type="dxa"/>
          </w:tcPr>
          <w:p w14:paraId="10F375E4"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 xml:space="preserve">Numbers analysed, </w:t>
            </w:r>
          </w:p>
          <w:p w14:paraId="66FE5FD4"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outcomes and estimation</w:t>
            </w:r>
          </w:p>
        </w:tc>
        <w:tc>
          <w:tcPr>
            <w:tcW w:w="992" w:type="dxa"/>
          </w:tcPr>
          <w:p w14:paraId="47AF241A"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26</w:t>
            </w:r>
          </w:p>
        </w:tc>
        <w:tc>
          <w:tcPr>
            <w:tcW w:w="9356" w:type="dxa"/>
          </w:tcPr>
          <w:p w14:paraId="2508DC5A"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 xml:space="preserve">For each primary and secondary outcome, by group: </w:t>
            </w:r>
          </w:p>
          <w:p w14:paraId="5FFA398B" w14:textId="77777777" w:rsidR="00B36D6D" w:rsidRPr="009C6FD6" w:rsidRDefault="00B36D6D" w:rsidP="0003760B">
            <w:pPr>
              <w:numPr>
                <w:ilvl w:val="0"/>
                <w:numId w:val="4"/>
              </w:numPr>
              <w:spacing w:line="240" w:lineRule="auto"/>
              <w:rPr>
                <w:color w:val="000000"/>
                <w:sz w:val="22"/>
                <w:szCs w:val="22"/>
                <w:lang w:val="en-GB"/>
              </w:rPr>
            </w:pPr>
            <w:r>
              <w:rPr>
                <w:rFonts w:ascii="Calibri" w:eastAsia="Calibri" w:hAnsi="Calibri" w:cs="Calibri"/>
                <w:color w:val="000000"/>
                <w:sz w:val="22"/>
                <w:szCs w:val="22"/>
                <w:lang w:val="en-GB"/>
              </w:rPr>
              <w:t xml:space="preserve">the number of participants included in the analysis </w:t>
            </w:r>
          </w:p>
          <w:p w14:paraId="1D7E62F7" w14:textId="77777777" w:rsidR="00B36D6D" w:rsidRPr="009C6FD6" w:rsidRDefault="00B36D6D" w:rsidP="0003760B">
            <w:pPr>
              <w:numPr>
                <w:ilvl w:val="0"/>
                <w:numId w:val="4"/>
              </w:numPr>
              <w:spacing w:line="240" w:lineRule="auto"/>
              <w:rPr>
                <w:color w:val="000000"/>
                <w:sz w:val="22"/>
                <w:szCs w:val="22"/>
                <w:lang w:val="en-GB"/>
              </w:rPr>
            </w:pPr>
            <w:r>
              <w:rPr>
                <w:rFonts w:ascii="Calibri" w:eastAsia="Calibri" w:hAnsi="Calibri" w:cs="Calibri"/>
                <w:color w:val="000000"/>
                <w:sz w:val="22"/>
                <w:szCs w:val="22"/>
                <w:lang w:val="en-GB"/>
              </w:rPr>
              <w:t>the number of participants with available data at the outcome time point</w:t>
            </w:r>
          </w:p>
          <w:p w14:paraId="14A74C90" w14:textId="77777777" w:rsidR="00B36D6D" w:rsidRPr="009C6FD6" w:rsidRDefault="00B36D6D" w:rsidP="0003760B">
            <w:pPr>
              <w:numPr>
                <w:ilvl w:val="0"/>
                <w:numId w:val="4"/>
              </w:numPr>
              <w:spacing w:line="240" w:lineRule="auto"/>
              <w:rPr>
                <w:color w:val="000000"/>
                <w:sz w:val="22"/>
                <w:szCs w:val="22"/>
                <w:lang w:val="en-GB"/>
              </w:rPr>
            </w:pPr>
            <w:r>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B36D6D" w:rsidRPr="009C6FD6" w:rsidRDefault="00B36D6D" w:rsidP="0003760B">
            <w:pPr>
              <w:numPr>
                <w:ilvl w:val="0"/>
                <w:numId w:val="4"/>
              </w:numPr>
              <w:spacing w:after="160" w:line="240" w:lineRule="auto"/>
              <w:rPr>
                <w:color w:val="000000"/>
                <w:sz w:val="22"/>
                <w:szCs w:val="22"/>
                <w:lang w:val="en-GB"/>
              </w:rPr>
            </w:pPr>
            <w:r>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14:paraId="50DA64D5" w14:textId="4CAF4ECC"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12-17</w:t>
            </w:r>
          </w:p>
        </w:tc>
      </w:tr>
      <w:tr w:rsidR="00B36D6D" w:rsidRPr="009C6FD6" w14:paraId="313A3717" w14:textId="655B1818" w:rsidTr="00BC3998">
        <w:trPr>
          <w:trHeight w:val="204"/>
        </w:trPr>
        <w:tc>
          <w:tcPr>
            <w:tcW w:w="2547" w:type="dxa"/>
          </w:tcPr>
          <w:p w14:paraId="1316CD24"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Harms</w:t>
            </w:r>
          </w:p>
        </w:tc>
        <w:tc>
          <w:tcPr>
            <w:tcW w:w="992" w:type="dxa"/>
          </w:tcPr>
          <w:p w14:paraId="6CC8A508"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27</w:t>
            </w:r>
          </w:p>
        </w:tc>
        <w:tc>
          <w:tcPr>
            <w:tcW w:w="9356" w:type="dxa"/>
          </w:tcPr>
          <w:p w14:paraId="687024A2"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 xml:space="preserve">All harms or unintended events in each group </w:t>
            </w:r>
          </w:p>
        </w:tc>
        <w:tc>
          <w:tcPr>
            <w:tcW w:w="1417" w:type="dxa"/>
          </w:tcPr>
          <w:p w14:paraId="72B82CF4" w14:textId="7C6ED55A"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6C77604" w14:textId="1EA17D7C" w:rsidTr="00BC3998">
        <w:trPr>
          <w:trHeight w:val="416"/>
        </w:trPr>
        <w:tc>
          <w:tcPr>
            <w:tcW w:w="2547" w:type="dxa"/>
          </w:tcPr>
          <w:p w14:paraId="216037D6"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Ancillary analyses</w:t>
            </w:r>
          </w:p>
        </w:tc>
        <w:tc>
          <w:tcPr>
            <w:tcW w:w="992" w:type="dxa"/>
          </w:tcPr>
          <w:p w14:paraId="034AD55A"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28</w:t>
            </w:r>
          </w:p>
        </w:tc>
        <w:tc>
          <w:tcPr>
            <w:tcW w:w="9356" w:type="dxa"/>
          </w:tcPr>
          <w:p w14:paraId="68E7918B"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14:paraId="3457C6CE" w14:textId="42FBD774"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7517AC6" w14:textId="26728EA0" w:rsidTr="00BC3998">
        <w:trPr>
          <w:trHeight w:val="276"/>
        </w:trPr>
        <w:tc>
          <w:tcPr>
            <w:tcW w:w="12895" w:type="dxa"/>
            <w:gridSpan w:val="3"/>
            <w:shd w:val="clear" w:color="auto" w:fill="BDD7EE"/>
          </w:tcPr>
          <w:p w14:paraId="7D072CE0" w14:textId="77777777" w:rsidR="00B36D6D" w:rsidRPr="009C6FD6" w:rsidRDefault="00B36D6D">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Discussion</w:t>
            </w:r>
          </w:p>
        </w:tc>
        <w:tc>
          <w:tcPr>
            <w:tcW w:w="1417" w:type="dxa"/>
            <w:shd w:val="clear" w:color="auto" w:fill="C6D9F1" w:themeFill="text2" w:themeFillTint="33"/>
          </w:tcPr>
          <w:p w14:paraId="13D65609"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6AC46E8" w14:textId="20AF5CCE" w:rsidTr="00BC3998">
        <w:trPr>
          <w:trHeight w:val="281"/>
        </w:trPr>
        <w:tc>
          <w:tcPr>
            <w:tcW w:w="2547" w:type="dxa"/>
          </w:tcPr>
          <w:p w14:paraId="2BDFB8E6"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Interpretation</w:t>
            </w:r>
          </w:p>
        </w:tc>
        <w:tc>
          <w:tcPr>
            <w:tcW w:w="992" w:type="dxa"/>
          </w:tcPr>
          <w:p w14:paraId="40C52785"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29</w:t>
            </w:r>
          </w:p>
        </w:tc>
        <w:tc>
          <w:tcPr>
            <w:tcW w:w="9356" w:type="dxa"/>
          </w:tcPr>
          <w:p w14:paraId="6689FC98"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14:paraId="028813E5" w14:textId="52855D6C"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19-21</w:t>
            </w:r>
          </w:p>
        </w:tc>
      </w:tr>
      <w:tr w:rsidR="00B36D6D" w:rsidRPr="009C6FD6" w14:paraId="29285F40" w14:textId="396FEF7D" w:rsidTr="00BC3998">
        <w:trPr>
          <w:trHeight w:val="281"/>
        </w:trPr>
        <w:tc>
          <w:tcPr>
            <w:tcW w:w="2547" w:type="dxa"/>
          </w:tcPr>
          <w:p w14:paraId="2A291D81"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Limitations</w:t>
            </w:r>
          </w:p>
        </w:tc>
        <w:tc>
          <w:tcPr>
            <w:tcW w:w="992" w:type="dxa"/>
          </w:tcPr>
          <w:p w14:paraId="065DB4EF" w14:textId="77777777" w:rsidR="00B36D6D" w:rsidRPr="009C6FD6" w:rsidRDefault="00B36D6D">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30</w:t>
            </w:r>
          </w:p>
        </w:tc>
        <w:tc>
          <w:tcPr>
            <w:tcW w:w="9356" w:type="dxa"/>
          </w:tcPr>
          <w:p w14:paraId="53F2EAD9" w14:textId="77777777"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417" w:type="dxa"/>
          </w:tcPr>
          <w:p w14:paraId="16436A34" w14:textId="615DE1BB" w:rsidR="00B36D6D" w:rsidRPr="009C6FD6" w:rsidRDefault="00B36D6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21</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Pr>
            <w:rStyle w:val="Collegamentoipertestuale"/>
            <w:rFonts w:ascii="Calibri" w:hAnsi="Calibri" w:cs="Calibri"/>
            <w:color w:val="0070C0"/>
            <w:sz w:val="20"/>
          </w:rPr>
          <w:t>www.consort-spirit.org</w:t>
        </w:r>
      </w:hyperlink>
      <w:r>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Pr>
          <w:rFonts w:ascii="Calibri" w:hAnsi="Calibri" w:cs="Calibri"/>
          <w:sz w:val="20"/>
        </w:rPr>
        <w:t xml:space="preserve">Citation: Hopewell S, Chan AW, Collins GS, Hróbjartsson A, Moher D, Schulz KF, et al. CONSORT 2025 Statement: updated guideline for reporting randomised trials. BMJ. 2025; 388:e081123. </w:t>
      </w:r>
      <w:hyperlink r:id="rId9" w:history="1">
        <w:r>
          <w:rPr>
            <w:rStyle w:val="Collegamentoipertestuale"/>
            <w:rFonts w:ascii="Calibri" w:hAnsi="Calibri" w:cs="Calibri"/>
            <w:color w:val="0070C0"/>
            <w:sz w:val="20"/>
          </w:rPr>
          <w:t>https://dx.doi.org/10.1136/bmj-2024-081123</w:t>
        </w:r>
      </w:hyperlink>
      <w:r>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Pr>
          <w:rFonts w:ascii="Calibri" w:hAnsi="Calibri" w:cs="Calibri"/>
          <w:sz w:val="20"/>
        </w:rPr>
        <w:br/>
        <w:t>© 2025 Hopewell et al. This is an Open Access article distributed under the terms of the Creative Commons Attribution License (</w:t>
      </w:r>
      <w:hyperlink r:id="rId10" w:history="1">
        <w:r>
          <w:rPr>
            <w:rStyle w:val="Collegamentoipertestuale"/>
            <w:rFonts w:ascii="Calibri" w:hAnsi="Calibri" w:cs="Calibri"/>
            <w:color w:val="0070C0"/>
            <w:sz w:val="20"/>
          </w:rPr>
          <w:t>https://creativecommons.org/licenses/by/4.0/</w:t>
        </w:r>
      </w:hyperlink>
      <w:r>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06337" w14:textId="77777777" w:rsidR="000B531A" w:rsidRDefault="000B531A" w:rsidP="00B70CED">
      <w:pPr>
        <w:spacing w:line="240" w:lineRule="auto"/>
      </w:pPr>
      <w:r>
        <w:separator/>
      </w:r>
    </w:p>
  </w:endnote>
  <w:endnote w:type="continuationSeparator" w:id="0">
    <w:p w14:paraId="42E0A871" w14:textId="77777777" w:rsidR="000B531A" w:rsidRDefault="000B531A"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078763"/>
      <w:docPartObj>
        <w:docPartGallery w:val="Page Numbers (Bottom of Page)"/>
        <w:docPartUnique/>
      </w:docPartObj>
    </w:sdtPr>
    <w:sdtEndPr>
      <w:rPr>
        <w:noProof/>
      </w:rPr>
    </w:sdtEndPr>
    <w:sdtContent>
      <w:p w14:paraId="4E24581E" w14:textId="48E1E977" w:rsidR="005D36BA" w:rsidRDefault="005D36BA">
        <w:pPr>
          <w:pStyle w:val="Pidipagina"/>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8DCF7" w14:textId="77777777" w:rsidR="000B531A" w:rsidRDefault="000B531A" w:rsidP="00B70CED">
      <w:pPr>
        <w:spacing w:line="240" w:lineRule="auto"/>
      </w:pPr>
      <w:r>
        <w:separator/>
      </w:r>
    </w:p>
  </w:footnote>
  <w:footnote w:type="continuationSeparator" w:id="0">
    <w:p w14:paraId="61753425" w14:textId="77777777" w:rsidR="000B531A" w:rsidRDefault="000B531A"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989454">
    <w:abstractNumId w:val="25"/>
  </w:num>
  <w:num w:numId="2" w16cid:durableId="52630134">
    <w:abstractNumId w:val="51"/>
  </w:num>
  <w:num w:numId="3" w16cid:durableId="1504466151">
    <w:abstractNumId w:val="11"/>
  </w:num>
  <w:num w:numId="4" w16cid:durableId="423378145">
    <w:abstractNumId w:val="8"/>
  </w:num>
  <w:num w:numId="5" w16cid:durableId="126514983">
    <w:abstractNumId w:val="31"/>
  </w:num>
  <w:num w:numId="6" w16cid:durableId="1852141898">
    <w:abstractNumId w:val="5"/>
  </w:num>
  <w:num w:numId="7" w16cid:durableId="840435634">
    <w:abstractNumId w:val="36"/>
  </w:num>
  <w:num w:numId="8" w16cid:durableId="2060663774">
    <w:abstractNumId w:val="30"/>
  </w:num>
  <w:num w:numId="9" w16cid:durableId="1609124280">
    <w:abstractNumId w:val="16"/>
  </w:num>
  <w:num w:numId="10" w16cid:durableId="1151290203">
    <w:abstractNumId w:val="48"/>
  </w:num>
  <w:num w:numId="11" w16cid:durableId="142936646">
    <w:abstractNumId w:val="40"/>
  </w:num>
  <w:num w:numId="12" w16cid:durableId="165219399">
    <w:abstractNumId w:val="37"/>
  </w:num>
  <w:num w:numId="13" w16cid:durableId="622539090">
    <w:abstractNumId w:val="41"/>
  </w:num>
  <w:num w:numId="14" w16cid:durableId="2010980751">
    <w:abstractNumId w:val="18"/>
  </w:num>
  <w:num w:numId="15" w16cid:durableId="1049571710">
    <w:abstractNumId w:val="39"/>
  </w:num>
  <w:num w:numId="16" w16cid:durableId="54813659">
    <w:abstractNumId w:val="23"/>
  </w:num>
  <w:num w:numId="17" w16cid:durableId="1177302579">
    <w:abstractNumId w:val="1"/>
  </w:num>
  <w:num w:numId="18" w16cid:durableId="988948430">
    <w:abstractNumId w:val="22"/>
  </w:num>
  <w:num w:numId="19" w16cid:durableId="118378425">
    <w:abstractNumId w:val="50"/>
  </w:num>
  <w:num w:numId="20" w16cid:durableId="308831130">
    <w:abstractNumId w:val="27"/>
  </w:num>
  <w:num w:numId="21" w16cid:durableId="554660578">
    <w:abstractNumId w:val="38"/>
  </w:num>
  <w:num w:numId="22" w16cid:durableId="97260069">
    <w:abstractNumId w:val="4"/>
  </w:num>
  <w:num w:numId="23" w16cid:durableId="13894670">
    <w:abstractNumId w:val="20"/>
  </w:num>
  <w:num w:numId="24" w16cid:durableId="1519082156">
    <w:abstractNumId w:val="24"/>
  </w:num>
  <w:num w:numId="25" w16cid:durableId="2034963031">
    <w:abstractNumId w:val="9"/>
  </w:num>
  <w:num w:numId="26" w16cid:durableId="1804075111">
    <w:abstractNumId w:val="10"/>
  </w:num>
  <w:num w:numId="27" w16cid:durableId="45841405">
    <w:abstractNumId w:val="32"/>
  </w:num>
  <w:num w:numId="28" w16cid:durableId="2047829987">
    <w:abstractNumId w:val="7"/>
  </w:num>
  <w:num w:numId="29" w16cid:durableId="234902324">
    <w:abstractNumId w:val="17"/>
  </w:num>
  <w:num w:numId="30" w16cid:durableId="536554219">
    <w:abstractNumId w:val="26"/>
  </w:num>
  <w:num w:numId="31" w16cid:durableId="1090197286">
    <w:abstractNumId w:val="35"/>
  </w:num>
  <w:num w:numId="32" w16cid:durableId="434440709">
    <w:abstractNumId w:val="49"/>
  </w:num>
  <w:num w:numId="33" w16cid:durableId="1549955446">
    <w:abstractNumId w:val="15"/>
  </w:num>
  <w:num w:numId="34" w16cid:durableId="1082917385">
    <w:abstractNumId w:val="21"/>
  </w:num>
  <w:num w:numId="35" w16cid:durableId="1273973297">
    <w:abstractNumId w:val="13"/>
  </w:num>
  <w:num w:numId="36" w16cid:durableId="1016887373">
    <w:abstractNumId w:val="14"/>
  </w:num>
  <w:num w:numId="37" w16cid:durableId="2036534242">
    <w:abstractNumId w:val="29"/>
  </w:num>
  <w:num w:numId="38" w16cid:durableId="283079654">
    <w:abstractNumId w:val="34"/>
  </w:num>
  <w:num w:numId="39" w16cid:durableId="260916623">
    <w:abstractNumId w:val="47"/>
  </w:num>
  <w:num w:numId="40" w16cid:durableId="1783455087">
    <w:abstractNumId w:val="28"/>
  </w:num>
  <w:num w:numId="41" w16cid:durableId="1387559046">
    <w:abstractNumId w:val="2"/>
  </w:num>
  <w:num w:numId="42" w16cid:durableId="1679576847">
    <w:abstractNumId w:val="46"/>
  </w:num>
  <w:num w:numId="43" w16cid:durableId="2040692669">
    <w:abstractNumId w:val="19"/>
  </w:num>
  <w:num w:numId="44" w16cid:durableId="1697924831">
    <w:abstractNumId w:val="33"/>
  </w:num>
  <w:num w:numId="45" w16cid:durableId="1532454198">
    <w:abstractNumId w:val="6"/>
  </w:num>
  <w:num w:numId="46" w16cid:durableId="528419731">
    <w:abstractNumId w:val="45"/>
  </w:num>
  <w:num w:numId="47" w16cid:durableId="589697576">
    <w:abstractNumId w:val="44"/>
  </w:num>
  <w:num w:numId="48" w16cid:durableId="1226524354">
    <w:abstractNumId w:val="3"/>
  </w:num>
  <w:num w:numId="49" w16cid:durableId="1888763175">
    <w:abstractNumId w:val="43"/>
  </w:num>
  <w:num w:numId="50" w16cid:durableId="229271976">
    <w:abstractNumId w:val="42"/>
  </w:num>
  <w:num w:numId="51" w16cid:durableId="716705600">
    <w:abstractNumId w:val="12"/>
  </w:num>
  <w:num w:numId="52" w16cid:durableId="973489146">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02EC"/>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31A"/>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17235"/>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1395"/>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172EE"/>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18EE"/>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3DF8"/>
    <w:rsid w:val="00B043FA"/>
    <w:rsid w:val="00B053F2"/>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6C0"/>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96D9E"/>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spacing w:after="160" w:line="259" w:lineRule="auto"/>
      <w:outlineLvl w:val="0"/>
    </w:pPr>
    <w:rPr>
      <w:rFonts w:ascii="Calibri" w:eastAsia="Calibri" w:hAnsi="Calibri" w:cs="Calibri"/>
      <w:b/>
      <w:color w:val="000000"/>
      <w:sz w:val="22"/>
      <w:szCs w:val="22"/>
    </w:rPr>
  </w:style>
  <w:style w:type="paragraph" w:styleId="Titolo2">
    <w:name w:val="heading 2"/>
    <w:basedOn w:val="Normale"/>
    <w:next w:val="Normale"/>
    <w:uiPriority w:val="9"/>
    <w:semiHidden/>
    <w:unhideWhenUsed/>
    <w:qFormat/>
    <w:pPr>
      <w:keepNext/>
      <w:keepLines/>
      <w:spacing w:before="40"/>
      <w:outlineLvl w:val="1"/>
    </w:pPr>
    <w:rPr>
      <w:rFonts w:ascii="Calibri" w:eastAsia="Calibri" w:hAnsi="Calibri" w:cs="Calibri"/>
      <w:color w:val="2F5496"/>
      <w:sz w:val="26"/>
      <w:szCs w:val="2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ellanormale"/>
    <w:pPr>
      <w:spacing w:line="240" w:lineRule="auto"/>
    </w:pPr>
    <w:tblPr>
      <w:tblStyleRowBandSize w:val="1"/>
      <w:tblStyleColBandSize w:val="1"/>
    </w:tblPr>
  </w:style>
  <w:style w:type="table" w:customStyle="1" w:styleId="a0">
    <w:basedOn w:val="Tabellanormale"/>
    <w:tblPr>
      <w:tblStyleRowBandSize w:val="1"/>
      <w:tblStyleColBandSize w:val="1"/>
      <w:tblCellMar>
        <w:left w:w="115" w:type="dxa"/>
        <w:right w:w="115" w:type="dxa"/>
      </w:tblCellMar>
    </w:tblPr>
  </w:style>
  <w:style w:type="table" w:customStyle="1" w:styleId="a1">
    <w:basedOn w:val="Tabellanormale"/>
    <w:tblPr>
      <w:tblStyleRowBandSize w:val="1"/>
      <w:tblStyleColBandSize w:val="1"/>
      <w:tblCellMar>
        <w:left w:w="115" w:type="dxa"/>
        <w:right w:w="115" w:type="dxa"/>
      </w:tblCellMar>
    </w:tblPr>
  </w:style>
  <w:style w:type="paragraph" w:styleId="Testocommento">
    <w:name w:val="annotation text"/>
    <w:basedOn w:val="Normale"/>
    <w:link w:val="TestocommentoCarattere"/>
    <w:uiPriority w:val="99"/>
    <w:unhideWhenUsed/>
    <w:pPr>
      <w:spacing w:line="240" w:lineRule="auto"/>
    </w:pPr>
    <w:rPr>
      <w:sz w:val="20"/>
      <w:szCs w:val="20"/>
    </w:rPr>
  </w:style>
  <w:style w:type="character" w:customStyle="1" w:styleId="TestocommentoCarattere">
    <w:name w:val="Testo commento Carattere"/>
    <w:basedOn w:val="Carpredefinitoparagrafo"/>
    <w:link w:val="Testocommento"/>
    <w:uiPriority w:val="99"/>
    <w:rPr>
      <w:sz w:val="20"/>
      <w:szCs w:val="20"/>
    </w:rPr>
  </w:style>
  <w:style w:type="character" w:styleId="Rimandocommento">
    <w:name w:val="annotation reference"/>
    <w:basedOn w:val="Carpredefinitoparagrafo"/>
    <w:uiPriority w:val="99"/>
    <w:semiHidden/>
    <w:unhideWhenUsed/>
    <w:rPr>
      <w:sz w:val="16"/>
      <w:szCs w:val="16"/>
    </w:rPr>
  </w:style>
  <w:style w:type="character" w:styleId="Collegamentoipertestuale">
    <w:name w:val="Hyperlink"/>
    <w:rsid w:val="00BF3C2F"/>
    <w:rPr>
      <w:color w:val="CC0000"/>
      <w:u w:val="single"/>
    </w:rPr>
  </w:style>
  <w:style w:type="paragraph" w:styleId="Soggettocommento">
    <w:name w:val="annotation subject"/>
    <w:basedOn w:val="Testocommento"/>
    <w:next w:val="Testocommento"/>
    <w:link w:val="SoggettocommentoCarattere"/>
    <w:uiPriority w:val="99"/>
    <w:semiHidden/>
    <w:unhideWhenUsed/>
    <w:rsid w:val="00E279B6"/>
    <w:rPr>
      <w:b/>
      <w:bCs/>
    </w:rPr>
  </w:style>
  <w:style w:type="character" w:customStyle="1" w:styleId="SoggettocommentoCarattere">
    <w:name w:val="Soggetto commento Carattere"/>
    <w:basedOn w:val="TestocommentoCarattere"/>
    <w:link w:val="Soggettocommento"/>
    <w:uiPriority w:val="99"/>
    <w:semiHidden/>
    <w:rsid w:val="00E279B6"/>
    <w:rPr>
      <w:b/>
      <w:bCs/>
      <w:sz w:val="20"/>
      <w:szCs w:val="20"/>
    </w:rPr>
  </w:style>
  <w:style w:type="paragraph" w:customStyle="1" w:styleId="EndNoteBibliographyTitle">
    <w:name w:val="EndNote Bibliography Title"/>
    <w:basedOn w:val="Normale"/>
    <w:link w:val="EndNoteBibliographyTitleChar"/>
    <w:rsid w:val="00657676"/>
    <w:pPr>
      <w:jc w:val="center"/>
    </w:pPr>
    <w:rPr>
      <w:noProof/>
      <w:lang w:val="en-GB"/>
    </w:rPr>
  </w:style>
  <w:style w:type="character" w:customStyle="1" w:styleId="EndNoteBibliographyTitleChar">
    <w:name w:val="EndNote Bibliography Title Char"/>
    <w:basedOn w:val="Carpredefinitoparagrafo"/>
    <w:link w:val="EndNoteBibliographyTitle"/>
    <w:rsid w:val="00657676"/>
    <w:rPr>
      <w:noProof/>
      <w:lang w:val="en-GB"/>
    </w:rPr>
  </w:style>
  <w:style w:type="paragraph" w:customStyle="1" w:styleId="EndNoteBibliography">
    <w:name w:val="EndNote Bibliography"/>
    <w:basedOn w:val="Normale"/>
    <w:link w:val="EndNoteBibliographyChar"/>
    <w:rsid w:val="00657676"/>
    <w:pPr>
      <w:spacing w:line="240" w:lineRule="auto"/>
    </w:pPr>
    <w:rPr>
      <w:noProof/>
      <w:lang w:val="en-GB"/>
    </w:rPr>
  </w:style>
  <w:style w:type="character" w:customStyle="1" w:styleId="EndNoteBibliographyChar">
    <w:name w:val="EndNote Bibliography Char"/>
    <w:basedOn w:val="Carpredefinitoparagrafo"/>
    <w:link w:val="EndNoteBibliography"/>
    <w:rsid w:val="00657676"/>
    <w:rPr>
      <w:noProof/>
      <w:lang w:val="en-GB"/>
    </w:rPr>
  </w:style>
  <w:style w:type="character" w:styleId="Menzionenonrisolta">
    <w:name w:val="Unresolved Mention"/>
    <w:basedOn w:val="Carpredefinitoparagrafo"/>
    <w:uiPriority w:val="99"/>
    <w:semiHidden/>
    <w:unhideWhenUsed/>
    <w:rsid w:val="00657676"/>
    <w:rPr>
      <w:color w:val="605E5C"/>
      <w:shd w:val="clear" w:color="auto" w:fill="E1DFDD"/>
    </w:rPr>
  </w:style>
  <w:style w:type="character" w:customStyle="1" w:styleId="cf01">
    <w:name w:val="cf01"/>
    <w:basedOn w:val="Carpredefinitoparagrafo"/>
    <w:rsid w:val="00C645F1"/>
    <w:rPr>
      <w:rFonts w:ascii="Segoe UI" w:hAnsi="Segoe UI" w:cs="Segoe UI" w:hint="default"/>
      <w:sz w:val="18"/>
      <w:szCs w:val="18"/>
    </w:rPr>
  </w:style>
  <w:style w:type="paragraph" w:styleId="Testofumetto">
    <w:name w:val="Balloon Text"/>
    <w:basedOn w:val="Normale"/>
    <w:link w:val="TestofumettoCarattere"/>
    <w:uiPriority w:val="99"/>
    <w:semiHidden/>
    <w:unhideWhenUsed/>
    <w:rsid w:val="00F8204E"/>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F8204E"/>
    <w:rPr>
      <w:rFonts w:ascii="Segoe UI" w:hAnsi="Segoe UI" w:cs="Segoe UI"/>
      <w:sz w:val="18"/>
      <w:szCs w:val="18"/>
    </w:rPr>
  </w:style>
  <w:style w:type="paragraph" w:styleId="Paragrafoelenco">
    <w:name w:val="List Paragraph"/>
    <w:basedOn w:val="Normale"/>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Intestazione">
    <w:name w:val="header"/>
    <w:basedOn w:val="Normale"/>
    <w:link w:val="IntestazioneCarattere"/>
    <w:uiPriority w:val="99"/>
    <w:unhideWhenUsed/>
    <w:rsid w:val="00B70CED"/>
    <w:pPr>
      <w:tabs>
        <w:tab w:val="center" w:pos="4513"/>
        <w:tab w:val="right" w:pos="9026"/>
      </w:tabs>
      <w:spacing w:line="240" w:lineRule="auto"/>
    </w:pPr>
  </w:style>
  <w:style w:type="character" w:customStyle="1" w:styleId="IntestazioneCarattere">
    <w:name w:val="Intestazione Carattere"/>
    <w:basedOn w:val="Carpredefinitoparagrafo"/>
    <w:link w:val="Intestazione"/>
    <w:uiPriority w:val="99"/>
    <w:rsid w:val="00B70CED"/>
  </w:style>
  <w:style w:type="paragraph" w:styleId="Pidipagina">
    <w:name w:val="footer"/>
    <w:basedOn w:val="Normale"/>
    <w:link w:val="PidipaginaCarattere"/>
    <w:uiPriority w:val="99"/>
    <w:unhideWhenUsed/>
    <w:rsid w:val="00B70CED"/>
    <w:pPr>
      <w:tabs>
        <w:tab w:val="center" w:pos="4513"/>
        <w:tab w:val="right" w:pos="9026"/>
      </w:tabs>
      <w:spacing w:line="240" w:lineRule="auto"/>
    </w:pPr>
  </w:style>
  <w:style w:type="character" w:customStyle="1" w:styleId="PidipaginaCarattere">
    <w:name w:val="Piè di pagina Carattere"/>
    <w:basedOn w:val="Carpredefinitoparagrafo"/>
    <w:link w:val="Pidipagina"/>
    <w:uiPriority w:val="99"/>
    <w:rsid w:val="00B70CED"/>
  </w:style>
  <w:style w:type="paragraph" w:styleId="Revisione">
    <w:name w:val="Revision"/>
    <w:hidden/>
    <w:uiPriority w:val="99"/>
    <w:semiHidden/>
    <w:rsid w:val="0050444B"/>
    <w:pPr>
      <w:spacing w:line="240" w:lineRule="auto"/>
    </w:pPr>
  </w:style>
  <w:style w:type="character" w:customStyle="1" w:styleId="apple-converted-space">
    <w:name w:val="apple-converted-space"/>
    <w:basedOn w:val="Carpredefinitoparagrafo"/>
    <w:rsid w:val="00893C4F"/>
  </w:style>
  <w:style w:type="character" w:styleId="Collegamentovisitato">
    <w:name w:val="FollowedHyperlink"/>
    <w:basedOn w:val="Carpredefinitoparagrafo"/>
    <w:uiPriority w:val="99"/>
    <w:semiHidden/>
    <w:unhideWhenUsed/>
    <w:rsid w:val="00E120C7"/>
    <w:rPr>
      <w:color w:val="800080" w:themeColor="followedHyperlink"/>
      <w:u w:val="single"/>
    </w:rPr>
  </w:style>
  <w:style w:type="paragraph" w:styleId="NormaleWeb">
    <w:name w:val="Normal (Web)"/>
    <w:basedOn w:val="Normale"/>
    <w:uiPriority w:val="99"/>
    <w:unhideWhenUsed/>
    <w:rsid w:val="00435A53"/>
    <w:pPr>
      <w:spacing w:before="100" w:beforeAutospacing="1" w:after="100" w:afterAutospacing="1" w:line="240" w:lineRule="auto"/>
    </w:pPr>
    <w:rPr>
      <w:color w:val="auto"/>
      <w:lang w:val="en-CA" w:eastAsia="en-US"/>
    </w:rPr>
  </w:style>
  <w:style w:type="table" w:styleId="Grigliatabella">
    <w:name w:val="Table Grid"/>
    <w:basedOn w:val="Tabellanormale"/>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e"/>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Pages>
  <Words>1013</Words>
  <Characters>5775</Characters>
  <Application>Microsoft Office Word</Application>
  <DocSecurity>0</DocSecurity>
  <Lines>48</Lines>
  <Paragraphs>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pamela patane</cp:lastModifiedBy>
  <cp:revision>73</cp:revision>
  <cp:lastPrinted>2024-03-26T08:52:00Z</cp:lastPrinted>
  <dcterms:created xsi:type="dcterms:W3CDTF">2024-10-08T14:14:00Z</dcterms:created>
  <dcterms:modified xsi:type="dcterms:W3CDTF">2026-06-01T12:21:00Z</dcterms:modified>
</cp:coreProperties>
</file>