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22ACF">
      <w:pPr>
        <w:pStyle w:val="2"/>
        <w:keepNext w:val="0"/>
        <w:keepLines w:val="0"/>
        <w:widowControl/>
        <w:suppressLineNumbers w:val="0"/>
        <w:ind w:left="0" w:firstLine="0"/>
        <w:rPr>
          <w:rFonts w:ascii="Arial" w:hAnsi="Arial" w:cs="Arial"/>
          <w:i w:val="0"/>
          <w:iCs w:val="0"/>
          <w:caps w:val="0"/>
          <w:color w:val="222222"/>
          <w:spacing w:val="0"/>
          <w:sz w:val="16"/>
          <w:szCs w:val="16"/>
        </w:rPr>
      </w:pP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16"/>
          <w:szCs w:val="16"/>
        </w:rPr>
        <w:t>Supplementary Table</w:t>
      </w:r>
      <w:r>
        <w:rPr>
          <w:rFonts w:hint="eastAsia" w:ascii="Arial" w:hAnsi="Arial" w:cs="Arial"/>
          <w:i w:val="0"/>
          <w:iCs w:val="0"/>
          <w:caps w:val="0"/>
          <w:color w:val="222222"/>
          <w:spacing w:val="0"/>
          <w:sz w:val="16"/>
          <w:szCs w:val="16"/>
          <w:lang w:val="en-US" w:eastAsia="zh-CN"/>
        </w:rPr>
        <w:t xml:space="preserve"> 1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16"/>
          <w:szCs w:val="16"/>
        </w:rPr>
        <w:t>. GRADE/CINeMA certainty assessment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9"/>
        <w:gridCol w:w="1078"/>
        <w:gridCol w:w="1220"/>
        <w:gridCol w:w="1060"/>
        <w:gridCol w:w="981"/>
        <w:gridCol w:w="1416"/>
        <w:gridCol w:w="1238"/>
        <w:gridCol w:w="1087"/>
        <w:gridCol w:w="1043"/>
        <w:gridCol w:w="1211"/>
        <w:gridCol w:w="1096"/>
        <w:gridCol w:w="838"/>
        <w:gridCol w:w="2039"/>
      </w:tblGrid>
      <w:tr w14:paraId="23436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2ACC2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Outcome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5A787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Comparison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1F3FF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EB845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Participants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152A8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Effect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AB47B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WithinStudyBias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97AA5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ReportingBias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52BE1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Indirectness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754B6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Imprecision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B5EF6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Heterogeneity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D1D89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Incoherence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7E53C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Certainty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2F7F9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A2FCF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caps w:val="0"/>
                <w:color w:val="FFFFFF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caps w:val="0"/>
                <w:color w:val="FFFFFF"/>
                <w:spacing w:val="0"/>
                <w:kern w:val="0"/>
                <w:sz w:val="16"/>
                <w:szCs w:val="16"/>
                <w:lang w:val="en-US" w:eastAsia="zh-CN" w:bidi="ar"/>
              </w:rPr>
              <w:t>Explanation</w:t>
            </w:r>
          </w:p>
        </w:tc>
      </w:tr>
      <w:tr w14:paraId="77B80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009F3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Surgical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B6FD6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InterTan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C1625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25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0FA6C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3244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C4586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significant difference reported; 95% CI crossed null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D6052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B2113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8D23E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AC6DF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88C65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Some/serious concerns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3C24B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4A3A6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0E597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Mixed RCT/observational evidence, most studies were non-randomized </w:t>
            </w:r>
            <w:r>
              <w:rPr>
                <w:rFonts w:hint="eastAsia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RCSs</w:t>
            </w: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; confidence interval crossed null; heterogeneity and possible reporting bias.</w:t>
            </w:r>
          </w:p>
        </w:tc>
      </w:tr>
      <w:tr w14:paraId="4A68E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7E088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Surgical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21F77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B2B80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 PFBN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CCAC7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evidence sparse (about 71 PFBN patients; 180 direct comparison patients)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D8BC9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significant difference clearly reported; 95% CI crossed null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2B6B0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7D47A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4DCB9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8DB69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4D7E8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Some/serious concerns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2ECB4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9269C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730AD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limited PFBN evidence, small sample size, and imprecision; network estimate should be interpreted cautiously.</w:t>
            </w:r>
          </w:p>
        </w:tc>
      </w:tr>
      <w:tr w14:paraId="215D8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B810F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Surgical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E949F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InterTan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E73AB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 PFBN-InterTan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964AD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107 direct comparison patients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C9FBC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significant difference clearly reported; 95% CI crossed null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F8181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075C2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AD04E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06BAF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D7DC5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Some/serious concerns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8400E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DDAB6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450A7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Only two direct studies informed this comparison; sparse PFBN data and imprecision.</w:t>
            </w:r>
          </w:p>
        </w:tc>
      </w:tr>
      <w:tr w14:paraId="08D05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4A7EA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Blood loss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B4681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InterTan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3EE9B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20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A78B7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2674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17230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Not clearly significant in manuscript summary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DBFF0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E082B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36C69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0245E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E1A0B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06F54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serious/some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F2697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375CE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Predominantly observational evidence and heterogeneity; exact CI should be inserted from final NMA output.</w:t>
            </w:r>
          </w:p>
        </w:tc>
      </w:tr>
      <w:tr w14:paraId="50556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FC181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Blood loss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85CEA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DAB97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 PFBN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042EB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evidence sparse (about 71 PFBN patients; 180 direct comparison patients)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E38EB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MD = -21.60 ml, favoring PFBN over PFNA; 95% CI not shown in extracted text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F5C0A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1EC26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46400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A1619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29BAA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03EA6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CB806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Low to 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3A370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Although the point estimate favored PFBN, certainty is limited by sparse PFBN evidence and heterogeneity.</w:t>
            </w:r>
          </w:p>
        </w:tc>
      </w:tr>
      <w:tr w14:paraId="67021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1938A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Blood loss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6E7BE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InterTan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E1365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 PFBN-InterTan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A132C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107 direct comparison patients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CDA5C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Not clearly significant in manuscript summary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06466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88408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7EA9D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2BE34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3CB9A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69BAB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CB015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DEED6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Only two studies directly compared PFBN with InterTan; evidence is sparse and imprecise.</w:t>
            </w:r>
          </w:p>
        </w:tc>
      </w:tr>
      <w:tr w14:paraId="6DB89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B0D82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Complications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ED9C2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InterTan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DFE9B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27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3B111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3534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CE2A5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RR = 0.31, favoring InterTan over PFNA; 95% CI not shown in extracted text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E8324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B4A32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13A2F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13390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2F5B1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FA493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serious/some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A728F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DDC18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InterTan appeared to reduce complications compared with PFNA, but certainty is limited by non-randomized evidence and high heterogeneity.</w:t>
            </w:r>
          </w:p>
        </w:tc>
      </w:tr>
      <w:tr w14:paraId="0599E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3B958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Complications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D6D48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AF5A9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 PFBN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026F2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evidence sparse (about 71 PFBN patients; 180 direct comparison patients)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AC35B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RR = 1.35; significance uncertain from extracted text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8B7C5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8D151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E8903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EFC64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A0CD8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AC60E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E2770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DBD5E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complication estimates are unstable because they are based on few studies, few PFBN patients, and few events.</w:t>
            </w:r>
          </w:p>
        </w:tc>
      </w:tr>
      <w:tr w14:paraId="78EAE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AC55B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Complications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5F467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InterTan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E3CC6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 PFBN-InterTan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8DE5E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107 direct comparison patients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058BB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RR = 4.33, favoring InterTan over PFBN; 95% CI not shown in extracted text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1B14B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A0D6E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D4265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2D554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1A01D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1E0CE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D1517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EF90C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Apparent higher complication risk with PFBN is based on sparse PFBN-InterTan evidence and should be interpreted cautiously.</w:t>
            </w:r>
          </w:p>
        </w:tc>
      </w:tr>
      <w:tr w14:paraId="7CA4A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DC89F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Weight-bearing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EA850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InterTan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E06D9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9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31DAF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923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E15B7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MD = -6.52 d, favoring InterTan over PFNA; 95% CI not shown in extracted text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25AF5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2AD70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9B95C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AD8DA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8DD59A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79BCE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serious/some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C3261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0E4F6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high heterogeneity for weight-bearing time and possible differences in rehabilitation protocols/definitions.</w:t>
            </w:r>
          </w:p>
        </w:tc>
      </w:tr>
      <w:tr w14:paraId="3EB7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8EA2A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Weight-bearing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4E5C6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605C8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 PFBN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4C93D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evidence sparse (about 71 PFBN patients; 180 direct comparison patients)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4A35A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Not clearly significant in manuscript summary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37C23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0E355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2F6EE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D1298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57B9E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960DB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1F290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C205B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Sparse PFBN data and very high heterogeneity; marginal prediction results should be treated as exploratory.</w:t>
            </w:r>
          </w:p>
        </w:tc>
      </w:tr>
      <w:tr w14:paraId="307D1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F995F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Weight-bearing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5C9BE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InterTan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557F4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 PFBN-InterTan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8BF28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107 direct comparison patients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09046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MD = 7.81 d, favoring InterTan over PFBN; 95% CI not shown in extracted text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EECF3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87A85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9BC37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69513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387C0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D7F9B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E70E5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B9458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Only two PFBN-InterTan studies; very high heterogeneity and imprecision.</w:t>
            </w:r>
          </w:p>
        </w:tc>
      </w:tr>
      <w:tr w14:paraId="26398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63241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Fracture healing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7A333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InterTan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20D23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19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350E3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2085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58F9B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MD = -1.25 w, favoring InterTan over PFNA; robustness poor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6256F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143D6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1B0E5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235D5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212E6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2A8C2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serious/some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600FE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DDA6B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The manuscript notes poor robustness; heterogeneity is very high and healing definitions/follow-up may vary.</w:t>
            </w:r>
          </w:p>
        </w:tc>
      </w:tr>
      <w:tr w14:paraId="3F2A8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94059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Fracture healing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19096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DB0B1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 PFBN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E3E0B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evidence sparse (about 71 PFBN patients; 180 direct comparison patients)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C497B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Not clearly significant in manuscript summary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85CD3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28C69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ED0B0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630EE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39EA0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9D61B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B68A6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413C0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Sparse PFBN evidence and very high heterogeneity; estimate is uncertain.</w:t>
            </w:r>
          </w:p>
        </w:tc>
      </w:tr>
      <w:tr w14:paraId="59E9D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F3755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Fracture healing time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67C82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InterTan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FE905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 PFBN-InterTan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C8A20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107 direct comparison patients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8A7C3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MD = 1.76 w, favoring InterTan over PFBN; robustness poor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F90D3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38D6B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B3E57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4436E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5ADE0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F72B7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02D6A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9D87E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The manuscript notes poor robustness; only two direct PFBN-InterTan studies.</w:t>
            </w:r>
          </w:p>
        </w:tc>
      </w:tr>
      <w:tr w14:paraId="45928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118FB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Harris score at 12 months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5912F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InterTan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A16BD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24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F1779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3225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271E4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significant difference reported; 95% CI crossed null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8DBDB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82F04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EB9EE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3F7AC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30E7B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FA0ED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serious/some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D212E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8611C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clear difference; certainty limited by non-randomized evidence and heterogeneity.</w:t>
            </w:r>
          </w:p>
        </w:tc>
      </w:tr>
      <w:tr w14:paraId="471E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BCD79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Harris score at 12 months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09CAD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PFNA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D2978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3 PFBN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071B1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evidence sparse (about 71 PFBN patients; 180 direct comparison patients)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00156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significant difference clearly reported; 95% CI crossed null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8E927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A8553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4B99E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D9280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D15E3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4E6F5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F8F75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5E8C78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Sparse PFBN evidence and wide uncertainty.</w:t>
            </w:r>
          </w:p>
        </w:tc>
      </w:tr>
      <w:tr w14:paraId="0377F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E9915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Harris score at 12 months</w:t>
            </w:r>
          </w:p>
        </w:tc>
        <w:tc>
          <w:tcPr>
            <w:tcW w:w="311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CCA3B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PFBN vs InterTan</w:t>
            </w:r>
          </w:p>
        </w:tc>
        <w:tc>
          <w:tcPr>
            <w:tcW w:w="362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DD01A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2 PFBN-InterTan studies</w:t>
            </w:r>
          </w:p>
        </w:tc>
        <w:tc>
          <w:tcPr>
            <w:tcW w:w="45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AAF06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107 direct comparison patients</w:t>
            </w:r>
          </w:p>
        </w:tc>
        <w:tc>
          <w:tcPr>
            <w:tcW w:w="43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3E07F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significant difference clearly reported; 95% CI crossed null</w:t>
            </w:r>
          </w:p>
        </w:tc>
        <w:tc>
          <w:tcPr>
            <w:tcW w:w="394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D9D01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4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1CD58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319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6A266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No serious concerns</w:t>
            </w:r>
          </w:p>
        </w:tc>
        <w:tc>
          <w:tcPr>
            <w:tcW w:w="290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7216A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serious</w:t>
            </w:r>
          </w:p>
        </w:tc>
        <w:tc>
          <w:tcPr>
            <w:tcW w:w="35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116631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Serious</w:t>
            </w:r>
          </w:p>
        </w:tc>
        <w:tc>
          <w:tcPr>
            <w:tcW w:w="335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CF38C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Some concerns</w:t>
            </w:r>
          </w:p>
        </w:tc>
        <w:tc>
          <w:tcPr>
            <w:tcW w:w="24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AEDBC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  <w:tc>
          <w:tcPr>
            <w:tcW w:w="786" w:type="pct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CDB7A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Arial" w:hAnsi="Arial" w:cs="Arial"/>
                <w:caps w:val="0"/>
                <w:spacing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aps w:val="0"/>
                <w:spacing w:val="0"/>
                <w:kern w:val="0"/>
                <w:sz w:val="16"/>
                <w:szCs w:val="16"/>
                <w:lang w:val="en-US" w:eastAsia="zh-CN" w:bidi="ar"/>
              </w:rPr>
              <w:t>Only two direct studies for PFBN versus InterTan; very imprecise evidence.</w:t>
            </w:r>
          </w:p>
        </w:tc>
      </w:tr>
    </w:tbl>
    <w:p w14:paraId="2CD6FCC9">
      <w:pPr>
        <w:keepNext w:val="0"/>
        <w:keepLines w:val="0"/>
        <w:widowControl/>
        <w:suppressLineNumbers w:val="0"/>
        <w:spacing w:before="168" w:beforeAutospacing="0" w:line="17" w:lineRule="atLeast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16"/>
          <w:szCs w:val="16"/>
        </w:rPr>
      </w:pPr>
      <w:r>
        <w:rPr>
          <w:rFonts w:hint="default" w:ascii="Arial" w:hAnsi="Arial" w:eastAsia="宋体" w:cs="Arial"/>
          <w:b/>
          <w:bCs/>
          <w:i w:val="0"/>
          <w:iCs w:val="0"/>
          <w:caps w:val="0"/>
          <w:color w:val="222222"/>
          <w:spacing w:val="0"/>
          <w:kern w:val="0"/>
          <w:sz w:val="16"/>
          <w:szCs w:val="16"/>
          <w:lang w:val="en-US" w:eastAsia="zh-CN" w:bidi="ar"/>
        </w:rPr>
        <w:t>Notes.</w:t>
      </w:r>
      <w:r>
        <w:rPr>
          <w:rFonts w:hint="default" w:ascii="Arial" w:hAnsi="Arial" w:eastAsia="宋体" w:cs="Arial"/>
          <w:i w:val="0"/>
          <w:iCs w:val="0"/>
          <w:caps w:val="0"/>
          <w:color w:val="222222"/>
          <w:spacing w:val="0"/>
          <w:kern w:val="0"/>
          <w:sz w:val="16"/>
          <w:szCs w:val="16"/>
          <w:lang w:val="en-US" w:eastAsia="zh-CN" w:bidi="ar"/>
        </w:rPr>
        <w:t xml:space="preserve"> This draft table follows the CINeMA/GRADE domains: within-study bias, reporting bias, indirectness, imprecision, heterogeneity, and incoherence. The certainty ratings are conservative because the evidence base included mixed randomized and non-randomized comparative studies, most studies were non-randomized </w:t>
      </w:r>
      <w:r>
        <w:rPr>
          <w:rFonts w:hint="eastAsia" w:ascii="Arial" w:hAnsi="Arial" w:eastAsia="宋体" w:cs="Arial"/>
          <w:i w:val="0"/>
          <w:iCs w:val="0"/>
          <w:caps w:val="0"/>
          <w:color w:val="222222"/>
          <w:spacing w:val="0"/>
          <w:kern w:val="0"/>
          <w:sz w:val="16"/>
          <w:szCs w:val="16"/>
          <w:lang w:val="en-US" w:eastAsia="zh-CN" w:bidi="ar"/>
        </w:rPr>
        <w:t>RCSs</w:t>
      </w:r>
      <w:r>
        <w:rPr>
          <w:rFonts w:hint="default" w:ascii="Arial" w:hAnsi="Arial" w:eastAsia="宋体" w:cs="Arial"/>
          <w:i w:val="0"/>
          <w:iCs w:val="0"/>
          <w:caps w:val="0"/>
          <w:color w:val="222222"/>
          <w:spacing w:val="0"/>
          <w:kern w:val="0"/>
          <w:sz w:val="16"/>
          <w:szCs w:val="16"/>
          <w:lang w:val="en-US" w:eastAsia="zh-CN" w:bidi="ar"/>
        </w:rPr>
        <w:t xml:space="preserve">, PFBN evidence was sparse, and several outcomes showed high heterogeneity. Exact 95% CIs should be replaced with the final network meta-analysis estimates where not explicitly available in the extracted manuscript text. </w:t>
      </w:r>
      <w:r>
        <w:rPr>
          <w:rFonts w:hint="eastAsia" w:ascii="Arial" w:hAnsi="Arial" w:eastAsia="宋体" w:cs="Arial"/>
          <w:i w:val="0"/>
          <w:iCs w:val="0"/>
          <w:caps w:val="0"/>
          <w:color w:val="222222"/>
          <w:spacing w:val="0"/>
          <w:kern w:val="0"/>
          <w:sz w:val="16"/>
          <w:szCs w:val="16"/>
          <w:lang w:val="en-US" w:eastAsia="zh-CN" w:bidi="ar"/>
        </w:rPr>
        <w:t xml:space="preserve">RCSs, retrospective comparative studies; </w:t>
      </w:r>
      <w:r>
        <w:rPr>
          <w:rFonts w:hint="default" w:ascii="Arial" w:hAnsi="Arial" w:eastAsia="宋体" w:cs="Arial"/>
          <w:i w:val="0"/>
          <w:iCs w:val="0"/>
          <w:caps w:val="0"/>
          <w:color w:val="222222"/>
          <w:spacing w:val="0"/>
          <w:kern w:val="0"/>
          <w:sz w:val="16"/>
          <w:szCs w:val="16"/>
          <w:lang w:val="en-US" w:eastAsia="zh-CN" w:bidi="ar"/>
        </w:rPr>
        <w:t>MD, mean difference; RR, risk ratio; PFNA, proximal femoral nail antirotation; P</w:t>
      </w:r>
      <w:bookmarkStart w:id="0" w:name="_GoBack"/>
      <w:bookmarkEnd w:id="0"/>
      <w:r>
        <w:rPr>
          <w:rFonts w:hint="default" w:ascii="Arial" w:hAnsi="Arial" w:eastAsia="宋体" w:cs="Arial"/>
          <w:i w:val="0"/>
          <w:iCs w:val="0"/>
          <w:caps w:val="0"/>
          <w:color w:val="222222"/>
          <w:spacing w:val="0"/>
          <w:kern w:val="0"/>
          <w:sz w:val="16"/>
          <w:szCs w:val="16"/>
          <w:lang w:val="en-US" w:eastAsia="zh-CN" w:bidi="ar"/>
        </w:rPr>
        <w:t>FBN, proximal femoral bionic nail.</w:t>
      </w:r>
    </w:p>
    <w:p w14:paraId="6B990DCC">
      <w:pPr>
        <w:rPr>
          <w:rFonts w:hint="default" w:ascii="Arial" w:hAnsi="Arial" w:cs="Arial"/>
          <w:sz w:val="16"/>
          <w:szCs w:val="16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75F9A"/>
    <w:rsid w:val="0FE21595"/>
    <w:rsid w:val="186F4DE5"/>
    <w:rsid w:val="19CD0A0A"/>
    <w:rsid w:val="2A4A0DC5"/>
    <w:rsid w:val="33FE6B7D"/>
    <w:rsid w:val="414F5A27"/>
    <w:rsid w:val="541778E6"/>
    <w:rsid w:val="5A576203"/>
    <w:rsid w:val="61525C94"/>
    <w:rsid w:val="65675F9A"/>
    <w:rsid w:val="7806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989</Words>
  <Characters>5902</Characters>
  <Lines>0</Lines>
  <Paragraphs>0</Paragraphs>
  <TotalTime>5</TotalTime>
  <ScaleCrop>false</ScaleCrop>
  <LinksUpToDate>false</LinksUpToDate>
  <CharactersWithSpaces>6642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2026-07-05T20:38:00Z</dcterms:created>
  <dc:creator>WPS_1496587495</dc:creator>
  <cp:lastModifiedBy>WPS_1496587495</cp:lastModifiedBy>
  <dcterms:modified xsi:type="dcterms:W3CDTF">2026-07-05T20:52:10Z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94CF194892EA48D2BC0FC5D601AB8268_11</vt:lpwstr>
  </property>
  <property fmtid="{D5CDD505-2E9C-101B-9397-08002B2CF9AE}" pid="4" name="KSOTemplateDocerSaveRecord">
    <vt:lpwstr>eyJoZGlkIjoiYTc2ZGZiNzZiNDVlOGViOWVmM2JhOTY0NGJkNjUyYzgiLCJ1c2VySWQiOiIyODM3ODM5MzgifQ==</vt:lpwstr>
  </property>
</Properties>
</file>