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C0" w:rsidRDefault="00C2336F">
      <w:pPr>
        <w:keepNext/>
        <w:spacing w:after="0" w:line="360" w:lineRule="auto" w:before="0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0"/>
        </w:rPr>
        <w:t>Supplementary Materials</w:t>
      </w:r>
    </w:p>
    <w:p w:rsidR="009A12C0" w:rsidRDefault="00C2336F">
      <w:pPr>
        <w:spacing w:after="0" w:line="360" w:lineRule="auto" w:before="0"/>
        <w:jc w:val="center"/>
      </w:pPr>
      <w:r>
        <w:rPr>
          <w:rFonts w:ascii="Times New Roman" w:hAnsi="Times New Roman" w:eastAsia="Times New Roman" w:cs="Times New Roman"/>
          <w:b/>
          <w:sz w:val="20"/>
        </w:rPr>
        <w:t>Clinical Characteristics of the Reduced Bone Mineral Density Subgroup Among Adults With Type 2 Diabetes Mellitus: A Retrospective Cross-Sectional Study</w:t>
      </w:r>
    </w:p>
    <w:p w:rsidR="009A12C0" w:rsidRDefault="00C2336F">
      <w:pPr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sz w:val="20"/>
        </w:rPr>
        <w:t>These Supplementary Materials document endpoint reconstruction, data mapping, record-level quality control, bias-reduced model diagnostics, threshold and fixed-unit age sensitivity analyses, and repeated nested internal classification.</w:t>
      </w: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Methods S1. Retrospective HIS extraction and endpoint reconstruction</w:t>
      </w:r>
    </w:p>
    <w:p w:rsidR="009A12C0" w:rsidRDefault="00C2336F">
      <w:pPr>
        <w:spacing w:after="0" w:line="360" w:lineRule="auto" w:before="0"/>
        <w:ind w:firstLine="420"/>
        <w:jc w:val="both"/>
      </w:pPr>
      <w:r>
        <w:rPr>
          <w:rFonts w:ascii="Times New Roman" w:hAnsi="Times New Roman" w:eastAsia="Times New Roman" w:cs="Times New Roman"/>
          <w:sz w:val="20"/>
        </w:rPr>
        <w:t>The analytical dataset was reconstructed from exact source-column names in the orthopedic HIS export. The primary operational reduced-BMD subgroup was defined using the lowest T-score among the lumbar spine L1-L4, femoral neck, and total hip. Records with at least one site-specific T-score ≤ −1.0 were classified into the reduced-BMD subgroup, whereas records with T-scores &gt; -1.0 at all three sites were classified as having normal BMD; the boundary sensitivity definition used &lt; -1.0. Because menopausal status and Z-scores were unavailable, this rule was treated as an operational subgroup definition rather than a universal clinical diagnosis. The final research file contained sequential record identifiers but no stable patient-level hospital identifier. No exact duplicate row or duplicate composite clinical signature was found; nevertheless, repeated encounters from the same patient could not be definitively excluded. Duplicate-row checks, numeric coercion, allowed-value inspection, physiological-range review, missingness assessment, and cross-field consistency checks were performed. Values judged impossible were set to missing rather than corrected by inference. A source diagnosis field exactly matched the derived endpoint and was not used as independent validation.</w:t>
      </w: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Methods S2. Jeffreys-prior bias-reduced logistic regression</w:t>
      </w:r>
    </w:p>
    <w:p w:rsidR="009A12C0" w:rsidRDefault="00C2336F">
      <w:pPr>
        <w:spacing w:after="0" w:line="360" w:lineRule="auto" w:before="0"/>
        <w:ind w:firstLine="420"/>
        <w:jc w:val="both"/>
      </w:pPr>
      <w:r>
        <w:rPr>
          <w:rFonts w:ascii="Times New Roman" w:hAnsi="Times New Roman" w:eastAsia="Times New Roman" w:cs="Times New Roman"/>
          <w:sz w:val="20"/>
        </w:rPr>
        <w:t>Jeffreys-prior bias reduction was implemented with adjusted-score Fisher scoring and step halving. A model was considered converged only when the maximum absolute adjusted score and maximum parameter step were both &lt;1 × 10−7. Profile-likelihood confidence intervals were obtained by constrained refitting. Linear-programming feasibility was used to assess complete separation, while sparse-cell near-separation was interpreted from event counts and uncertainty. The primary and strict-threshold analyses used identical model structures. The coefficient tables retain within-model standardization. Cross-sample age comparisons were performed separately on a common five-year scale because the age standard deviation differed between the full and age ≥50 samples.</w:t>
      </w:r>
    </w:p>
    <w:p w:rsidR="009A12C0" w:rsidRDefault="00C2336F">
      <w:pPr>
        <w:keepNext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Methods S3. Fixed-unit age-restricted</w:t>
      </w:r>
      <w:r>
        <w:rPr>
          <w:rFonts w:ascii="Times New Roman" w:hAnsi="Times New Roman" w:eastAsia="Times New Roman" w:cs="Times New Roman"/>
          <w:b/>
          <w:sz w:val="20"/>
        </w:rPr>
        <w:t xml:space="preserve"> sensitivity analysis</w:t>
      </w:r>
    </w:p>
    <w:p w:rsidR="009A12C0" w:rsidRDefault="00C2336F">
      <w:pPr>
        <w:spacing w:after="0" w:line="360" w:lineRule="auto" w:before="0"/>
        <w:ind w:firstLine="420"/>
        <w:jc w:val="both"/>
      </w:pPr>
      <w:r>
        <w:rPr>
          <w:rFonts w:ascii="Times New Roman" w:hAnsi="Times New Roman" w:eastAsia="Times New Roman" w:cs="Times New Roman"/>
          <w:sz w:val="20"/>
        </w:rPr>
        <w:t>All 26 primary events occurred in records aged ≥50 years. The restricted subset contained 273 records. The full-cohort age standard deviation was 9.9709 years and the restricted-sample standard deviation was 7.1991 years; consequentl</w:t>
      </w:r>
      <w:r>
        <w:rPr>
          <w:rFonts w:ascii="Times New Roman" w:hAnsi="Times New Roman" w:eastAsia="Times New Roman" w:cs="Times New Roman"/>
          <w:sz w:val="20"/>
        </w:rPr>
        <w:t xml:space="preserve">y, the analysis-specific one-standard-deviation ORs of 5.39 and 3.29 are not directly comparable. When age was expressed per five years in both samples, the OR was 2.33 (95% profile-likelihood CI, 1.65-3.50) in the full cohort and 2.29 (95% CI, 1.60-3.47) </w:t>
      </w:r>
      <w:r>
        <w:rPr>
          <w:rFonts w:ascii="Times New Roman" w:hAnsi="Times New Roman" w:eastAsia="Times New Roman" w:cs="Times New Roman"/>
          <w:sz w:val="20"/>
        </w:rPr>
        <w:t>in the age ≥50 subset. The female-sex OR in the restricted subset was 34.12 (95% CI, 8.22-317.67). The fixed age-sex classifier had a median repeated internal ROC AUC of 0.901 (range, 0.897-0.904), compared with 0.921 in the full cohort. Thus, restriction</w:t>
      </w:r>
      <w:r>
        <w:rPr>
          <w:rFonts w:ascii="Times New Roman" w:hAnsi="Times New Roman" w:eastAsia="Times New Roman" w:cs="Times New Roman"/>
          <w:sz w:val="20"/>
        </w:rPr>
        <w:t xml:space="preserve"> reduced discrimination because of narrower case mix, while the age association remained similar on a common scale.</w:t>
      </w:r>
    </w:p>
    <w:p w:rsidR="009A12C0" w:rsidRDefault="00C2336F">
      <w:pPr>
        <w:keepNext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Methods S4. Repeated nested internal classification</w:t>
      </w:r>
    </w:p>
    <w:p w:rsidR="009A12C0" w:rsidRDefault="00C2336F">
      <w:pPr>
        <w:spacing w:after="0" w:line="360" w:lineRule="auto" w:before="0"/>
        <w:ind w:firstLine="420"/>
        <w:jc w:val="both"/>
      </w:pPr>
      <w:r>
        <w:rPr>
          <w:rFonts w:ascii="Times New Roman" w:hAnsi="Times New Roman" w:eastAsia="Times New Roman" w:cs="Times New Roman"/>
          <w:sz w:val="20"/>
        </w:rPr>
        <w:t>Five stratified outer folds were repeated five times. Three-fold inner cro</w:t>
      </w:r>
      <w:r>
        <w:rPr>
          <w:rFonts w:ascii="Times New Roman" w:hAnsi="Times New Roman" w:eastAsia="Times New Roman" w:cs="Times New Roman"/>
          <w:sz w:val="20"/>
        </w:rPr>
        <w:t>ss-validation selected hyperparameters. All imputation, standardization, and tuning occurred within training data. The fixed age-sex benchmark was an L2-regularized logistic model with C=1.0. Class-balanced fitting was used for penalized logistic regressio</w:t>
      </w:r>
      <w:r>
        <w:rPr>
          <w:rFonts w:ascii="Times New Roman" w:hAnsi="Times New Roman" w:eastAsia="Times New Roman" w:cs="Times New Roman"/>
          <w:sz w:val="20"/>
        </w:rPr>
        <w:t>n and random forest but not for the benchmark, KNN, or Gaussian naive Bayes; therefore, calibration and Brier metrics were interpreted descriptively across model families. Pooled out-of-fold predictions were evaluated separately within each repeat. The mai</w:t>
      </w:r>
      <w:r>
        <w:rPr>
          <w:rFonts w:ascii="Times New Roman" w:hAnsi="Times New Roman" w:eastAsia="Times New Roman" w:cs="Times New Roman"/>
          <w:sz w:val="20"/>
        </w:rPr>
        <w:t>n table reports the median and observed range across repeats, not confidence intervals.</w:t>
      </w:r>
    </w:p>
    <w:p w:rsidR="009A12C0" w:rsidRDefault="00C2336F">
      <w:pPr>
        <w:keepNext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0"/>
        </w:rPr>
        <w:t>Data and code availability</w:t>
      </w:r>
    </w:p>
    <w:p w:rsidR="009A12C0" w:rsidRDefault="00C2336F">
      <w:pPr>
        <w:spacing w:after="0" w:line="360" w:lineRule="auto" w:before="0"/>
        <w:ind w:firstLine="420"/>
        <w:jc w:val="both"/>
      </w:pPr>
      <w:r>
        <w:rPr>
          <w:rFonts w:ascii="Times New Roman" w:hAnsi="Times New Roman" w:eastAsia="Times New Roman" w:cs="Times New Roman"/>
          <w:sz w:val="20"/>
        </w:rPr>
        <w:t>The de-identified record-level clinical data are not publicly available because they remain subject to institutional ethics and hospital data-governance requirements. Requests for data or analysis code may be directed to the corresponding author and will be considered on the basis of a scientifically appropriate proposal and approval by the relevant institutional authorities. Participant-level clinical data are not included in the Supplementary Materials.</w:t>
      </w:r>
    </w:p>
    <w:p w:rsidR="009A12C0" w:rsidRDefault="009A12C0">
      <w:pPr>
        <w:spacing w:line="360" w:lineRule="auto" w:after="0" w:before="0"/>
        <w:sectPr w:rsidR="009A12C0">
          <w:footerReference w:type="default" r:id="rId8"/>
          <w:headerReference w:type="default" r:id="rId14"/>
          <w:headerReference w:type="first" r:id="rId15"/>
          <w:headerReference w:type="even" r:id="rId16"/>
          <w:footerReference w:type="first" r:id="rId17"/>
          <w:footerReference w:type="even" r:id="rId18"/>
          <w:pgSz w:w="16834" w:h="11909" w:orient="landscape"/>
          <w:pgMar w:top="936" w:right="792" w:bottom="936" w:left="792" w:header="360" w:footer="360" w:gutter="0"/>
          <w:lnNumType w:countBy="1" w:distance="360" w:restart="continuous"/>
          <w:cols w:space="720"/>
          <w:docGrid w:linePitch="360"/>
        </w:sectPr>
      </w:pPr>
    </w:p>
    <w:p w:rsidR="009A12C0" w:rsidRDefault="00C2336F">
      <w:pPr>
        <w:keepNext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TABLES</w:t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Table S1. Endpoint and data-quality audit</w:t>
      </w:r>
    </w:p>
    <w:tbl>
      <w:tblPr>
        <w:tblStyle w:val="aff1"/>
        <w:tblW w:w="14976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11088"/>
        <w:gridCol w:w="3888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Audit item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Result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Analytical records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 reduced-BMD events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Strict-threshold events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Primary-site T-score ≤ −2.5 records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 primary events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Male primary events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 events aged &lt;50 years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Lumbar-spine positive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Femoral-neck positive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Total-hip positive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Positive at all three primary </w:t>
            </w:r>
            <w:r>
              <w:rPr>
                <w:rFonts w:ascii="Times New Roman" w:hAnsi="Times New Roman" w:eastAsia="Times New Roman" w:cs="Times New Roman"/>
                <w:sz w:val="20"/>
              </w:rPr>
              <w:t>sites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Radius-only positive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Recorded diagnosis matched reconstructed endpoint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Missing BMI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Missing diabetes duration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Missing HbA1c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Missing fasting plasma glucose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10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Missing vitamin D</w:t>
            </w:r>
          </w:p>
        </w:tc>
        <w:tc>
          <w:tcPr>
            <w:tcW w:w="388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</w:t>
            </w:r>
          </w:p>
        </w:tc>
      </w:tr>
    </w:tbl>
    <w:p w:rsidR="009A12C0" w:rsidRDefault="00C2336F">
      <w:pPr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sz w:val="20"/>
        </w:rPr>
        <w:t xml:space="preserve">Clarifying note: the primary-site T-score ≤ −2.5 </w:t>
      </w:r>
      <w:r>
        <w:rPr>
          <w:rFonts w:ascii="Times New Roman" w:hAnsi="Times New Roman" w:eastAsia="Times New Roman" w:cs="Times New Roman"/>
          <w:sz w:val="20"/>
        </w:rPr>
        <w:t>count refers only to the retained lumbar-spine, femoral-neck, and total-hip fields and should not be interpreted as absence of clinically diagnosed osteoporosis. The recorded diagnosis exact match is a data-dictionary anomaly, not independent validation.</w:t>
      </w:r>
    </w:p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Table S2. Previous-clean-file mapping audit</w:t>
      </w:r>
    </w:p>
    <w:tbl>
      <w:tblPr>
        <w:tblStyle w:val="aff1"/>
        <w:tblW w:w="14976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2448"/>
        <w:gridCol w:w="3168"/>
        <w:gridCol w:w="1800"/>
        <w:gridCol w:w="1800"/>
        <w:gridCol w:w="2304"/>
        <w:gridCol w:w="3456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Previous label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Correct source field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Exact match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Correlation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Previous mean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Mapped raw mean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reduced_bmd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reduced_bmd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0.08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0.08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59.13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59.13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0.38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0.38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height_cm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height_cm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166.17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166.17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weight_kg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weight_kg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69.77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69.77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bmi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bmi_raw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25.81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25.81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duration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duration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10.02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10.02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hba1c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hba1c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0.880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16.82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8.28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fpg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fpg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−0.050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4.06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7.87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homa_ir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homa_ir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3.33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3.33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grip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grip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31.61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31.61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asmi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asmi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8.25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8.25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sarco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sarco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0.02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0.02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gait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gait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tug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tug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13.50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13.50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p1np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p1np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42.81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42.81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balp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balp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23.87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23.87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oc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oc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23.68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23.68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bctx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bctx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0.43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0.43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trap5b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trap5b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3.79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3.79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frax_major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frax_major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10.80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10.80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frax_hip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frax_hip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3.37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3.37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sf36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sf36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60.18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60.18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berg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berg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48.95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48.95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fall_risk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fall_risk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0.51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0.51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bisphosphonate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bisphosphonate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0.14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0.14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vitd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vitd_25oh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0.637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53.38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20.06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egfr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egfr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100.45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100.45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cystatin_c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cystatin_c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0.73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0.73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imt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imt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0.99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0.99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tc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tc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−0.018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103.16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4.66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ldl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ldl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−0.014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2.31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2.50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hdl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hdl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0.024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0.052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1.08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1.08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tg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tg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−0.082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4.08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2.28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smoking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smoking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1.000</w:t>
            </w:r>
          </w:p>
        </w:tc>
        <w:tc>
          <w:tcPr>
            <w:tcW w:w="230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0.27</w:t>
            </w:r>
          </w:p>
        </w:tc>
        <w:tc>
          <w:tcPr>
            <w:tcW w:w="345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0.27</w:t>
            </w:r>
          </w:p>
        </w:tc>
      </w:tr>
    </w:tbl>
    <w:p w:rsidR="009A12C0" w:rsidRDefault="00C2336F">
      <w:pPr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sz w:val="20"/>
        </w:rPr>
        <w:t xml:space="preserve">Clarifying note: this table is a source-column mapping audit, not a </w:t>
      </w:r>
      <w:r>
        <w:rPr>
          <w:rFonts w:ascii="Times New Roman" w:hAnsi="Times New Roman" w:eastAsia="Times New Roman" w:cs="Times New Roman"/>
          <w:sz w:val="20"/>
        </w:rPr>
        <w:t>final post-QC descriptive table. The column labeled 'Mapped raw mean' reports the mean of the mapped source field before plausibility filtering. For BMI, the mapped raw mean was 25.81 kg/m²; after the impossible value of 209.78 kg/m² was set to missing, th</w:t>
      </w:r>
      <w:r>
        <w:rPr>
          <w:rFonts w:ascii="Times New Roman" w:hAnsi="Times New Roman" w:eastAsia="Times New Roman" w:cs="Times New Roman"/>
          <w:sz w:val="20"/>
        </w:rPr>
        <w:t>e analytical mean used in Table 1 was 25.25 kg/m².</w:t>
      </w:r>
    </w:p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Table S3A. Complete primary-definition coefficient output</w:t>
      </w:r>
    </w:p>
    <w:tbl>
      <w:tblPr>
        <w:tblStyle w:val="aff1"/>
        <w:tblW w:w="12816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3024"/>
        <w:gridCol w:w="1584"/>
        <w:gridCol w:w="3311"/>
        <w:gridCol w:w="1584"/>
        <w:gridCol w:w="1872"/>
        <w:gridCol w:w="1440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Model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Term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OR (95% profile CI)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P value</w:t>
            </w:r>
          </w:p>
        </w:tc>
        <w:tc>
          <w:tcPr>
            <w:tcW w:w="1872" w:type="dxa"/>
            <w:vAlign w:val="center"/>
            <w:shd w:fill="D9EAF7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Events/N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Converged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5.388 (2.713–12.153)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34.466 (8.291–321.113)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5.476 (2.659–12.757)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39.296 (6.061–474.106)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asmi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1.117 (0.477–2.616)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0.798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5.417 </w:t>
            </w:r>
            <w:r>
              <w:rPr>
                <w:rFonts w:ascii="Times New Roman" w:hAnsi="Times New Roman" w:eastAsia="Times New Roman" w:cs="Times New Roman"/>
                <w:sz w:val="20"/>
              </w:rPr>
              <w:t>(2.508–13.242)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37.149 (4.231–564.381)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grip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1.066 (0.372–3.198)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0.906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5.647 (2.485–14.690)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33.401 </w:t>
            </w:r>
            <w:r>
              <w:rPr>
                <w:rFonts w:ascii="Times New Roman" w:hAnsi="Times New Roman" w:eastAsia="Times New Roman" w:cs="Times New Roman"/>
                <w:sz w:val="20"/>
              </w:rPr>
              <w:t>(8.059–310.701)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cystatin_c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0.931 (0.513–1.654)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0.808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5.192 (2.365–13.049)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33.696 (8.126–313.518)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egfr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0.970 </w:t>
            </w:r>
            <w:r>
              <w:rPr>
                <w:rFonts w:ascii="Times New Roman" w:hAnsi="Times New Roman" w:eastAsia="Times New Roman" w:cs="Times New Roman"/>
                <w:sz w:val="20"/>
              </w:rPr>
              <w:t>(0.565–1.710)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0.912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8.371 (3.404–24.567)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40.114 (9.358–380.927)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imt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0.572 (0.280–1.120)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0.104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4.665 (2.199–11.165)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21.205 (3.627–248.257)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p1np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1.319 (0.629–2.824)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0.464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4.538 (2.188–10.484)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23.188 (5.021–225.810)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bctx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1.338 (0.897–2.022)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0.154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5.125 (2.574–11.628)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24/318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31.752 (7.599–296.344)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24/318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hba1c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0.945 (0.519–1.637)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0.846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24/318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5.579 </w:t>
            </w:r>
            <w:r>
              <w:rPr>
                <w:rFonts w:ascii="Times New Roman" w:hAnsi="Times New Roman" w:eastAsia="Times New Roman" w:cs="Times New Roman"/>
                <w:sz w:val="20"/>
              </w:rPr>
              <w:t>(2.726–13.089)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25/328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36.123 (8.413–344.979)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25/328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fpg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0.573 (0.294–1.017)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0.057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25/328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</w:tbl>
    <w:p w:rsidR="009A12C0" w:rsidRDefault="00C2336F">
      <w:pPr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sz w:val="20"/>
        </w:rPr>
        <w:t xml:space="preserve">Interpretive note: coefficients in Supplementary Tables S3A-S3C are within-model standardized </w:t>
      </w:r>
      <w:r>
        <w:rPr>
          <w:rFonts w:ascii="Times New Roman" w:hAnsi="Times New Roman" w:eastAsia="Times New Roman" w:cs="Times New Roman"/>
          <w:sz w:val="20"/>
        </w:rPr>
        <w:t>effects. Cross-sample age comparisons use the common five-year scale reported in Supplementary Methods S3.</w:t>
      </w:r>
    </w:p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Table S3B. Model-level convergence and separation diagnostics</w:t>
      </w:r>
    </w:p>
    <w:tbl>
      <w:tblPr>
        <w:tblStyle w:val="aff1"/>
        <w:tblW w:w="14976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1800"/>
        <w:gridCol w:w="1655"/>
        <w:gridCol w:w="648"/>
        <w:gridCol w:w="792"/>
        <w:gridCol w:w="1007"/>
        <w:gridCol w:w="864"/>
        <w:gridCol w:w="1512"/>
        <w:gridCol w:w="1440"/>
        <w:gridCol w:w="1080"/>
        <w:gridCol w:w="4176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Analysis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Model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N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Events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Converged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Iterations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Penalized log likelihood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Maximum adjusted score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Final step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Separation assessment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−50.9541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2.28e-09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8.09e-10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−50.0733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1.07e-09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2.45e-10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−50.3301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5.39e-09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2.74e-09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</w:t>
            </w:r>
            <w:r>
              <w:rPr>
                <w:rFonts w:ascii="Times New Roman" w:hAnsi="Times New Roman" w:eastAsia="Times New Roman" w:cs="Times New Roman"/>
                <w:sz w:val="20"/>
              </w:rPr>
              <w:t>49.7045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3.49e-09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1.63e-09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−49.6832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8.67e-09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3.78e-09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−48.5447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7.25e-10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3.94e-10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−49.6941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2.33e-09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1.07e-09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−48.3785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2.44e-09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9.38e-10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Primary: 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318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−46.5831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1.69e-09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5.84e-10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Primary: </w:t>
            </w:r>
            <w:r>
              <w:rPr>
                <w:rFonts w:ascii="Times New Roman" w:hAnsi="Times New Roman" w:eastAsia="Times New Roman" w:cs="Times New Roman"/>
                <w:sz w:val="20"/>
              </w:rPr>
              <w:t>T-score ≤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328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−47.2183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2.48e-09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1.78e-09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−47.0283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7.06e-09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2.66e-09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No complete separation by LP; sparse male-event </w:t>
            </w:r>
            <w:r>
              <w:rPr>
                <w:rFonts w:ascii="Times New Roman" w:hAnsi="Times New Roman" w:eastAsia="Times New Roman" w:cs="Times New Roman"/>
                <w:sz w:val="20"/>
              </w:rPr>
              <w:t>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−46.1569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4.60e-09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9.75e-10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−46.2067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8.67e-10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4.39e-10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No complete separation by </w:t>
            </w:r>
            <w:r>
              <w:rPr>
                <w:rFonts w:ascii="Times New Roman" w:hAnsi="Times New Roman" w:eastAsia="Times New Roman" w:cs="Times New Roman"/>
                <w:sz w:val="20"/>
              </w:rPr>
              <w:t>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−45.8438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7.18e-10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3.46e-10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−45.7974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1.68e-09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7.55e-10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−44.5756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2.65e-09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1.54e-09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−46.0639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7.29e-09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4.84e-09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−44.7467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8.04e-09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3.25e-09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318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−42.5453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5.69e-09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1.77e-09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180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Sensitivity: T-score &lt; −1.0</w:t>
            </w:r>
          </w:p>
        </w:tc>
        <w:tc>
          <w:tcPr>
            <w:tcW w:w="1655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6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328</w:t>
            </w:r>
          </w:p>
        </w:tc>
        <w:tc>
          <w:tcPr>
            <w:tcW w:w="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</w:t>
            </w:r>
          </w:p>
        </w:tc>
        <w:tc>
          <w:tcPr>
            <w:tcW w:w="1007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  <w:tc>
          <w:tcPr>
            <w:tcW w:w="86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</w:t>
            </w:r>
          </w:p>
        </w:tc>
        <w:tc>
          <w:tcPr>
            <w:tcW w:w="151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−44.5801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4.97e-09</w:t>
            </w:r>
          </w:p>
        </w:tc>
        <w:tc>
          <w:tcPr>
            <w:tcW w:w="10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2.80e-09</w:t>
            </w:r>
          </w:p>
        </w:tc>
        <w:tc>
          <w:tcPr>
            <w:tcW w:w="417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No complete separation by LP; sparse male-event cell=1</w:t>
            </w:r>
          </w:p>
        </w:tc>
      </w:tr>
    </w:tbl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 xml:space="preserve">Supplementary </w:t>
      </w:r>
      <w:r>
        <w:rPr>
          <w:rFonts w:ascii="Times New Roman" w:hAnsi="Times New Roman" w:eastAsia="Times New Roman" w:cs="Times New Roman"/>
          <w:b/>
          <w:sz w:val="20"/>
        </w:rPr>
        <w:t>Table S3C. Strict-threshold sensitivity analysis</w:t>
      </w:r>
    </w:p>
    <w:tbl>
      <w:tblPr>
        <w:tblStyle w:val="aff1"/>
        <w:tblW w:w="12816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3024"/>
        <w:gridCol w:w="1584"/>
        <w:gridCol w:w="3311"/>
        <w:gridCol w:w="1584"/>
        <w:gridCol w:w="1872"/>
        <w:gridCol w:w="1440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Model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Term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OR (95% profile CI)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P value</w:t>
            </w:r>
          </w:p>
        </w:tc>
        <w:tc>
          <w:tcPr>
            <w:tcW w:w="1872" w:type="dxa"/>
            <w:vAlign w:val="center"/>
            <w:shd w:fill="D9EAF7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Events/N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Converged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5.334 (2.582–12.729)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26.341 (6.294–245.631)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5.495 </w:t>
            </w:r>
            <w:r>
              <w:rPr>
                <w:rFonts w:ascii="Times New Roman" w:hAnsi="Times New Roman" w:eastAsia="Times New Roman" w:cs="Times New Roman"/>
                <w:sz w:val="20"/>
              </w:rPr>
              <w:t>(2.564–13.520)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32.405 (4.790–402.029)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ASMI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asmi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1.178 (0.485–2.877)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0.716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6.068 (2.646–16.127)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48.915 (4.933–844.183)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grip strength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grip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1.507 (0.492–5.055)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0.479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5.160 (2.186–14.033)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26.106 (6.230–243.811)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cystatin 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cystatin_c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1.029 (0.556–1.868)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0.927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5.328 (2.309–14.307)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25.998 (6.218–242.367)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eGFR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egfr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1.014 (0.582–1.856)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0.961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8.683 (3.332–27.644)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31.071 (7.189–295.731)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carotid IMT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imt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0.543 (0.253–1.105)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0.093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5.081 (2.269–12.994)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22.506 (3.498–287.199)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P1NP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p1np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1.070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(0.491–2.342)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0.864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4.555 (2.108–11.132)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18.443 (3.910–180.900)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β-CTX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bctx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1.296 (0.857–1.971)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0.216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22/329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5.080 (2.442–12.296)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20/318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23.936 (5.686–223.371)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20/318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HbA1c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hba1c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1.039 (0.558–1.840)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0.899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20/318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5.138 (2.466–12.376)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21/328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female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25.232 (5.989–236.509)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&lt;0.0001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21/328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>
            <w:pPr>
              <w:spacing w:line="360" w:lineRule="auto" w:after="0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+ fasting glucose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fpg</w:t>
            </w:r>
          </w:p>
        </w:tc>
        <w:tc>
          <w:tcPr>
            <w:tcW w:w="331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0.763 (0.405–1.333)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0.353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21/328</w:t>
            </w:r>
          </w:p>
        </w:tc>
        <w:tc>
          <w:tcPr>
            <w:tcW w:w="14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True</w:t>
            </w:r>
          </w:p>
        </w:tc>
      </w:tr>
    </w:tbl>
    <w:p w:rsidR="009A12C0" w:rsidRDefault="00C2336F">
      <w:pPr>
        <w:keepNext/>
        <w:spacing w:after="0" w:line="360" w:lineRule="auto" w:before="0"/>
      </w:pPr>
      <w:r>
        <w:rPr>
          <w:rFonts w:ascii="Times New Roman" w:hAnsi="Times New Roman" w:eastAsia="Times New Roman" w:cs="Times New Roman"/>
          <w:b/>
          <w:sz w:val="20"/>
        </w:rPr>
        <w:t>Supplementary Table S3D. Fixed-unit age sensitivity analysis using a common five-year increment.</w:t>
      </w:r>
    </w:p>
    <w:tbl>
      <w:tblPr>
        <w:tblW w:w="15120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2736"/>
        <w:gridCol w:w="1584"/>
        <w:gridCol w:w="1728"/>
        <w:gridCol w:w="3168"/>
        <w:gridCol w:w="3024"/>
        <w:gridCol w:w="2880"/>
      </w:tblGrid>
      <w:tr w:rsidR="009A12C0">
        <w:trPr>
          <w:trHeight w:hRule="atLeast"/>
          <w:tblHeader w:val="true"/>
        </w:trPr>
        <w:tc>
          <w:tcPr>
            <w:tcW w:w="273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Analysis</w:t>
            </w:r>
          </w:p>
        </w:tc>
        <w:tc>
          <w:tcPr>
            <w:tcW w:w="1584" w:type="dxa"/>
            <w:vAlign w:val="center"/>
            <w:shd w:fill="D9EAF7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Events/N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Age SD, years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Age OR per 5 years (95% profile CI)</w:t>
            </w:r>
          </w:p>
        </w:tc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Female OR (95% profile CI)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Median ROC AUC (range)</w:t>
            </w:r>
          </w:p>
        </w:tc>
      </w:tr>
      <w:tr w:rsidR="009A12C0">
        <w:trPr>
          <w:trHeight w:hRule="atLeast"/>
        </w:trPr>
        <w:tc>
          <w:tcPr>
            <w:tcW w:w="273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Full cohort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26/329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9.9709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2.33 (1.65-3.50)</w:t>
            </w:r>
          </w:p>
        </w:tc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34.47 (8.29-321.11)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0.921 (0.915-0.923)</w:t>
            </w:r>
          </w:p>
        </w:tc>
      </w:tr>
      <w:tr w:rsidR="009A12C0">
        <w:trPr>
          <w:trHeight w:hRule="atLeast"/>
        </w:trPr>
        <w:tc>
          <w:tcPr>
            <w:tcW w:w="2736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Age ≥50 subset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b w:val="0"/>
                <w:sz w:val="20"/>
              </w:rPr>
              <w:t>26/273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7.1991</w:t>
            </w:r>
          </w:p>
        </w:tc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2.29 (1.60-3.47)</w:t>
            </w:r>
          </w:p>
        </w:tc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34.12 (8.22-317.67)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after="0" w:line="36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0.901 (0.897-0.904)</w:t>
            </w:r>
          </w:p>
        </w:tc>
      </w:tr>
    </w:tbl>
    <w:p w:rsidR="009A12C0" w:rsidRDefault="00C2336F">
      <w:pPr>
        <w:spacing w:after="0" w:line="360" w:lineRule="auto" w:before="0"/>
      </w:pPr>
      <w:r>
        <w:rPr>
          <w:rFonts w:ascii="Times New Roman" w:hAnsi="Times New Roman" w:eastAsia="Times New Roman" w:cs="Times New Roman"/>
          <w:sz w:val="20"/>
        </w:rPr>
        <w:t>Age was expressed per a fixed five-year increment to permit direct comparison across samples with different age standard deviations. ROC AUC values are internally validated repeat-level summaries, not external-validation estimates or confidence intervals. Events/N reports the number of reduced-BMD events divided by the total number of records in the analysis.</w:t>
      </w:r>
    </w:p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pageBreakBefore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Table S4A. Model specification and tuning gr</w:t>
      </w:r>
      <w:r>
        <w:rPr>
          <w:rFonts w:ascii="Times New Roman" w:hAnsi="Times New Roman" w:eastAsia="Times New Roman" w:cs="Times New Roman"/>
          <w:b/>
          <w:sz w:val="20"/>
        </w:rPr>
        <w:t>id</w:t>
      </w:r>
    </w:p>
    <w:tbl>
      <w:tblPr>
        <w:tblStyle w:val="aff1"/>
        <w:tblW w:w="14976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3024"/>
        <w:gridCol w:w="4031"/>
        <w:gridCol w:w="2880"/>
        <w:gridCol w:w="5040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Model</w:t>
            </w:r>
          </w:p>
        </w:tc>
        <w:tc>
          <w:tcPr>
            <w:tcW w:w="403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Features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Estimator</w:t>
            </w:r>
          </w:p>
        </w:tc>
        <w:tc>
          <w:tcPr>
            <w:tcW w:w="50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Inner tuning grid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logistic benchmark</w:t>
            </w:r>
          </w:p>
        </w:tc>
        <w:tc>
          <w:tcPr>
            <w:tcW w:w="403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Age, sex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Logistic regression</w:t>
            </w:r>
          </w:p>
        </w:tc>
        <w:tc>
          <w:tcPr>
            <w:tcW w:w="50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C=1.0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Penalized logistic regression</w:t>
            </w:r>
          </w:p>
        </w:tc>
        <w:tc>
          <w:tcPr>
            <w:tcW w:w="403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10-variable non-leakage set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L1/L2 logistic regression</w:t>
            </w:r>
          </w:p>
        </w:tc>
        <w:tc>
          <w:tcPr>
            <w:tcW w:w="50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C={0.1,1.0}; penalty={L1,L2}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Random forest</w:t>
            </w:r>
          </w:p>
        </w:tc>
        <w:tc>
          <w:tcPr>
            <w:tcW w:w="403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10-variable </w:t>
            </w:r>
            <w:r>
              <w:rPr>
                <w:rFonts w:ascii="Times New Roman" w:hAnsi="Times New Roman" w:eastAsia="Times New Roman" w:cs="Times New Roman"/>
                <w:sz w:val="20"/>
              </w:rPr>
              <w:t>non-leakage set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100 trees; class balanced</w:t>
            </w:r>
          </w:p>
        </w:tc>
        <w:tc>
          <w:tcPr>
            <w:tcW w:w="50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max depth={3,None}; minimum leaf=5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K-nearest neighbors</w:t>
            </w:r>
          </w:p>
        </w:tc>
        <w:tc>
          <w:tcPr>
            <w:tcW w:w="403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10-variable non-leakage set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Standardized KNN</w:t>
            </w:r>
          </w:p>
        </w:tc>
        <w:tc>
          <w:tcPr>
            <w:tcW w:w="50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neighbors={5,15,25}; weights={uniform,distance}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02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Gaussian naive Bayes</w:t>
            </w:r>
          </w:p>
        </w:tc>
        <w:tc>
          <w:tcPr>
            <w:tcW w:w="4031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10-variable non-leakage set</w:t>
            </w:r>
          </w:p>
        </w:tc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Gaussian naive </w:t>
            </w:r>
            <w:r>
              <w:rPr>
                <w:rFonts w:ascii="Times New Roman" w:hAnsi="Times New Roman" w:eastAsia="Times New Roman" w:cs="Times New Roman"/>
                <w:sz w:val="20"/>
              </w:rPr>
              <w:t>Bayes</w:t>
            </w:r>
          </w:p>
        </w:tc>
        <w:tc>
          <w:tcPr>
            <w:tcW w:w="504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variance smoothing={1e-9,1e-7}</w:t>
            </w:r>
          </w:p>
        </w:tc>
      </w:tr>
    </w:tbl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Table S4B. Repeat-level internal performance summary</w:t>
      </w:r>
    </w:p>
    <w:tbl>
      <w:tblPr>
        <w:tblStyle w:val="aff1"/>
        <w:tblW w:w="15840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2880"/>
        <w:gridCol w:w="1872"/>
        <w:gridCol w:w="1872"/>
        <w:gridCol w:w="1584"/>
        <w:gridCol w:w="1728"/>
        <w:gridCol w:w="2448"/>
        <w:gridCol w:w="2448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Model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ROC AUC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PR AUC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Brier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Brier skill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Calibration intercept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Calibration slope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logistic benchmark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0.921 (0.915–0.923)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0.465 (0.427–0.512)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0.052 (0.051–0.053)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0.280 (0.278–0.294)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0.348 (0.266–0.444)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1.455 (1.413–1.521)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Penalized logistic regression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0.902 (0.880–0.923)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0.427 (0.381–0.459)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0.147 (0.139–0.152)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−1.024 (−1.095 to −0.913)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−2.467 (−3.002 to −2.364)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1.177 (0.839–1.724)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Random fores</w:t>
            </w:r>
            <w:r>
              <w:rPr>
                <w:rFonts w:ascii="Times New Roman" w:hAnsi="Times New Roman" w:eastAsia="Times New Roman" w:cs="Times New Roman"/>
                <w:sz w:val="20"/>
              </w:rPr>
              <w:t>t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0.899 (0.872–0.901)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0.423 (0.404–0.481)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0.074 (0.072–0.082)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−0.019 (−0.129–0.010)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−1.368 (−1.470 to −1.215)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0.883 (0.686–0.961)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K-nearest neighbors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0.899 (0.887–0.904)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0.435 (0.352–0.484)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0.056 (0.054–0.057)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0.237 (0.221–0.258)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−0.693 (−0.791 to −0.609)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0.437 (0.327–0.446)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288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Gaussian naive Bayes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0.874 (0.865–0.891)</w:t>
            </w:r>
          </w:p>
        </w:tc>
        <w:tc>
          <w:tcPr>
            <w:tcW w:w="187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0.384 (0.316–0.474)</w:t>
            </w:r>
          </w:p>
        </w:tc>
        <w:tc>
          <w:tcPr>
            <w:tcW w:w="1584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0.149 (0.129–0.155)</w:t>
            </w:r>
          </w:p>
        </w:tc>
        <w:tc>
          <w:tcPr>
            <w:tcW w:w="172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−1.053 (−1.128 to −0.766)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−1.963 (−2.017 to −1.907)</w:t>
            </w:r>
          </w:p>
        </w:tc>
        <w:tc>
          <w:tcPr>
            <w:tcW w:w="244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0.180 (0.156–0.221)</w:t>
            </w:r>
          </w:p>
        </w:tc>
      </w:tr>
    </w:tbl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 xml:space="preserve">Supplementary Table S4C. Selected hyperparameter frequencies across outer </w:t>
      </w:r>
      <w:r>
        <w:rPr>
          <w:rFonts w:ascii="Times New Roman" w:hAnsi="Times New Roman" w:eastAsia="Times New Roman" w:cs="Times New Roman"/>
          <w:b/>
          <w:sz w:val="20"/>
        </w:rPr>
        <w:t>folds</w:t>
      </w:r>
    </w:p>
    <w:tbl>
      <w:tblPr>
        <w:tblStyle w:val="aff1"/>
        <w:tblW w:w="15120" w:type="dxa"/>
        <w:tblLayout w:type="fixed"/>
        <w:tblLook w:val="04A0" w:firstRow="1" w:lastRow="0" w:firstColumn="1" w:lastColumn="0" w:noHBand="0" w:noVBand="1"/>
        <w:jc w:val="left"/>
        <w:tblInd w:w="0" w:type="dxa"/>
      </w:tblPr>
      <w:tblGrid>
        <w:gridCol w:w="3168"/>
        <w:gridCol w:w="9792"/>
        <w:gridCol w:w="2160"/>
      </w:tblGrid>
      <w:tr w:rsidR="009A12C0">
        <w:trPr>
          <w:cantSplit/>
          <w:trHeight w:hRule="atLeast"/>
          <w:tblHeader w:val="true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Model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Selected parameters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Selections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Age + sex logistic benchmark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{"m__C": 1.0}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Gaussian naive Bayes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{"m__var_smoothing": 1e-09}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K-nearest neighbors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{"m__n_neighbors": 15, "m__weights": "distance"}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K-nearest neighbors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{"m__n_neighbors": </w:t>
            </w:r>
            <w:r>
              <w:rPr>
                <w:rFonts w:ascii="Times New Roman" w:hAnsi="Times New Roman" w:eastAsia="Times New Roman" w:cs="Times New Roman"/>
                <w:sz w:val="20"/>
              </w:rPr>
              <w:t>25, "m__weights": "distance"}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K-nearest neighbors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{"m__n_neighbors": 25, "m__weights": "uniform"}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K-nearest neighbors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{"m__n_neighbors": 5, "m__weights": "distance"}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Penalized logistic regression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{"m__C": 0.1, "m__penalty": "l1"}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17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Penalized lo</w:t>
            </w:r>
            <w:r>
              <w:rPr>
                <w:rFonts w:ascii="Times New Roman" w:hAnsi="Times New Roman" w:eastAsia="Times New Roman" w:cs="Times New Roman"/>
                <w:sz w:val="20"/>
              </w:rPr>
              <w:t>gistic regression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{"m__C": 0.1, "m__penalty": "l2"}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Penalized logistic regression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{"m__C": 1.0, "m__penalty": "l1"}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Penalized logistic regression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{"m__C": 1.0, "m__penalty": "l2"}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Random forest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{"m__max_depth": 3, "m__min_samples_leaf": 5}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</w:t>
            </w:r>
          </w:p>
        </w:tc>
      </w:tr>
      <w:tr w:rsidR="009A12C0">
        <w:trPr>
          <w:cantSplit/>
          <w:trHeight w:hRule="atLeast"/>
          <w:jc w:val="center"/>
        </w:trPr>
        <w:tc>
          <w:tcPr>
            <w:tcW w:w="3168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Random forest</w:t>
            </w:r>
          </w:p>
        </w:tc>
        <w:tc>
          <w:tcPr>
            <w:tcW w:w="9792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{"m__max_depth": null, "m__min_samples_leaf": 5}</w:t>
            </w:r>
          </w:p>
        </w:tc>
        <w:tc>
          <w:tcPr>
            <w:tcW w:w="2160" w:type="dxa"/>
            <w:vAlign w:val="center"/>
            <w:tcMar>
              <w:top w:w="20" w:type="dxa"/>
              <w:start w:w="25" w:type="dxa"/>
              <w:bottom w:w="20" w:type="dxa"/>
              <w:end w:w="25" w:type="dxa"/>
            </w:tcMar>
          </w:tcPr>
          <w:p w:rsidR="009A12C0" w:rsidRDefault="00C2336F">
            <w:pPr>
              <w:spacing w:line="360" w:lineRule="auto"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</w:t>
            </w:r>
          </w:p>
        </w:tc>
      </w:tr>
    </w:tbl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9A12C0">
      <w:pPr>
        <w:spacing w:line="360" w:lineRule="auto" w:after="0" w:before="0"/>
        <w:sectPr w:rsidR="009A12C0">
          <w:pgSz w:w="16834" w:h="11909" w:orient="landscape"/>
          <w:pgMar w:top="936" w:right="792" w:bottom="936" w:left="792" w:header="360" w:footer="360" w:gutter="0"/>
          <w:lnNumType w:countBy="1" w:distance="360" w:restart="continuous"/>
          <w:cols w:space="720"/>
          <w:docGrid w:linePitch="360"/>
        </w:sectPr>
      </w:pPr>
    </w:p>
    <w:p w:rsidR="009A12C0" w:rsidRDefault="00C2336F">
      <w:pPr>
        <w:keepNext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FIGURES</w:t>
      </w:r>
    </w:p>
    <w:p w:rsidR="009A12C0" w:rsidRDefault="00C2336F">
      <w:pPr>
        <w:keepNext/>
        <w:spacing w:after="0" w:line="360" w:lineRule="auto" w:before="0"/>
        <w:jc w:val="center"/>
      </w:pPr>
      <w:r>
        <w:rPr>
          <w:rFonts w:ascii="Times New Roman" w:hAnsi="Times New Roman" w:eastAsia="Times New Roman" w:cs="Times New Roman"/>
          <w:noProof/>
          <w:sz w:val="20"/>
          <w:lang w:eastAsia="zh-CN"/>
        </w:rPr>
        <w:drawing>
          <wp:inline xmlns:a="http://schemas.openxmlformats.org/drawingml/2006/main" xmlns:pic="http://schemas.openxmlformats.org/drawingml/2006/picture">
            <wp:extent cx="5897880" cy="3318713"/>
            <wp:docPr id="1" name="Picture 1" title="Supplementary Figure S1" descr="Supplementary Figure S1 for the reduced-BMD subgroup study in adults with type 2 diabete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18713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Figure S1. Non-mutually exclusive site-specific counts contributing to the operational reduced-BMD subgroup.</w:t>
      </w:r>
    </w:p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pageBreakBefore/>
        <w:spacing w:after="0" w:line="360" w:lineRule="auto" w:before="0"/>
        <w:jc w:val="center"/>
      </w:pPr>
      <w:r>
        <w:rPr>
          <w:rFonts w:ascii="Times New Roman" w:hAnsi="Times New Roman" w:eastAsia="Times New Roman" w:cs="Times New Roman"/>
          <w:noProof/>
          <w:sz w:val="20"/>
          <w:lang w:eastAsia="zh-CN"/>
        </w:rPr>
        <w:drawing>
          <wp:inline xmlns:a="http://schemas.openxmlformats.org/drawingml/2006/main" xmlns:pic="http://schemas.openxmlformats.org/drawingml/2006/picture">
            <wp:extent cx="5897880" cy="3589880"/>
            <wp:docPr id="2" name="Picture 2" title="Supplementary Figure S2" descr="Supplementary Figure S2 for the reduced-BMD subgroup study in adults with type 2 diabete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589880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>Supplementary Figure S2. Primary and strict-threshold age-sex bias-reduced estimates. The figure retains within-sample standardized estimates. The direct full-cohort versus age ≥50 comparison is reported on a common five-year scale in Supplementary Table S</w:t>
      </w:r>
      <w:r>
        <w:rPr>
          <w:rFonts w:ascii="Times New Roman" w:hAnsi="Times New Roman" w:eastAsia="Times New Roman" w:cs="Times New Roman"/>
          <w:b/>
          <w:sz w:val="20"/>
        </w:rPr>
        <w:t>3D.</w:t>
      </w:r>
    </w:p>
    <w:p w:rsidR="009A12C0" w:rsidRDefault="00C2336F">
      <w:pPr>
        <w:spacing w:line="360" w:lineRule="auto" w:after="0" w:before="0"/>
      </w:pPr>
      <w:r>
        <w:rPr>
          <w:rFonts w:ascii="Times New Roman" w:hAnsi="Times New Roman" w:eastAsia="Times New Roman" w:cs="Times New Roman"/>
          <w:sz w:val="20"/>
        </w:rPr>
      </w:r>
    </w:p>
    <w:p w:rsidR="009A12C0" w:rsidRDefault="00C2336F">
      <w:pPr>
        <w:keepNext/>
        <w:pageBreakBefore/>
        <w:spacing w:after="0" w:line="360" w:lineRule="auto" w:before="0"/>
        <w:jc w:val="center"/>
      </w:pPr>
      <w:r>
        <w:rPr>
          <w:rFonts w:ascii="Times New Roman" w:hAnsi="Times New Roman" w:eastAsia="Times New Roman" w:cs="Times New Roman"/>
          <w:noProof/>
          <w:sz w:val="20"/>
          <w:lang w:eastAsia="zh-CN"/>
        </w:rPr>
        <w:drawing>
          <wp:inline xmlns:a="http://schemas.openxmlformats.org/drawingml/2006/main" xmlns:pic="http://schemas.openxmlformats.org/drawingml/2006/picture">
            <wp:extent cx="5897880" cy="3084330"/>
            <wp:docPr id="3" name="Picture 3" title="Supplementary Figure S3" descr="Supplementary Figure S3 for the reduced-BMD subgroup study in adults with type 2 diabete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084330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9A12C0" w:rsidRDefault="00C2336F">
      <w:pPr>
        <w:keepNext/>
        <w:spacing w:after="0" w:line="360" w:lineRule="auto" w:before="0"/>
        <w:jc w:val="both"/>
      </w:pPr>
      <w:r>
        <w:rPr>
          <w:rFonts w:ascii="Times New Roman" w:hAnsi="Times New Roman" w:eastAsia="Times New Roman" w:cs="Times New Roman"/>
          <w:b/>
          <w:sz w:val="20"/>
        </w:rPr>
        <w:t xml:space="preserve">Supplementary Figure S3. Between-repeat variability in pooled out-of-fold ROC AUC and precision-recall AUC. Five repeat-level values are shown for each model; the display summarizes internal resampling variability and does not represent confidence </w:t>
      </w:r>
      <w:r>
        <w:rPr>
          <w:rFonts w:ascii="Times New Roman" w:hAnsi="Times New Roman" w:eastAsia="Times New Roman" w:cs="Times New Roman"/>
          <w:b/>
          <w:sz w:val="20"/>
        </w:rPr>
        <w:t>intervals or external validation.</w:t>
      </w:r>
    </w:p>
    <w:sectPr w:rsidR="009A12C0" w:rsidSect="00034616">
      <w:pgSz w:w="16834" w:h="11909" w:orient="landscape"/>
      <w:pgMar w:top="936" w:right="792" w:bottom="936" w:left="792" w:header="360" w:footer="360" w:gutter="0"/>
      <w:lnNumType w:countBy="1" w:distance="360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36F" w:rsidRDefault="00C2336F">
      <w:pPr>
        <w:spacing w:after="0" w:line="240" w:lineRule="auto"/>
      </w:pPr>
      <w:r>
        <w:separator/>
      </w:r>
    </w:p>
  </w:endnote>
  <w:endnote w:type="continuationSeparator" w:id="0">
    <w:p w:rsidR="00C2336F" w:rsidRDefault="00C2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2C0" w:rsidRDefault="00C2336F">
    <w:pPr>
      <w:pStyle w:val="a7"/>
      <w:spacing w:line="360" w:lineRule="auto"/>
      <w:jc w:val="center"/>
    </w:pPr>
    <w:r>
      <w:rPr>
        <w:rFonts w:ascii="Times New Roman" w:hAnsi="Times New Roman" w:eastAsia="Times New Roman" w:cs="Times New Roman"/>
        <w:sz w:val="20"/>
      </w:rP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="360" w:lineRule="auto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36F" w:rsidRDefault="00C2336F">
      <w:pPr>
        <w:spacing w:after="0" w:line="240" w:lineRule="auto"/>
      </w:pPr>
      <w:r>
        <w:separator/>
      </w:r>
    </w:p>
  </w:footnote>
  <w:footnote w:type="continuationSeparator" w:id="0">
    <w:p w:rsidR="00C2336F" w:rsidRDefault="00C23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line="360" w:lineRule="auto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line="360" w:lineRule="auto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F153F"/>
    <w:rsid w:val="009A12C0"/>
    <w:rsid w:val="00AA1D8D"/>
    <w:rsid w:val="00B47730"/>
    <w:rsid w:val="00C2336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BB98764-6E21-4EA7-BCC1-40FD5E92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365F91" w:themeColor="accent1" w:themeShade="BF"/>
      <w:sz w:val="2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4F81BD" w:themeColor="accent1"/>
      <w:sz w:val="2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4F81BD" w:themeColor="accent1"/>
      <w:sz w:val="2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/>
      <w:iCs/>
      <w:color w:val="4F81BD" w:themeColor="accent1"/>
      <w:sz w:val="2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Times New Roman" w:hAnsi="Times New Roman" w:eastAsia="Times New Roman" w:cs="Times New Roman"/>
      <w:color w:val="243F60" w:themeColor="accent1" w:themeShade="7F"/>
      <w:sz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243F60" w:themeColor="accent1" w:themeShade="7F"/>
      <w:sz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404040" w:themeColor="text1" w:themeTint="BF"/>
      <w:sz w:val="2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Times New Roman" w:hAnsi="Times New Roman" w:eastAsia="Times New Roman" w:cs="Times New Roman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  <w:rPr>
      <w:rFonts w:ascii="Times New Roman" w:hAnsi="Times New Roman" w:eastAsia="Times New Roman" w:cs="Times New Roman"/>
      <w:sz w:val="20"/>
    </w:rPr>
  </w:style>
  <w:style w:type="table" w:default="1" w:styleId="a3">
    <w:name w:val="Normal Table"/>
    <w:uiPriority w:val="99"/>
    <w:semiHidden/>
    <w:unhideWhenUsed/>
    <w:rPr>
      <w:rFonts w:ascii="Times New Roman" w:hAnsi="Times New Roman" w:eastAsia="Times New Roman" w:cs="Times New Roman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character" w:customStyle="1" w:styleId="a6">
    <w:name w:val="页眉 字符"/>
    <w:basedOn w:val="a2"/>
    <w:link w:val="a5"/>
    <w:uiPriority w:val="99"/>
    <w:rsid w:val="00E618BF"/>
    <w:rPr>
      <w:rFonts w:ascii="Times New Roman" w:eastAsia="Times New Roman" w:hAnsi="Times New Roman" w:cs="Times New Roman"/>
      <w:sz w:val="20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character" w:customStyle="1" w:styleId="a8">
    <w:name w:val="页脚 字符"/>
    <w:basedOn w:val="a2"/>
    <w:link w:val="a7"/>
    <w:uiPriority w:val="99"/>
    <w:rsid w:val="00E618BF"/>
    <w:rPr>
      <w:rFonts w:ascii="Times New Roman" w:eastAsia="Times New Roman" w:hAnsi="Times New Roman" w:cs="Times New Roman"/>
      <w:sz w:val="20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365F91" w:themeColor="accent1" w:themeShade="BF"/>
      <w:sz w:val="20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4F81BD" w:themeColor="accent1"/>
      <w:sz w:val="20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4F81BD" w:themeColor="accent1"/>
      <w:sz w:val="20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 w:cs="Times New Roman"/>
      <w:color w:val="17365D" w:themeColor="text2" w:themeShade="BF"/>
      <w:spacing w:val="5"/>
      <w:kern w:val="28"/>
      <w:sz w:val="20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color w:val="17365D" w:themeColor="text2" w:themeShade="BF"/>
      <w:spacing w:val="5"/>
      <w:kern w:val="28"/>
      <w:sz w:val="20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4F81BD" w:themeColor="accent1"/>
      <w:spacing w:val="15"/>
      <w:sz w:val="20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4F81BD" w:themeColor="accent1"/>
      <w:spacing w:val="15"/>
      <w:sz w:val="20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  <w:rPr>
      <w:rFonts w:ascii="Times New Roman" w:hAnsi="Times New Roman" w:eastAsia="Times New Roman" w:cs="Times New Roman"/>
      <w:sz w:val="20"/>
    </w:r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  <w:rPr>
      <w:rFonts w:ascii="Times New Roman" w:hAnsi="Times New Roman" w:eastAsia="Times New Roman" w:cs="Times New Roman"/>
      <w:sz w:val="20"/>
    </w:rPr>
  </w:style>
  <w:style w:type="character" w:customStyle="1" w:styleId="af0">
    <w:name w:val="正文文本 字符"/>
    <w:basedOn w:val="a2"/>
    <w:link w:val="af"/>
    <w:uiPriority w:val="99"/>
    <w:rsid w:val="00AA1D8D"/>
    <w:rPr>
      <w:rFonts w:ascii="Times New Roman" w:eastAsia="Times New Roman" w:hAnsi="Times New Roman" w:cs="Times New Roman"/>
      <w:sz w:val="20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  <w:rPr>
      <w:rFonts w:ascii="Times New Roman" w:hAnsi="Times New Roman" w:eastAsia="Times New Roman" w:cs="Times New Roman"/>
      <w:sz w:val="20"/>
    </w:rPr>
  </w:style>
  <w:style w:type="character" w:customStyle="1" w:styleId="24">
    <w:name w:val="正文文本 2 字符"/>
    <w:basedOn w:val="a2"/>
    <w:link w:val="23"/>
    <w:uiPriority w:val="99"/>
    <w:rsid w:val="00AA1D8D"/>
    <w:rPr>
      <w:rFonts w:ascii="Times New Roman" w:eastAsia="Times New Roman" w:hAnsi="Times New Roman" w:cs="Times New Roman"/>
      <w:sz w:val="20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rFonts w:ascii="Times New Roman" w:hAnsi="Times New Roman" w:eastAsia="Times New Roman" w:cs="Times New Roman"/>
      <w:sz w:val="20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rFonts w:ascii="Times New Roman" w:eastAsia="Times New Roman" w:hAnsi="Times New Roman" w:cs="Times New Roman"/>
      <w:sz w:val="20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  <w:rPr>
      <w:rFonts w:ascii="Times New Roman" w:hAnsi="Times New Roman" w:eastAsia="Times New Roman" w:cs="Times New Roman"/>
      <w:sz w:val="20"/>
    </w:r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  <w:rPr>
      <w:rFonts w:ascii="Times New Roman" w:hAnsi="Times New Roman" w:eastAsia="Times New Roman" w:cs="Times New Roman"/>
      <w:sz w:val="20"/>
    </w:r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  <w:rPr>
      <w:rFonts w:ascii="Times New Roman" w:hAnsi="Times New Roman" w:eastAsia="Times New Roman" w:cs="Times New Roman"/>
      <w:sz w:val="20"/>
    </w:r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 w:eastAsia="Times New Roman" w:cs="Times New Roman"/>
      <w:sz w:val="20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  <w:rPr>
      <w:rFonts w:ascii="Times New Roman" w:hAnsi="Times New Roman" w:eastAsia="Times New Roman" w:cs="Times New Roman"/>
      <w:sz w:val="20"/>
    </w:r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  <w:rPr>
      <w:rFonts w:ascii="Times New Roman" w:hAnsi="Times New Roman" w:eastAsia="Times New Roman" w:cs="Times New Roman"/>
      <w:sz w:val="20"/>
    </w:r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 w:eastAsia="Times New Roman" w:cs="Times New Roman"/>
      <w:sz w:val="20"/>
    </w:r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  <w:rPr>
      <w:rFonts w:ascii="Times New Roman" w:hAnsi="Times New Roman" w:eastAsia="Times New Roman" w:cs="Times New Roman"/>
      <w:sz w:val="20"/>
    </w:r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  <w:rPr>
      <w:rFonts w:ascii="Times New Roman" w:hAnsi="Times New Roman" w:eastAsia="Times New Roman" w:cs="Times New Roman"/>
      <w:sz w:val="20"/>
    </w:r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  <w:rPr>
      <w:rFonts w:ascii="Times New Roman" w:hAnsi="Times New Roman" w:eastAsia="Times New Roman" w:cs="Times New Roman"/>
      <w:sz w:val="20"/>
    </w:r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  <w:rPr>
      <w:rFonts w:ascii="Times New Roman" w:hAnsi="Times New Roman" w:eastAsia="Times New Roman" w:cs="Times New Roman"/>
      <w:sz w:val="20"/>
    </w:r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  <w:rPr>
      <w:rFonts w:ascii="Times New Roman" w:hAnsi="Times New Roman" w:eastAsia="Times New Roman" w:cs="Times New Roman"/>
      <w:sz w:val="20"/>
    </w:r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rFonts w:ascii="Times New Roman" w:hAnsi="Times New Roman" w:eastAsia="Times New Roman" w:cs="Times New Roman"/>
      <w:i/>
      <w:iCs/>
      <w:color w:val="000000" w:themeColor="text1"/>
      <w:sz w:val="20"/>
    </w:rPr>
  </w:style>
  <w:style w:type="character" w:customStyle="1" w:styleId="af6">
    <w:name w:val="引用 字符"/>
    <w:basedOn w:val="a2"/>
    <w:link w:val="af5"/>
    <w:uiPriority w:val="29"/>
    <w:rsid w:val="00FC693F"/>
    <w:rPr>
      <w:rFonts w:ascii="Times New Roman" w:eastAsia="Times New Roman" w:hAnsi="Times New Roman" w:cs="Times New Roman"/>
      <w:i/>
      <w:iCs/>
      <w:color w:val="000000" w:themeColor="text1"/>
      <w:sz w:val="20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/>
      <w:iCs/>
      <w:color w:val="4F81BD" w:themeColor="accent1"/>
      <w:sz w:val="20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color w:val="243F60" w:themeColor="accent1" w:themeShade="7F"/>
      <w:sz w:val="20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243F60" w:themeColor="accent1" w:themeShade="7F"/>
      <w:sz w:val="20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404040" w:themeColor="text1" w:themeTint="BF"/>
      <w:sz w:val="20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 w:cs="Times New Roman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eastAsia="Times New Roman" w:cs="Times New Roman"/>
      <w:b/>
      <w:bCs/>
      <w:color w:val="4F81BD" w:themeColor="accent1"/>
      <w:sz w:val="20"/>
      <w:szCs w:val="18"/>
    </w:rPr>
  </w:style>
  <w:style w:type="character" w:styleId="af8">
    <w:name w:val="Strong"/>
    <w:basedOn w:val="a2"/>
    <w:uiPriority w:val="22"/>
    <w:qFormat/>
    <w:rsid w:val="00FC693F"/>
    <w:rPr>
      <w:rFonts w:ascii="Times New Roman" w:eastAsia="Times New Roman" w:hAnsi="Times New Roman" w:cs="Times New Roman"/>
      <w:b/>
      <w:bCs/>
      <w:sz w:val="20"/>
    </w:rPr>
  </w:style>
  <w:style w:type="character" w:styleId="af9">
    <w:name w:val="Emphasis"/>
    <w:basedOn w:val="a2"/>
    <w:uiPriority w:val="20"/>
    <w:qFormat/>
    <w:rsid w:val="00FC693F"/>
    <w:rPr>
      <w:rFonts w:ascii="Times New Roman" w:eastAsia="Times New Roman" w:hAnsi="Times New Roman" w:cs="Times New Roman"/>
      <w:i/>
      <w:iCs/>
      <w:sz w:val="20"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eastAsia="Times New Roman" w:cs="Times New Roman"/>
      <w:b/>
      <w:bCs/>
      <w:i/>
      <w:iCs/>
      <w:color w:val="4F81BD" w:themeColor="accent1"/>
      <w:sz w:val="20"/>
    </w:rPr>
  </w:style>
  <w:style w:type="character" w:customStyle="1" w:styleId="afb">
    <w:name w:val="明显引用 字符"/>
    <w:basedOn w:val="a2"/>
    <w:link w:val="afa"/>
    <w:uiPriority w:val="30"/>
    <w:rsid w:val="00FC693F"/>
    <w:rPr>
      <w:rFonts w:ascii="Times New Roman" w:eastAsia="Times New Roman" w:hAnsi="Times New Roman" w:cs="Times New Roman"/>
      <w:b/>
      <w:bCs/>
      <w:i/>
      <w:iCs/>
      <w:color w:val="4F81BD" w:themeColor="accent1"/>
      <w:sz w:val="20"/>
    </w:rPr>
  </w:style>
  <w:style w:type="character" w:styleId="afc">
    <w:name w:val="Subtle Emphasis"/>
    <w:basedOn w:val="a2"/>
    <w:uiPriority w:val="19"/>
    <w:qFormat/>
    <w:rsid w:val="00FC693F"/>
    <w:rPr>
      <w:rFonts w:ascii="Times New Roman" w:eastAsia="Times New Roman" w:hAnsi="Times New Roman" w:cs="Times New Roman"/>
      <w:i/>
      <w:iCs/>
      <w:color w:val="808080" w:themeColor="text1" w:themeTint="7F"/>
      <w:sz w:val="20"/>
    </w:rPr>
  </w:style>
  <w:style w:type="character" w:styleId="afd">
    <w:name w:val="Intense Emphasis"/>
    <w:basedOn w:val="a2"/>
    <w:uiPriority w:val="21"/>
    <w:qFormat/>
    <w:rsid w:val="00FC693F"/>
    <w:rPr>
      <w:rFonts w:ascii="Times New Roman" w:eastAsia="Times New Roman" w:hAnsi="Times New Roman" w:cs="Times New Roman"/>
      <w:b/>
      <w:bCs/>
      <w:i/>
      <w:iCs/>
      <w:color w:val="4F81BD" w:themeColor="accent1"/>
      <w:sz w:val="20"/>
    </w:rPr>
  </w:style>
  <w:style w:type="character" w:styleId="afe">
    <w:name w:val="Subtle Reference"/>
    <w:basedOn w:val="a2"/>
    <w:uiPriority w:val="31"/>
    <w:qFormat/>
    <w:rsid w:val="00FC693F"/>
    <w:rPr>
      <w:rFonts w:ascii="Times New Roman" w:eastAsia="Times New Roman" w:hAnsi="Times New Roman" w:cs="Times New Roman"/>
      <w:smallCaps/>
      <w:color w:val="C0504D" w:themeColor="accent2"/>
      <w:sz w:val="20"/>
      <w:u w:val="single"/>
    </w:rPr>
  </w:style>
  <w:style w:type="character" w:styleId="aff">
    <w:name w:val="Intense Reference"/>
    <w:basedOn w:val="a2"/>
    <w:uiPriority w:val="32"/>
    <w:qFormat/>
    <w:rsid w:val="00FC693F"/>
    <w:rPr>
      <w:rFonts w:ascii="Times New Roman" w:eastAsia="Times New Roman" w:hAnsi="Times New Roman" w:cs="Times New Roman"/>
      <w:b/>
      <w:bCs/>
      <w:smallCaps/>
      <w:color w:val="C0504D" w:themeColor="accent2"/>
      <w:spacing w:val="5"/>
      <w:sz w:val="20"/>
      <w:u w:val="single"/>
    </w:rPr>
  </w:style>
  <w:style w:type="character" w:styleId="aff0">
    <w:name w:val="Book Title"/>
    <w:basedOn w:val="a2"/>
    <w:uiPriority w:val="33"/>
    <w:qFormat/>
    <w:rsid w:val="00FC693F"/>
    <w:rPr>
      <w:rFonts w:ascii="Times New Roman" w:eastAsia="Times New Roman" w:hAnsi="Times New Roman" w:cs="Times New Roman"/>
      <w:b/>
      <w:bCs/>
      <w:smallCaps/>
      <w:spacing w:val="5"/>
      <w:sz w:val="20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 w:cs="Times New Roman"/>
      <w:sz w:val="20"/>
    </w:rPr>
  </w:style>
  <w:style w:type="table" w:styleId="aff1">
    <w:name w:val="Table Grid"/>
    <w:basedOn w:val="a3"/>
    <w:uiPriority w:val="59"/>
    <w:rsid w:val="00FC693F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943634" w:themeColor="accent2" w:themeShade="BF"/>
      <w:sz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sz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5F497A" w:themeColor="accent4" w:themeShade="BF"/>
      <w:sz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sz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E36C0A" w:themeColor="accent6" w:themeShade="BF"/>
      <w:sz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9">
    <w:name w:val="line number"/>
    <w:basedOn w:val="a2"/>
    <w:uiPriority w:val="99"/>
    <w:semiHidden/>
    <w:unhideWhenUsed/>
    <w:rsid w:val="007F153F"/>
    <w:rPr>
      <w:rFonts w:ascii="Times New Roman" w:hAnsi="Times New Roman" w:eastAsia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2.xml"/><Relationship Id="rId1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B29605-7451-469F-A060-16E1BCC6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Materials: Reduced BMD subgroup in type 2 diabetes</dc:title>
  <dc:subject>Supplementary methods, tables, and figures</dc:subject>
  <dc:creator>Song Lu; Bo Wan; Chun-sheng Qian; Jia-jia Shao; Qing-shan Fu; Chang-ma Fu</dc:creator>
  <cp:keywords>type 2 diabetes; bone mineral density; supplementary materials</cp:keywords>
  <dc:description>Final revised supplementary materials</dc:description>
  <cp:lastModifiedBy>Chang-ma Fu</cp:lastModifiedBy>
  <cp:revision>3</cp:revision>
  <dcterms:created xsi:type="dcterms:W3CDTF">2013-12-23T23:15:00Z</dcterms:created>
  <dcterms:modified xsi:type="dcterms:W3CDTF">2026-07-22T02:13:00Z</dcterms:modified>
  <cp:category>Research article</cp:category>
</cp:coreProperties>
</file>