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355B8" w14:textId="2EADD785" w:rsidR="00A56540" w:rsidRPr="00A26952" w:rsidRDefault="00A56540" w:rsidP="00A56540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A56540">
        <w:rPr>
          <w:rFonts w:ascii="Times New Roman" w:hAnsi="Times New Roman" w:cs="Times New Roman"/>
          <w:b/>
          <w:bCs/>
          <w:sz w:val="24"/>
          <w:szCs w:val="24"/>
        </w:rPr>
        <w:t>Supplementary Figure S1</w:t>
      </w:r>
      <w:r w:rsidRPr="00A26952">
        <w:rPr>
          <w:rFonts w:ascii="Times New Roman" w:hAnsi="Times New Roman" w:cs="Times New Roman"/>
          <w:b/>
          <w:bCs/>
          <w:sz w:val="24"/>
          <w:szCs w:val="24"/>
        </w:rPr>
        <w:t>. Relationship between serum albumin and gluteus medius muscle area and distribution of AGMI according to one-year survival status.</w:t>
      </w:r>
    </w:p>
    <w:p w14:paraId="75CC6D99" w14:textId="77777777" w:rsidR="00A56540" w:rsidRDefault="00A56540" w:rsidP="00A5654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A26952">
        <w:rPr>
          <w:rFonts w:ascii="Times New Roman" w:hAnsi="Times New Roman" w:cs="Times New Roman"/>
          <w:b/>
          <w:noProof/>
          <w:sz w:val="24"/>
          <w:szCs w:val="24"/>
          <w:lang w:val="tr-TR"/>
        </w:rPr>
        <w:drawing>
          <wp:inline distT="0" distB="0" distL="0" distR="0" wp14:anchorId="0A57D3A6" wp14:editId="665F3828">
            <wp:extent cx="5760720" cy="2457450"/>
            <wp:effectExtent l="0" t="0" r="0" b="0"/>
            <wp:docPr id="207547942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4794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58D3B" w14:textId="77777777" w:rsidR="00A56540" w:rsidRPr="00A26952" w:rsidRDefault="00A56540" w:rsidP="00A56540">
      <w:pPr>
        <w:spacing w:after="0" w:line="48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tr-TR"/>
        </w:rPr>
      </w:pPr>
      <w:r w:rsidRPr="00A26952">
        <w:rPr>
          <w:rFonts w:ascii="Times New Roman" w:hAnsi="Times New Roman" w:cs="Times New Roman"/>
          <w:bCs/>
          <w:i/>
          <w:iCs/>
          <w:sz w:val="24"/>
          <w:szCs w:val="24"/>
        </w:rPr>
        <w:t>Panel A shows the relationship between serum albumin and gluteus medius muscle area, with patients distinguished according to one-year survival status. Panel B shows the distributions of AGMI among survivors and non-survivors using common histogram bin boundaries. Percentages were calculated within each survival group to account for the unequal group sizes. Dashed vertical lines indicate the group-specific mean AGMI values. AGMI: Albumin–Gluteus Medius Index.</w:t>
      </w:r>
    </w:p>
    <w:p w14:paraId="72073FAF" w14:textId="77777777" w:rsidR="00A56540" w:rsidRDefault="00A56540"/>
    <w:sectPr w:rsidR="00A565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40"/>
    <w:rsid w:val="00100074"/>
    <w:rsid w:val="00A5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819B93"/>
  <w15:chartTrackingRefBased/>
  <w15:docId w15:val="{14B56DA4-04F7-4F89-A29F-92FBA7E58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540"/>
    <w:pPr>
      <w:spacing w:after="200" w:line="276" w:lineRule="auto"/>
    </w:pPr>
    <w:rPr>
      <w:rFonts w:eastAsiaTheme="minorEastAsia"/>
      <w:kern w:val="0"/>
      <w:sz w:val="22"/>
      <w:szCs w:val="22"/>
      <w:lang w:val="en-GB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565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565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5654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5654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5654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5654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5654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5654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5654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tr-TR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56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56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56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5654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5654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5654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5654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5654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5654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56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56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5654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A56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5654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A5654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5654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A5654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56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A5654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565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536</Characters>
  <Application>Microsoft Office Word</Application>
  <DocSecurity>0</DocSecurity>
  <Lines>11</Lines>
  <Paragraphs>5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</dc:creator>
  <cp:keywords/>
  <dc:description/>
  <cp:lastModifiedBy>Onur</cp:lastModifiedBy>
  <cp:revision>1</cp:revision>
  <dcterms:created xsi:type="dcterms:W3CDTF">2026-08-06T08:21:00Z</dcterms:created>
  <dcterms:modified xsi:type="dcterms:W3CDTF">2026-08-06T08:21:00Z</dcterms:modified>
</cp:coreProperties>
</file>