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14:paraId="7E91846B" w14:textId="77777777">
      <w:pPr xmlns:w="http://schemas.openxmlformats.org/wordprocessingml/2006/main">
        <w:spacing w:after="160"/>
        <w:jc w:val="left"/>
      </w:pPr>
      <w:r xmlns:w="http://schemas.openxmlformats.org/wordprocessingml/2006/main">
        <w:rPr>
          <w:rFonts w:ascii="Arial" w:hAnsi="Arial"/>
          <w:b/>
          <w:sz w:val="22"/>
        </w:rPr>
        <w:t>Supplementary Table 1. Treatment effect across alternative model specifications and sensitivity analyses</w:t>
      </w:r>
    </w:p>
    <w:tbl>
      <w:tblPr>
        <w:tblStyle w:val="TableGrid"/>
        <w:tblW w:w="0" w:type="auto"/>
        <w:jc w:val="center"/>
        <w:tblLook w:val="04A0"/>
      </w:tblPr>
      <w:tblGrid>
        <w:gridCol w:w="2794"/>
        <w:gridCol w:w="2794"/>
        <w:gridCol w:w="2794"/>
        <w:gridCol w:w="2794"/>
        <w:gridCol w:w="2794"/>
      </w:tblGrid>
      <w:tr>
        <w:tblPrEx>
          <w:tblW w:w="0" w:type="auto"/>
          <w:tblLook w:val="04A0"/>
        </w:tblPrEx>
        <w:tc>
          <w:tcPr>
            <w:tcW w:w="2794" w:type="dxa"/>
            <w:shd w:val="clear" w:color="auto" w:fill="D9EAF7"/>
            <w:vAlign w:val="center"/>
          </w:tcPr>
          <w:p w14:paraId="3669F3F0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/>
                <w:sz w:val="18"/>
              </w:rPr>
              <w:t>Model / analysis</w:t>
            </w:r>
          </w:p>
        </w:tc>
        <w:tc>
          <w:tcPr>
            <w:tcW w:w="2794" w:type="dxa"/>
            <w:shd w:val="clear" w:color="auto" w:fill="D9EAF7"/>
            <w:vAlign w:val="center"/>
          </w:tcPr>
          <w:p w14:paraId="4F441871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/>
                <w:sz w:val="18"/>
              </w:rPr>
              <w:t>Treatment beta</w:t>
            </w:r>
          </w:p>
        </w:tc>
        <w:tc>
          <w:tcPr>
            <w:tcW w:w="2794" w:type="dxa"/>
            <w:shd w:val="clear" w:color="auto" w:fill="D9EAF7"/>
            <w:vAlign w:val="center"/>
          </w:tcPr>
          <w:p w14:paraId="3616882B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/>
                <w:sz w:val="18"/>
              </w:rPr>
              <w:t>95% CI</w:t>
            </w:r>
          </w:p>
        </w:tc>
        <w:tc>
          <w:tcPr>
            <w:tcW w:w="2794" w:type="dxa"/>
            <w:shd w:val="clear" w:color="auto" w:fill="D9EAF7"/>
            <w:vAlign w:val="center"/>
          </w:tcPr>
          <w:p w14:paraId="1FC8CC4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/>
                <w:sz w:val="18"/>
              </w:rPr>
              <w:t>p value</w:t>
            </w:r>
          </w:p>
        </w:tc>
        <w:tc>
          <w:tcPr>
            <w:tcW w:w="2794" w:type="dxa"/>
            <w:shd w:val="clear" w:color="auto" w:fill="D9EAF7"/>
            <w:vAlign w:val="center"/>
          </w:tcPr>
          <w:p w14:paraId="6BA55691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/>
                <w:sz w:val="18"/>
              </w:rPr>
              <w:t>n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41163E92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Primary model: Neer classification</w:t>
            </w:r>
          </w:p>
        </w:tc>
        <w:tc>
          <w:tcPr>
            <w:tcW w:w="2794" w:type="dxa"/>
            <w:vAlign w:val="center"/>
          </w:tcPr>
          <w:p w14:paraId="0180BB4F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2.39</w:t>
            </w:r>
          </w:p>
        </w:tc>
        <w:tc>
          <w:tcPr>
            <w:tcW w:w="2794" w:type="dxa"/>
            <w:vAlign w:val="center"/>
          </w:tcPr>
          <w:p w14:paraId="4209C82A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-0.04 to 4.83</w:t>
            </w:r>
          </w:p>
        </w:tc>
        <w:tc>
          <w:tcPr>
            <w:tcW w:w="2794" w:type="dxa"/>
            <w:vAlign w:val="center"/>
          </w:tcPr>
          <w:p w14:paraId="3F4AD757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0.054</w:t>
            </w:r>
          </w:p>
        </w:tc>
        <w:tc>
          <w:tcPr>
            <w:tcW w:w="2794" w:type="dxa"/>
            <w:vAlign w:val="center"/>
          </w:tcPr>
          <w:p w14:paraId="791BF83A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68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5AFD1ACF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Alternative severity coding: AO/OTA</w:t>
            </w:r>
          </w:p>
        </w:tc>
        <w:tc>
          <w:tcPr>
            <w:tcW w:w="2794" w:type="dxa"/>
            <w:vAlign w:val="center"/>
          </w:tcPr>
          <w:p w14:paraId="0D7AA64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3.02</w:t>
            </w:r>
          </w:p>
        </w:tc>
        <w:tc>
          <w:tcPr>
            <w:tcW w:w="2794" w:type="dxa"/>
            <w:vAlign w:val="center"/>
          </w:tcPr>
          <w:p w14:paraId="62586C29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0.80 to 5.24</w:t>
            </w:r>
          </w:p>
        </w:tc>
        <w:tc>
          <w:tcPr>
            <w:tcW w:w="2794" w:type="dxa"/>
            <w:vAlign w:val="center"/>
          </w:tcPr>
          <w:p w14:paraId="5EAECDDA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0.009</w:t>
            </w:r>
          </w:p>
        </w:tc>
        <w:tc>
          <w:tcPr>
            <w:tcW w:w="2794" w:type="dxa"/>
            <w:vAlign w:val="center"/>
          </w:tcPr>
          <w:p w14:paraId="29E9282A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68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76ED4F8D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Neer + AO/OTA model</w:t>
            </w:r>
          </w:p>
        </w:tc>
        <w:tc>
          <w:tcPr>
            <w:tcW w:w="2794" w:type="dxa"/>
            <w:vAlign w:val="center"/>
          </w:tcPr>
          <w:p w14:paraId="2B12B5F7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2.84</w:t>
            </w:r>
          </w:p>
        </w:tc>
        <w:tc>
          <w:tcPr>
            <w:tcW w:w="2794" w:type="dxa"/>
            <w:vAlign w:val="center"/>
          </w:tcPr>
          <w:p w14:paraId="2B38E7A9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0.68 to 5.00</w:t>
            </w:r>
          </w:p>
        </w:tc>
        <w:tc>
          <w:tcPr>
            <w:tcW w:w="2794" w:type="dxa"/>
            <w:vAlign w:val="center"/>
          </w:tcPr>
          <w:p w14:paraId="685B7D2E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0.011</w:t>
            </w:r>
          </w:p>
        </w:tc>
        <w:tc>
          <w:tcPr>
            <w:tcW w:w="2794" w:type="dxa"/>
            <w:vAlign w:val="center"/>
          </w:tcPr>
          <w:p w14:paraId="30690F39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68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141DD2BC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Unadjusted comparison</w:t>
            </w:r>
          </w:p>
        </w:tc>
        <w:tc>
          <w:tcPr>
            <w:tcW w:w="2794" w:type="dxa"/>
            <w:vAlign w:val="center"/>
          </w:tcPr>
          <w:p w14:paraId="4147D5C6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2.76</w:t>
            </w:r>
          </w:p>
        </w:tc>
        <w:tc>
          <w:tcPr>
            <w:tcW w:w="2794" w:type="dxa"/>
            <w:vAlign w:val="center"/>
          </w:tcPr>
          <w:p w14:paraId="10E47BE5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-0.42 to 5.93</w:t>
            </w:r>
          </w:p>
        </w:tc>
        <w:tc>
          <w:tcPr>
            <w:tcW w:w="2794" w:type="dxa"/>
            <w:vAlign w:val="center"/>
          </w:tcPr>
          <w:p w14:paraId="225A4A93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0.087</w:t>
            </w:r>
          </w:p>
        </w:tc>
        <w:tc>
          <w:tcPr>
            <w:tcW w:w="2794" w:type="dxa"/>
            <w:vAlign w:val="center"/>
          </w:tcPr>
          <w:p w14:paraId="229D7FE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68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60DDC7EC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HC3 robust standard errors</w:t>
            </w:r>
          </w:p>
        </w:tc>
        <w:tc>
          <w:tcPr>
            <w:tcW w:w="2794" w:type="dxa"/>
            <w:vAlign w:val="center"/>
          </w:tcPr>
          <w:p w14:paraId="420547D3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2.39</w:t>
            </w:r>
          </w:p>
        </w:tc>
        <w:tc>
          <w:tcPr>
            <w:tcW w:w="2794" w:type="dxa"/>
            <w:vAlign w:val="center"/>
          </w:tcPr>
          <w:p w14:paraId="49A9D981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-0.40 to 5.19</w:t>
            </w:r>
          </w:p>
        </w:tc>
        <w:tc>
          <w:tcPr>
            <w:tcW w:w="2794" w:type="dxa"/>
            <w:vAlign w:val="center"/>
          </w:tcPr>
          <w:p w14:paraId="1F9FDA13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0.093</w:t>
            </w:r>
          </w:p>
        </w:tc>
        <w:tc>
          <w:tcPr>
            <w:tcW w:w="2794" w:type="dxa"/>
            <w:vAlign w:val="center"/>
          </w:tcPr>
          <w:p w14:paraId="2C6B1126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68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352B7695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Bootstrap, 5,000 iterations</w:t>
            </w:r>
          </w:p>
        </w:tc>
        <w:tc>
          <w:tcPr>
            <w:tcW w:w="2794" w:type="dxa"/>
            <w:vAlign w:val="center"/>
          </w:tcPr>
          <w:p w14:paraId="5DBCFC94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2.39</w:t>
            </w:r>
          </w:p>
        </w:tc>
        <w:tc>
          <w:tcPr>
            <w:tcW w:w="2794" w:type="dxa"/>
            <w:vAlign w:val="center"/>
          </w:tcPr>
          <w:p w14:paraId="2D5957AB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-0.34 to 4.92</w:t>
            </w:r>
          </w:p>
        </w:tc>
        <w:tc>
          <w:tcPr>
            <w:tcW w:w="2794" w:type="dxa"/>
            <w:vAlign w:val="center"/>
          </w:tcPr>
          <w:p w14:paraId="2BEC74D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0.078</w:t>
            </w:r>
          </w:p>
        </w:tc>
        <w:tc>
          <w:tcPr>
            <w:tcW w:w="2794" w:type="dxa"/>
            <w:vAlign w:val="center"/>
          </w:tcPr>
          <w:p w14:paraId="50D84C5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68</w:t>
            </w:r>
          </w:p>
        </w:tc>
      </w:tr>
      <w:tr>
        <w:tblPrEx>
          <w:tblW w:w="0" w:type="auto"/>
          <w:tblLook w:val="04A0"/>
        </w:tblPrEx>
        <w:tc>
          <w:tcPr>
            <w:tcW w:w="2794" w:type="dxa"/>
            <w:vAlign w:val="center"/>
          </w:tcPr>
          <w:p w14:paraId="0D583197" w14:textId="77777777">
            <w:pPr xmlns:w="http://schemas.openxmlformats.org/wordprocessingml/2006/main">
              <w:spacing w:before="0" w:after="0"/>
              <w:jc w:val="left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After excluding influential observations</w:t>
            </w:r>
          </w:p>
        </w:tc>
        <w:tc>
          <w:tcPr>
            <w:tcW w:w="2794" w:type="dxa"/>
            <w:vAlign w:val="center"/>
          </w:tcPr>
          <w:p w14:paraId="6473D47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2.41</w:t>
            </w:r>
          </w:p>
        </w:tc>
        <w:tc>
          <w:tcPr>
            <w:tcW w:w="2794" w:type="dxa"/>
            <w:vAlign w:val="center"/>
          </w:tcPr>
          <w:p w14:paraId="76076B60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0.84 to 3.99</w:t>
            </w:r>
          </w:p>
        </w:tc>
        <w:tc>
          <w:tcPr>
            <w:tcW w:w="2794" w:type="dxa"/>
            <w:vAlign w:val="center"/>
          </w:tcPr>
          <w:p w14:paraId="74FBB7F8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0.003</w:t>
            </w:r>
          </w:p>
        </w:tc>
        <w:tc>
          <w:tcPr>
            <w:tcW w:w="2794" w:type="dxa"/>
            <w:vAlign w:val="center"/>
          </w:tcPr>
          <w:p w14:paraId="0DB8BF79" w14:textId="77777777">
            <w:pPr xmlns:w="http://schemas.openxmlformats.org/wordprocessingml/2006/main">
              <w:spacing w:before="0" w:after="0"/>
              <w:jc w:val="center"/>
            </w:pPr>
            <w:r xmlns:w="http://schemas.openxmlformats.org/wordprocessingml/2006/main">
              <w:rPr>
                <w:rFonts w:ascii="Arial" w:hAnsi="Arial"/>
                <w:b w:val="0"/>
                <w:sz w:val="18"/>
              </w:rPr>
              <w:t>63</w:t>
            </w:r>
          </w:p>
        </w:tc>
      </w:tr>
    </w:tbl>
    <w:p w14:paraId="4B1AF75E" w14:textId="77777777">
      <w:pPr xmlns:w="http://schemas.openxmlformats.org/wordprocessingml/2006/main">
        <w:spacing w:before="160" w:after="0"/>
      </w:pPr>
      <w:r xmlns:w="http://schemas.openxmlformats.org/wordprocessingml/2006/main">
        <w:rPr>
          <w:rFonts w:ascii="Arial" w:hAnsi="Arial"/>
          <w:i/>
          <w:sz w:val="18"/>
        </w:rPr>
        <w:t>Note: EF indicates external fixation, with locking plate osteosynthesis as the reference category. All adjusted models included age, sex, comorbidity and follow-up duration. Adjusted R2 values were 0.520 for the Neer model, 0.602 for the AO/OTA model and 0.626 for the combined model; AIC values were 406.9, 394.1 and 390.8, respectively. The influential-observation analysis is presented for completeness and was not used as the basis for the main conclusion. Overall interpretation: all sensitivity analyses demonstrated a stable treatment-effect estimate ranging from 2.39 to 3.02 Constant-Murley points.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