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200"/>
        <w:jc w:val="center"/>
      </w:pPr>
      <w:r>
        <w:rPr>
          <w:rFonts w:ascii="Times New Roman" w:cs="Times New Roman" w:eastAsia="Times New Roman" w:hAnsi="Times New Roman"/>
          <w:b/>
          <w:bCs/>
          <w:sz w:val="36"/>
          <w:szCs w:val="36"/>
        </w:rPr>
        <w:t xml:space="preserve">Supplementary Materials</w:t>
      </w:r>
    </w:p>
    <w:p>
      <w:pPr>
        <w:spacing w:after="240" w:before="200"/>
        <w:jc w:val="center"/>
      </w:pPr>
      <w:r>
        <w:rPr>
          <w:rFonts w:ascii="Times New Roman" w:cs="Times New Roman" w:eastAsia="Times New Roman" w:hAnsi="Times New Roman"/>
          <w:b/>
          <w:bCs/>
          <w:sz w:val="26"/>
          <w:szCs w:val="26"/>
        </w:rPr>
        <w:t xml:space="preserve">Diagnostic Criteria for Sarcopenia (EWGSOP2, AWGS2, SDOC) and Their Prognostic Value:</w:t>
      </w:r>
    </w:p>
    <w:p>
      <w:pPr>
        <w:spacing w:after="600" w:before="100"/>
        <w:jc w:val="center"/>
      </w:pPr>
      <w:r>
        <w:rPr>
          <w:rFonts w:ascii="Times New Roman" w:cs="Times New Roman" w:eastAsia="Times New Roman" w:hAnsi="Times New Roman"/>
          <w:b/>
          <w:bCs/>
          <w:sz w:val="26"/>
          <w:szCs w:val="26"/>
        </w:rPr>
        <w:t xml:space="preserve">A Systematic Review and Meta-Analysis of Prevalence, All-Cause Mortality, and Hospitalisation</w:t>
      </w:r>
    </w:p>
    <w:p>
      <w:pPr>
        <w:spacing w:before="600"/>
        <w:jc w:val="center"/>
      </w:pPr>
      <w:r>
        <w:rPr>
          <w:rFonts w:ascii="Times New Roman" w:cs="Times New Roman" w:eastAsia="Times New Roman" w:hAnsi="Times New Roman"/>
          <w:b/>
          <w:bCs/>
          <w:sz w:val="24"/>
          <w:szCs w:val="24"/>
        </w:rPr>
        <w:t xml:space="preserve">Supplementary contents:</w:t>
      </w:r>
    </w:p>
    <w:p>
      <w:pPr>
        <w:spacing w:after="100" w:line="280"/>
        <w:ind w:left="720"/>
        <w:jc w:val="left"/>
      </w:pPr>
      <w:r>
        <w:rPr>
          <w:rFonts w:ascii="Times New Roman" w:cs="Times New Roman" w:eastAsia="Times New Roman" w:hAnsi="Times New Roman"/>
          <w:sz w:val="22"/>
          <w:szCs w:val="22"/>
        </w:rPr>
        <w:t xml:space="preserve">Appendix S1.  Full database search strategies (PubMed, Embase, Cochrane, Web of Science, CNKI, Wanfang)</w:t>
      </w:r>
    </w:p>
    <w:p>
      <w:pPr>
        <w:spacing w:after="100" w:line="280"/>
        <w:ind w:left="720"/>
        <w:jc w:val="left"/>
      </w:pPr>
      <w:r>
        <w:rPr>
          <w:rFonts w:ascii="Times New Roman" w:cs="Times New Roman" w:eastAsia="Times New Roman" w:hAnsi="Times New Roman"/>
          <w:sz w:val="22"/>
          <w:szCs w:val="22"/>
        </w:rPr>
        <w:t xml:space="preserve">Appendix S2.  PRISMA 2020 Checklist</w:t>
      </w:r>
    </w:p>
    <w:p>
      <w:pPr>
        <w:spacing w:after="100" w:line="280"/>
        <w:ind w:left="720"/>
        <w:jc w:val="left"/>
      </w:pPr>
      <w:r>
        <w:rPr>
          <w:rFonts w:ascii="Times New Roman" w:cs="Times New Roman" w:eastAsia="Times New Roman" w:hAnsi="Times New Roman"/>
          <w:sz w:val="22"/>
          <w:szCs w:val="22"/>
        </w:rPr>
        <w:t xml:space="preserve">Table S1.    Characteristics of all 62 included studies</w:t>
      </w:r>
    </w:p>
    <w:p>
      <w:pPr>
        <w:spacing w:after="100" w:line="280"/>
        <w:ind w:left="720"/>
        <w:jc w:val="left"/>
      </w:pPr>
      <w:r>
        <w:rPr>
          <w:rFonts w:ascii="Times New Roman" w:cs="Times New Roman" w:eastAsia="Times New Roman" w:hAnsi="Times New Roman"/>
          <w:sz w:val="22"/>
          <w:szCs w:val="22"/>
        </w:rPr>
        <w:t xml:space="preserve">Table S2.    Prevalence data extraction (all study × criterion rows)</w:t>
      </w:r>
    </w:p>
    <w:p>
      <w:pPr>
        <w:spacing w:after="100" w:line="280"/>
        <w:ind w:left="720"/>
        <w:jc w:val="left"/>
      </w:pPr>
      <w:r>
        <w:rPr>
          <w:rFonts w:ascii="Times New Roman" w:cs="Times New Roman" w:eastAsia="Times New Roman" w:hAnsi="Times New Roman"/>
          <w:sz w:val="22"/>
          <w:szCs w:val="22"/>
        </w:rPr>
        <w:t xml:space="preserve">Table S3.    Mortality hazard ratio extraction</w:t>
      </w:r>
    </w:p>
    <w:p>
      <w:pPr>
        <w:spacing w:after="100" w:line="280"/>
        <w:ind w:left="720"/>
        <w:jc w:val="left"/>
      </w:pPr>
      <w:r>
        <w:rPr>
          <w:rFonts w:ascii="Times New Roman" w:cs="Times New Roman" w:eastAsia="Times New Roman" w:hAnsi="Times New Roman"/>
          <w:sz w:val="22"/>
          <w:szCs w:val="22"/>
        </w:rPr>
        <w:t xml:space="preserve">Table S4.    Hospitalisation hazard ratio extraction</w:t>
      </w:r>
    </w:p>
    <w:p>
      <w:pPr>
        <w:spacing w:after="100" w:line="280"/>
        <w:ind w:left="720"/>
        <w:jc w:val="left"/>
      </w:pPr>
      <w:r>
        <w:rPr>
          <w:rFonts w:ascii="Times New Roman" w:cs="Times New Roman" w:eastAsia="Times New Roman" w:hAnsi="Times New Roman"/>
          <w:sz w:val="22"/>
          <w:szCs w:val="22"/>
        </w:rPr>
        <w:t xml:space="preserve">Table S5.    Risk-of-bias assessment </w:t>
      </w:r>
      <w:r>
        <w:rPr>
          <w:rFonts w:ascii="Times New Roman" w:cs="Times New Roman" w:eastAsia="Times New Roman" w:hAnsi="Times New Roman"/>
          <w:sz w:val="22"/>
          <w:szCs w:val="22"/>
        </w:rPr>
        <w:t xml:space="preserve">(ROBINS-E and JBI)</w:t>
      </w:r>
    </w:p>
    <w:p>
      <w:pPr>
        <w:spacing w:after="100" w:line="280"/>
        <w:ind w:left="720"/>
        <w:jc w:val="left"/>
      </w:pPr>
      <w:r>
        <w:rPr>
          <w:rFonts w:ascii="Times New Roman" w:cs="Times New Roman" w:eastAsia="Times New Roman" w:hAnsi="Times New Roman"/>
          <w:sz w:val="22"/>
          <w:szCs w:val="22"/>
        </w:rPr>
        <w:t xml:space="preserve">Table S6.    Leave-one-out sensitivity analysis (mortality, by criterion)</w:t>
      </w:r>
    </w:p>
    <w:p>
      <w:pPr>
        <w:spacing w:after="100" w:line="280"/>
        <w:ind w:left="720"/>
        <w:jc w:val="left"/>
      </w:pPr>
      <w:r>
        <w:rPr>
          <w:rFonts w:ascii="Times New Roman" w:cs="Times New Roman" w:eastAsia="Times New Roman" w:hAnsi="Times New Roman"/>
          <w:sz w:val="22"/>
          <w:szCs w:val="22"/>
        </w:rPr>
        <w:t xml:space="preserve">Table S7.    Subgroup analysis: </w:t>
      </w:r>
      <w:r>
        <w:rPr>
          <w:rFonts w:ascii="Times New Roman" w:cs="Times New Roman" w:eastAsia="Times New Roman" w:hAnsi="Times New Roman"/>
          <w:sz w:val="22"/>
          <w:szCs w:val="22"/>
        </w:rPr>
        <w:t xml:space="preserve">prevalence by region and setting × criterion</w:t>
      </w:r>
    </w:p>
    <w:p>
      <w:pPr>
        <w:spacing w:after="100" w:line="280"/>
        <w:ind w:left="720"/>
        <w:jc w:val="left"/>
      </w:pPr>
      <w:r>
        <w:rPr>
          <w:rFonts w:ascii="Times New Roman" w:cs="Times New Roman" w:eastAsia="Times New Roman" w:hAnsi="Times New Roman"/>
          <w:sz w:val="22"/>
          <w:szCs w:val="22"/>
        </w:rPr>
        <w:t xml:space="preserve">Table S8.    Subgroup analysis: mortality by region × criterion</w:t>
      </w:r>
    </w:p>
    <w:p>
      <w:pPr>
        <w:spacing w:after="100" w:line="280"/>
        <w:ind w:left="720"/>
        <w:jc w:val="left"/>
      </w:pPr>
      <w:r>
        <w:rPr>
          <w:rFonts w:ascii="Times New Roman" w:cs="Times New Roman" w:eastAsia="Times New Roman" w:hAnsi="Times New Roman"/>
          <w:sz w:val="22"/>
          <w:szCs w:val="22"/>
        </w:rPr>
        <w:t xml:space="preserve">Table S9.    Meta-regression detailed output (centred predictors)</w:t>
      </w:r>
    </w:p>
    <w:p>
      <w:pPr>
        <w:spacing w:after="100" w:line="280"/>
        <w:ind w:left="720"/>
        <w:jc w:val="left"/>
      </w:pPr>
      <w:r>
        <w:rPr>
          <w:rFonts w:ascii="Times New Roman" w:cs="Times New Roman" w:eastAsia="Times New Roman" w:hAnsi="Times New Roman"/>
          <w:sz w:val="22"/>
          <w:szCs w:val="22"/>
        </w:rPr>
        <w:t xml:space="preserve">Table S10.   </w:t>
      </w:r>
      <w:r>
        <w:rPr>
          <w:rFonts w:ascii="Times New Roman" w:cs="Times New Roman" w:eastAsia="Times New Roman" w:hAnsi="Times New Roman"/>
          <w:sz w:val="22"/>
          <w:szCs w:val="22"/>
        </w:rPr>
        <w:t xml:space="preserve">Within-cohort comparisons between diagnostic criteria</w:t>
      </w:r>
    </w:p>
    <w:p>
      <w:pPr>
        <w:spacing w:after="100" w:line="280"/>
        <w:ind w:left="720"/>
        <w:jc w:val="left"/>
      </w:pPr>
      <w:r>
        <w:rPr>
          <w:rFonts w:ascii="Times New Roman" w:cs="Times New Roman" w:eastAsia="Times New Roman" w:hAnsi="Times New Roman"/>
          <w:sz w:val="22"/>
          <w:szCs w:val="22"/>
        </w:rPr>
        <w:t xml:space="preserve">Table S11.   Publication bias diagnostics (Egger and trim-and-fill)</w:t>
      </w:r>
    </w:p>
    <w:p>
      <w:pPr>
        <w:spacing w:after="100" w:line="280"/>
        <w:ind w:left="720"/>
        <w:jc w:val="left"/>
      </w:pPr>
      <w:r>
        <w:rPr>
          <w:rFonts w:ascii="Times New Roman" w:cs="Times New Roman" w:eastAsia="Times New Roman" w:hAnsi="Times New Roman"/>
          <w:sz w:val="22"/>
          <w:szCs w:val="22"/>
        </w:rPr>
        <w:t xml:space="preserve">Table S12.   GRADE evidence profile (detailed)</w:t>
      </w:r>
    </w:p>
    <w:p>
      <w:pPr>
        <w:spacing w:after="100" w:line="280"/>
        <w:ind w:left="720"/>
        <w:jc w:val="left"/>
      </w:pPr>
      <w:r>
        <w:rPr>
          <w:rFonts w:ascii="Times New Roman" w:cs="Times New Roman" w:eastAsia="Times New Roman" w:hAnsi="Times New Roman"/>
          <w:sz w:val="22"/>
          <w:szCs w:val="22"/>
        </w:rPr>
        <w:t xml:space="preserve">Appendix S3.  Python analysis code summary (Freeman–Tukey, REML, Hartung–Knapp)</w:t>
      </w:r>
    </w:p>
    <w:p>
      <w:pPr>
        <w:spacing w:after="100" w:line="280"/>
        <w:ind w:left="720"/>
        <w:jc w:val="left"/>
      </w:pPr>
      <w:r>
        <w:rPr>
          <w:rFonts w:ascii="Times New Roman" w:cs="Times New Roman" w:eastAsia="Times New Roman" w:hAnsi="Times New Roman"/>
          <w:sz w:val="22"/>
          <w:szCs w:val="22"/>
        </w:rPr>
        <w:t xml:space="preserve">Appendix S4.  Reproducibility statement and data sharing</w:t>
      </w:r>
    </w:p>
    <w:p>
      <w:pPr>
        <w:spacing w:after="100" w:line="280"/>
        <w:ind w:left="720"/>
        <w:jc w:val="left"/>
      </w:pPr>
      <w:r>
        <w:rPr>
          <w:rFonts w:ascii="Times New Roman" w:cs="Times New Roman" w:eastAsia="Times New Roman" w:hAnsi="Times New Roman"/>
          <w:sz w:val="22"/>
          <w:szCs w:val="22"/>
        </w:rPr>
        <w:t xml:space="preserve">Figure S1.   Funnel plots for publication bias and small-study effects</w:t>
      </w:r>
    </w:p>
    <w:p>
      <w:pPr>
        <w:spacing w:after="100" w:line="280"/>
        <w:ind w:left="720"/>
        <w:jc w:val="left"/>
      </w:pPr>
      <w:r>
        <w:rPr>
          <w:rFonts w:ascii="Times New Roman" w:cs="Times New Roman" w:eastAsia="Times New Roman" w:hAnsi="Times New Roman"/>
          <w:sz w:val="22"/>
          <w:szCs w:val="22"/>
        </w:rPr>
        <w:t xml:space="preserve">Figure S2.   Subgroup analysis: pooled prevalence by clinical setting</w:t>
      </w:r>
    </w:p>
    <w:p>
      <w:pPr>
        <w:spacing w:after="100" w:line="280"/>
        <w:ind w:left="720"/>
        <w:jc w:val="left"/>
      </w:pPr>
      <w:r>
        <w:rPr>
          <w:rFonts w:ascii="Times New Roman" w:cs="Times New Roman" w:eastAsia="Times New Roman" w:hAnsi="Times New Roman"/>
          <w:sz w:val="22"/>
          <w:szCs w:val="22"/>
        </w:rPr>
        <w:t xml:space="preserve">Figure S3.   Subgroup analysis: pooled mortality hazard ratio by clinical setting</w:t>
      </w:r>
    </w:p>
    <w:p>
      <w:r>
        <w:br w:type="page"/>
      </w:r>
    </w:p>
    <w:p>
      <w:pPr>
        <w:pStyle w:val="Heading1"/>
        <w:spacing w:after="200" w:before="300"/>
      </w:pPr>
      <w:r>
        <w:rPr>
          <w:rFonts w:ascii="Times New Roman" w:cs="Times New Roman" w:eastAsia="Times New Roman" w:hAnsi="Times New Roman"/>
          <w:b/>
          <w:bCs/>
          <w:sz w:val="28"/>
          <w:szCs w:val="28"/>
        </w:rPr>
        <w:t xml:space="preserve">Appendix S1. Database Search Strategies</w:t>
      </w:r>
    </w:p>
    <w:p>
      <w:pPr>
        <w:spacing w:after="120" w:line="320"/>
        <w:jc w:val="both"/>
      </w:pPr>
      <w:r>
        <w:rPr>
          <w:rFonts w:ascii="Times New Roman" w:cs="Times New Roman" w:eastAsia="Times New Roman" w:hAnsi="Times New Roman"/>
          <w:sz w:val="22"/>
          <w:szCs w:val="22"/>
        </w:rPr>
        <w:t xml:space="preserve">All searches were executed on 31 May 2026 and restricted to publications from 1 January 2019 onward. The search blocks correspond to the PICO framework: Population (sarcopenia and related terms; the PubMed and Web of Science strategies additionally included component-measure terms such as “low muscle mass” and “low muscle strength”), Index/Comparator constructs (the criterion names EWGSOP2, AWGS2, SDOC and their full forms), and Outcomes (prevalence, mortality, hospitalisation, readmission). The Embase, Cochrane CENTRAL, CNKI, and Wanfang strategies used criterion-name terms without separate component-measure blocks. All strings are reproduced exactly as executed.</w:t>
      </w:r>
    </w:p>
    <w:p>
      <w:pPr>
        <w:pStyle w:val="Heading2"/>
        <w:spacing w:after="160" w:before="240"/>
      </w:pPr>
      <w:r>
        <w:rPr>
          <w:rFonts w:ascii="Times New Roman" w:cs="Times New Roman" w:eastAsia="Times New Roman" w:hAnsi="Times New Roman"/>
          <w:b/>
          <w:bCs/>
          <w:sz w:val="24"/>
          <w:szCs w:val="24"/>
        </w:rPr>
        <w:t xml:space="preserve">S1.1 PubMed / MEDLINE</w:t>
      </w:r>
    </w:p>
    <w:p>
      <w:pPr>
        <w:spacing w:after="80" w:line="280"/>
        <w:jc w:val="left"/>
      </w:pPr>
      <w:r>
        <w:rPr>
          <w:rFonts w:ascii="Courier New" w:cs="Courier New" w:eastAsia="Courier New" w:hAnsi="Courier New"/>
          <w:sz w:val="18"/>
          <w:szCs w:val="18"/>
        </w:rPr>
        <w:t xml:space="preserve">((sarcopenia[MeSH Terms]) OR ("sarcopen*"[Title/Abstract]) OR</w:t>
      </w:r>
    </w:p>
    <w:p>
      <w:pPr>
        <w:spacing w:after="80" w:line="280"/>
        <w:jc w:val="left"/>
      </w:pPr>
      <w:r>
        <w:rPr>
          <w:rFonts w:ascii="Courier New" w:cs="Courier New" w:eastAsia="Courier New" w:hAnsi="Courier New"/>
          <w:sz w:val="18"/>
          <w:szCs w:val="18"/>
        </w:rPr>
        <w:t xml:space="preserve"> ("muscle wasting"[Title/Abstract]) OR ("low muscle mass"[Title/Abstract]) OR</w:t>
      </w:r>
    </w:p>
    <w:p>
      <w:pPr>
        <w:spacing w:after="80" w:line="280"/>
        <w:jc w:val="left"/>
      </w:pPr>
      <w:r>
        <w:rPr>
          <w:rFonts w:ascii="Courier New" w:cs="Courier New" w:eastAsia="Courier New" w:hAnsi="Courier New"/>
          <w:sz w:val="18"/>
          <w:szCs w:val="18"/>
        </w:rPr>
        <w:t xml:space="preserve"> ("low muscle strength"[Title/Abstract]) OR ("low lean mass"[Title/Abstract]))</w:t>
      </w:r>
    </w:p>
    <w:p>
      <w:pPr>
        <w:spacing w:after="80" w:line="280"/>
        <w:jc w:val="left"/>
      </w:pPr>
      <w:r>
        <w:rPr>
          <w:rFonts w:ascii="Courier New" w:cs="Courier New" w:eastAsia="Courier New" w:hAnsi="Courier New"/>
          <w:sz w:val="18"/>
          <w:szCs w:val="18"/>
        </w:rPr>
        <w:t xml:space="preserve">AND</w:t>
      </w:r>
    </w:p>
    <w:p>
      <w:pPr>
        <w:spacing w:after="80" w:line="280"/>
        <w:jc w:val="left"/>
      </w:pPr>
      <w:r>
        <w:rPr>
          <w:rFonts w:ascii="Courier New" w:cs="Courier New" w:eastAsia="Courier New" w:hAnsi="Courier New"/>
          <w:sz w:val="18"/>
          <w:szCs w:val="18"/>
        </w:rPr>
        <w:t xml:space="preserve">(("EWGSOP2"[Title/Abstract]) OR ("EWGSOP 2"[Title/Abstract]) OR</w:t>
      </w:r>
    </w:p>
    <w:p>
      <w:pPr>
        <w:spacing w:after="80" w:line="280"/>
        <w:jc w:val="left"/>
      </w:pPr>
      <w:r>
        <w:rPr>
          <w:rFonts w:ascii="Courier New" w:cs="Courier New" w:eastAsia="Courier New" w:hAnsi="Courier New"/>
          <w:sz w:val="18"/>
          <w:szCs w:val="18"/>
        </w:rPr>
        <w:t xml:space="preserve"> ("European Working Group on Sarcopenia in Older People 2"[Title/Abstract]) OR</w:t>
      </w:r>
    </w:p>
    <w:p>
      <w:pPr>
        <w:spacing w:after="80" w:line="280"/>
        <w:jc w:val="left"/>
      </w:pPr>
      <w:r>
        <w:rPr>
          <w:rFonts w:ascii="Courier New" w:cs="Courier New" w:eastAsia="Courier New" w:hAnsi="Courier New"/>
          <w:sz w:val="18"/>
          <w:szCs w:val="18"/>
        </w:rPr>
        <w:t xml:space="preserve"> ("AWGS2"[Title/Abstract]) OR ("AWGS 2019"[Title/Abstract]) OR</w:t>
      </w:r>
    </w:p>
    <w:p>
      <w:pPr>
        <w:spacing w:after="80" w:line="280"/>
        <w:jc w:val="left"/>
      </w:pPr>
      <w:r>
        <w:rPr>
          <w:rFonts w:ascii="Courier New" w:cs="Courier New" w:eastAsia="Courier New" w:hAnsi="Courier New"/>
          <w:sz w:val="18"/>
          <w:szCs w:val="18"/>
        </w:rPr>
        <w:t xml:space="preserve"> ("Asian Working Group for Sarcopenia 2019"[Title/Abstract]) OR</w:t>
      </w:r>
    </w:p>
    <w:p>
      <w:pPr>
        <w:spacing w:after="80" w:line="280"/>
        <w:jc w:val="left"/>
      </w:pPr>
      <w:r>
        <w:rPr>
          <w:rFonts w:ascii="Courier New" w:cs="Courier New" w:eastAsia="Courier New" w:hAnsi="Courier New"/>
          <w:sz w:val="18"/>
          <w:szCs w:val="18"/>
        </w:rPr>
        <w:t xml:space="preserve"> ("SDOC"[Title/Abstract]) OR ("Sarcopenia Definitions and Outcomes Consortium"[Title/Abstract]))</w:t>
      </w:r>
    </w:p>
    <w:p>
      <w:pPr>
        <w:spacing w:after="80" w:line="280"/>
        <w:jc w:val="left"/>
      </w:pPr>
      <w:r>
        <w:rPr>
          <w:rFonts w:ascii="Courier New" w:cs="Courier New" w:eastAsia="Courier New" w:hAnsi="Courier New"/>
          <w:sz w:val="18"/>
          <w:szCs w:val="18"/>
        </w:rPr>
        <w:t xml:space="preserve">AND</w:t>
      </w:r>
    </w:p>
    <w:p>
      <w:pPr>
        <w:spacing w:after="80" w:line="280"/>
        <w:jc w:val="left"/>
      </w:pPr>
      <w:r>
        <w:rPr>
          <w:rFonts w:ascii="Courier New" w:cs="Courier New" w:eastAsia="Courier New" w:hAnsi="Courier New"/>
          <w:sz w:val="18"/>
          <w:szCs w:val="18"/>
        </w:rPr>
        <w:t xml:space="preserve">(("prevalence"[MeSH Terms]) OR ("prevalence"[Title/Abstract]) OR</w:t>
      </w:r>
    </w:p>
    <w:p>
      <w:pPr>
        <w:spacing w:after="80" w:line="280"/>
        <w:jc w:val="left"/>
      </w:pPr>
      <w:r>
        <w:rPr>
          <w:rFonts w:ascii="Courier New" w:cs="Courier New" w:eastAsia="Courier New" w:hAnsi="Courier New"/>
          <w:sz w:val="18"/>
          <w:szCs w:val="18"/>
        </w:rPr>
        <w:t xml:space="preserve"> ("mortality"[MeSH Terms]) OR ("mortality"[Title/Abstract]) OR</w:t>
      </w:r>
    </w:p>
    <w:p>
      <w:pPr>
        <w:spacing w:after="80" w:line="280"/>
        <w:jc w:val="left"/>
      </w:pPr>
      <w:r>
        <w:rPr>
          <w:rFonts w:ascii="Courier New" w:cs="Courier New" w:eastAsia="Courier New" w:hAnsi="Courier New"/>
          <w:sz w:val="18"/>
          <w:szCs w:val="18"/>
        </w:rPr>
        <w:t xml:space="preserve"> ("hospitaliz*"[Title/Abstract]) OR ("hospitalis*"[Title/Abstract]) OR</w:t>
      </w:r>
    </w:p>
    <w:p>
      <w:pPr>
        <w:spacing w:after="80" w:line="280"/>
        <w:jc w:val="left"/>
      </w:pPr>
      <w:r>
        <w:rPr>
          <w:rFonts w:ascii="Courier New" w:cs="Courier New" w:eastAsia="Courier New" w:hAnsi="Courier New"/>
          <w:sz w:val="18"/>
          <w:szCs w:val="18"/>
        </w:rPr>
        <w:t xml:space="preserve"> ("readmission"[Title/Abstract]) OR ("hazard ratio"[Title/Abstract]))</w:t>
      </w:r>
    </w:p>
    <w:p>
      <w:pPr>
        <w:spacing w:after="80" w:line="280"/>
        <w:jc w:val="left"/>
      </w:pPr>
      <w:r>
        <w:rPr>
          <w:rFonts w:ascii="Courier New" w:cs="Courier New" w:eastAsia="Courier New" w:hAnsi="Courier New"/>
          <w:sz w:val="18"/>
          <w:szCs w:val="18"/>
        </w:rPr>
        <w:t xml:space="preserve">AND ("2019/01/01"[Date - Publication] : "2026/05/31"[Date - Publication])</w:t>
      </w:r>
    </w:p>
    <w:p>
      <w:pPr>
        <w:spacing w:after="120" w:line="320"/>
        <w:jc w:val="both"/>
      </w:pPr>
      <w:r>
        <w:rPr>
          <w:rFonts w:ascii="Times New Roman" w:cs="Times New Roman" w:eastAsia="Times New Roman" w:hAnsi="Times New Roman"/>
          <w:sz w:val="22"/>
          <w:szCs w:val="22"/>
        </w:rPr>
        <w:t xml:space="preserve">Records retrieved: 3,142</w:t>
      </w:r>
    </w:p>
    <w:p>
      <w:pPr>
        <w:pStyle w:val="Heading2"/>
        <w:spacing w:after="160" w:before="240"/>
      </w:pPr>
      <w:r>
        <w:rPr>
          <w:rFonts w:ascii="Times New Roman" w:cs="Times New Roman" w:eastAsia="Times New Roman" w:hAnsi="Times New Roman"/>
          <w:b/>
          <w:bCs/>
          <w:sz w:val="24"/>
          <w:szCs w:val="24"/>
        </w:rPr>
        <w:t xml:space="preserve">S1.2 Embase (Emtree)</w:t>
      </w:r>
    </w:p>
    <w:p>
      <w:pPr>
        <w:spacing w:after="80" w:line="280"/>
        <w:jc w:val="left"/>
      </w:pPr>
      <w:r>
        <w:rPr>
          <w:rFonts w:ascii="Courier New" w:cs="Courier New" w:eastAsia="Courier New" w:hAnsi="Courier New"/>
          <w:sz w:val="18"/>
          <w:szCs w:val="18"/>
        </w:rPr>
        <w:t xml:space="preserve">'sarcopenia'/exp OR 'sarcopen*':ti,ab,kw OR 'muscle wasting':ti,ab,kw</w:t>
      </w:r>
    </w:p>
    <w:p>
      <w:pPr>
        <w:spacing w:after="80" w:line="280"/>
        <w:jc w:val="left"/>
      </w:pPr>
      <w:r>
        <w:rPr>
          <w:rFonts w:ascii="Courier New" w:cs="Courier New" w:eastAsia="Courier New" w:hAnsi="Courier New"/>
          <w:sz w:val="18"/>
          <w:szCs w:val="18"/>
        </w:rPr>
        <w:t xml:space="preserve">AND ('EWGSOP2':ti,ab,kw OR 'AWGS2':ti,ab,kw OR 'AWGS 2019':ti,ab,kw OR 'SDOC':ti,ab,kw)</w:t>
      </w:r>
    </w:p>
    <w:p>
      <w:pPr>
        <w:spacing w:after="80" w:line="280"/>
        <w:jc w:val="left"/>
      </w:pPr>
      <w:r>
        <w:rPr>
          <w:rFonts w:ascii="Courier New" w:cs="Courier New" w:eastAsia="Courier New" w:hAnsi="Courier New"/>
          <w:sz w:val="18"/>
          <w:szCs w:val="18"/>
        </w:rPr>
        <w:t xml:space="preserve">AND ('prevalence'/exp OR 'mortality'/exp OR 'hospitalization'/exp OR 'hospital readmission'/exp)</w:t>
      </w:r>
    </w:p>
    <w:p>
      <w:pPr>
        <w:spacing w:after="80" w:line="280"/>
        <w:jc w:val="left"/>
      </w:pPr>
      <w:r>
        <w:rPr>
          <w:rFonts w:ascii="Courier New" w:cs="Courier New" w:eastAsia="Courier New" w:hAnsi="Courier New"/>
          <w:sz w:val="18"/>
          <w:szCs w:val="18"/>
        </w:rPr>
        <w:t xml:space="preserve">AND [2019-2026]/py</w:t>
      </w:r>
    </w:p>
    <w:p>
      <w:pPr>
        <w:spacing w:after="120" w:line="320"/>
        <w:jc w:val="both"/>
      </w:pPr>
      <w:r>
        <w:rPr>
          <w:rFonts w:ascii="Times New Roman" w:cs="Times New Roman" w:eastAsia="Times New Roman" w:hAnsi="Times New Roman"/>
          <w:sz w:val="22"/>
          <w:szCs w:val="22"/>
        </w:rPr>
        <w:t xml:space="preserve">Records retrieved: 2,876</w:t>
      </w:r>
    </w:p>
    <w:p>
      <w:pPr>
        <w:pStyle w:val="Heading2"/>
        <w:spacing w:after="160" w:before="240"/>
      </w:pPr>
      <w:r>
        <w:rPr>
          <w:rFonts w:ascii="Times New Roman" w:cs="Times New Roman" w:eastAsia="Times New Roman" w:hAnsi="Times New Roman"/>
          <w:b/>
          <w:bCs/>
          <w:sz w:val="24"/>
          <w:szCs w:val="24"/>
        </w:rPr>
        <w:t xml:space="preserve">S1.3 Cochrane CENTRAL</w:t>
      </w:r>
    </w:p>
    <w:p>
      <w:pPr>
        <w:spacing w:after="80" w:line="280"/>
        <w:jc w:val="left"/>
      </w:pPr>
      <w:r>
        <w:rPr>
          <w:rFonts w:ascii="Courier New" w:cs="Courier New" w:eastAsia="Courier New" w:hAnsi="Courier New"/>
          <w:sz w:val="18"/>
          <w:szCs w:val="18"/>
        </w:rPr>
        <w:t xml:space="preserve">#1 MeSH descriptor: [Sarcopenia] explode all trees</w:t>
      </w:r>
    </w:p>
    <w:p>
      <w:pPr>
        <w:spacing w:after="80" w:line="280"/>
        <w:jc w:val="left"/>
      </w:pPr>
      <w:r>
        <w:rPr>
          <w:rFonts w:ascii="Courier New" w:cs="Courier New" w:eastAsia="Courier New" w:hAnsi="Courier New"/>
          <w:sz w:val="18"/>
          <w:szCs w:val="18"/>
        </w:rPr>
        <w:t xml:space="preserve">#2 (sarcopen* OR "muscle wasting"):ti,ab,kw</w:t>
      </w:r>
    </w:p>
    <w:p>
      <w:pPr>
        <w:spacing w:after="80" w:line="280"/>
        <w:jc w:val="left"/>
      </w:pPr>
      <w:r>
        <w:rPr>
          <w:rFonts w:ascii="Courier New" w:cs="Courier New" w:eastAsia="Courier New" w:hAnsi="Courier New"/>
          <w:sz w:val="18"/>
          <w:szCs w:val="18"/>
        </w:rPr>
        <w:t xml:space="preserve">#3 #1 OR #2</w:t>
      </w:r>
    </w:p>
    <w:p>
      <w:pPr>
        <w:spacing w:after="80" w:line="280"/>
        <w:jc w:val="left"/>
      </w:pPr>
      <w:r>
        <w:rPr>
          <w:rFonts w:ascii="Courier New" w:cs="Courier New" w:eastAsia="Courier New" w:hAnsi="Courier New"/>
          <w:sz w:val="18"/>
          <w:szCs w:val="18"/>
        </w:rPr>
        <w:t xml:space="preserve">#4 (EWGSOP2 OR AWGS2 OR SDOC):ti,ab,kw</w:t>
      </w:r>
    </w:p>
    <w:p>
      <w:pPr>
        <w:spacing w:after="80" w:line="280"/>
        <w:jc w:val="left"/>
      </w:pPr>
      <w:r>
        <w:rPr>
          <w:rFonts w:ascii="Courier New" w:cs="Courier New" w:eastAsia="Courier New" w:hAnsi="Courier New"/>
          <w:sz w:val="18"/>
          <w:szCs w:val="18"/>
        </w:rPr>
        <w:t xml:space="preserve">#5 #3 AND #4</w:t>
      </w:r>
    </w:p>
    <w:p>
      <w:pPr>
        <w:spacing w:after="80" w:line="280"/>
        <w:jc w:val="left"/>
      </w:pPr>
      <w:r>
        <w:rPr>
          <w:rFonts w:ascii="Courier New" w:cs="Courier New" w:eastAsia="Courier New" w:hAnsi="Courier New"/>
          <w:sz w:val="18"/>
          <w:szCs w:val="18"/>
        </w:rPr>
        <w:t xml:space="preserve">Filter: 2019–2026</w:t>
      </w:r>
    </w:p>
    <w:p>
      <w:pPr>
        <w:spacing w:after="120" w:line="320"/>
        <w:jc w:val="both"/>
      </w:pPr>
      <w:r>
        <w:rPr>
          <w:rFonts w:ascii="Times New Roman" w:cs="Times New Roman" w:eastAsia="Times New Roman" w:hAnsi="Times New Roman"/>
          <w:sz w:val="22"/>
          <w:szCs w:val="22"/>
        </w:rPr>
        <w:t xml:space="preserve">Records retrieved: 412</w:t>
      </w:r>
    </w:p>
    <w:p>
      <w:pPr>
        <w:pStyle w:val="Heading2"/>
        <w:spacing w:after="160" w:before="240"/>
      </w:pPr>
      <w:r>
        <w:rPr>
          <w:rFonts w:ascii="Times New Roman" w:cs="Times New Roman" w:eastAsia="Times New Roman" w:hAnsi="Times New Roman"/>
          <w:b/>
          <w:bCs/>
          <w:sz w:val="24"/>
          <w:szCs w:val="24"/>
        </w:rPr>
        <w:t xml:space="preserve">S1.4 Web of Science Core Collection</w:t>
      </w:r>
    </w:p>
    <w:p>
      <w:pPr>
        <w:spacing w:after="80" w:line="280"/>
        <w:jc w:val="left"/>
      </w:pPr>
      <w:r>
        <w:rPr>
          <w:rFonts w:ascii="Courier New" w:cs="Courier New" w:eastAsia="Courier New" w:hAnsi="Courier New"/>
          <w:sz w:val="18"/>
          <w:szCs w:val="18"/>
        </w:rPr>
        <w:t xml:space="preserve">TS=(sarcopen* OR "low muscle mass" OR "low muscle strength")</w:t>
      </w:r>
    </w:p>
    <w:p>
      <w:pPr>
        <w:spacing w:after="80" w:line="280"/>
        <w:jc w:val="left"/>
      </w:pPr>
      <w:r>
        <w:rPr>
          <w:rFonts w:ascii="Courier New" w:cs="Courier New" w:eastAsia="Courier New" w:hAnsi="Courier New"/>
          <w:sz w:val="18"/>
          <w:szCs w:val="18"/>
        </w:rPr>
        <w:t xml:space="preserve">AND TS=(EWGSOP2 OR AWGS2 OR SDOC OR "AWGS 2019")</w:t>
      </w:r>
    </w:p>
    <w:p>
      <w:pPr>
        <w:spacing w:after="80" w:line="280"/>
        <w:jc w:val="left"/>
      </w:pPr>
      <w:r>
        <w:rPr>
          <w:rFonts w:ascii="Courier New" w:cs="Courier New" w:eastAsia="Courier New" w:hAnsi="Courier New"/>
          <w:sz w:val="18"/>
          <w:szCs w:val="18"/>
        </w:rPr>
        <w:t xml:space="preserve">AND TS=(prevalence OR mortality OR hospitaliz* OR readmission OR "hazard ratio")</w:t>
      </w:r>
    </w:p>
    <w:p>
      <w:pPr>
        <w:spacing w:after="80" w:line="280"/>
        <w:jc w:val="left"/>
      </w:pPr>
      <w:r>
        <w:rPr>
          <w:rFonts w:ascii="Courier New" w:cs="Courier New" w:eastAsia="Courier New" w:hAnsi="Courier New"/>
          <w:sz w:val="18"/>
          <w:szCs w:val="18"/>
        </w:rPr>
        <w:t xml:space="preserve">Refined by: 2019–2026; Document types: Article, Review</w:t>
      </w:r>
    </w:p>
    <w:p>
      <w:pPr>
        <w:spacing w:after="120" w:line="320"/>
        <w:jc w:val="both"/>
      </w:pPr>
      <w:r>
        <w:rPr>
          <w:rFonts w:ascii="Times New Roman" w:cs="Times New Roman" w:eastAsia="Times New Roman" w:hAnsi="Times New Roman"/>
          <w:sz w:val="22"/>
          <w:szCs w:val="22"/>
        </w:rPr>
        <w:t xml:space="preserve">Records retrieved: 3,418</w:t>
      </w:r>
    </w:p>
    <w:p>
      <w:pPr>
        <w:pStyle w:val="Heading2"/>
        <w:spacing w:after="160" w:before="240"/>
      </w:pPr>
      <w:r>
        <w:rPr>
          <w:rFonts w:ascii="Times New Roman" w:cs="Times New Roman" w:eastAsia="Times New Roman" w:hAnsi="Times New Roman"/>
          <w:b/>
          <w:bCs/>
          <w:sz w:val="24"/>
          <w:szCs w:val="24"/>
        </w:rPr>
        <w:t xml:space="preserve">S1.5 CNKI (China National Knowledge Infrastructure)</w:t>
      </w:r>
    </w:p>
    <w:p>
      <w:pPr>
        <w:spacing w:after="80" w:line="280"/>
        <w:jc w:val="left"/>
      </w:pPr>
      <w:r>
        <w:rPr>
          <w:rFonts w:ascii="Courier New" w:cs="Courier New" w:eastAsia="Courier New" w:hAnsi="Courier New"/>
          <w:sz w:val="18"/>
          <w:szCs w:val="18"/>
        </w:rPr>
        <w:t xml:space="preserve">主题=("肌少症" OR "少肌症" OR "肌肉减少症" OR "骨骼肌减少症")</w:t>
      </w:r>
    </w:p>
    <w:p>
      <w:pPr>
        <w:spacing w:after="80" w:line="280"/>
        <w:jc w:val="left"/>
      </w:pPr>
      <w:r>
        <w:rPr>
          <w:rFonts w:ascii="Courier New" w:cs="Courier New" w:eastAsia="Courier New" w:hAnsi="Courier New"/>
          <w:sz w:val="18"/>
          <w:szCs w:val="18"/>
        </w:rPr>
        <w:t xml:space="preserve">AND ("EWGSOP2" OR "AWGS" OR "亚洲肌少症工作组" OR "SDOC")</w:t>
      </w:r>
    </w:p>
    <w:p>
      <w:pPr>
        <w:spacing w:after="80" w:line="280"/>
        <w:jc w:val="left"/>
      </w:pPr>
      <w:r>
        <w:rPr>
          <w:rFonts w:ascii="Courier New" w:cs="Courier New" w:eastAsia="Courier New" w:hAnsi="Courier New"/>
          <w:sz w:val="18"/>
          <w:szCs w:val="18"/>
        </w:rPr>
        <w:t xml:space="preserve">AND ("患病率" OR "流行病学" OR "死亡率" OR "病死率" OR "住院" OR "再入院" OR "预后")</w:t>
      </w:r>
    </w:p>
    <w:p>
      <w:pPr>
        <w:spacing w:after="80" w:line="280"/>
        <w:jc w:val="left"/>
      </w:pPr>
      <w:r>
        <w:rPr>
          <w:rFonts w:ascii="Courier New" w:cs="Courier New" w:eastAsia="Courier New" w:hAnsi="Courier New"/>
          <w:sz w:val="18"/>
          <w:szCs w:val="18"/>
        </w:rPr>
        <w:t xml:space="preserve">发表时间=2019–2026</w:t>
      </w:r>
    </w:p>
    <w:p>
      <w:pPr>
        <w:spacing w:after="120" w:line="320"/>
        <w:jc w:val="both"/>
      </w:pPr>
      <w:r>
        <w:rPr>
          <w:rFonts w:ascii="Times New Roman" w:cs="Times New Roman" w:eastAsia="Times New Roman" w:hAnsi="Times New Roman"/>
          <w:sz w:val="22"/>
          <w:szCs w:val="22"/>
        </w:rPr>
        <w:t xml:space="preserve">Records retrieved: 1,267</w:t>
      </w:r>
    </w:p>
    <w:p>
      <w:pPr>
        <w:pStyle w:val="Heading2"/>
        <w:spacing w:after="160" w:before="240"/>
      </w:pPr>
      <w:r>
        <w:rPr>
          <w:rFonts w:ascii="Times New Roman" w:cs="Times New Roman" w:eastAsia="Times New Roman" w:hAnsi="Times New Roman"/>
          <w:b/>
          <w:bCs/>
          <w:sz w:val="24"/>
          <w:szCs w:val="24"/>
        </w:rPr>
        <w:t xml:space="preserve">S1.6 Wanfang Data</w:t>
      </w:r>
    </w:p>
    <w:p>
      <w:pPr>
        <w:spacing w:after="80" w:line="280"/>
        <w:jc w:val="left"/>
      </w:pPr>
      <w:r>
        <w:rPr>
          <w:rFonts w:ascii="Courier New" w:cs="Courier New" w:eastAsia="Courier New" w:hAnsi="Courier New"/>
          <w:sz w:val="18"/>
          <w:szCs w:val="18"/>
        </w:rPr>
        <w:t xml:space="preserve">主题:("肌少症" + "EWGSOP2" + "AWGS" + "SDOC" + "患病率" + "死亡率" + "住院")</w:t>
      </w:r>
    </w:p>
    <w:p>
      <w:pPr>
        <w:spacing w:after="80" w:line="280"/>
        <w:jc w:val="left"/>
      </w:pPr>
      <w:r>
        <w:rPr>
          <w:rFonts w:ascii="Courier New" w:cs="Courier New" w:eastAsia="Courier New" w:hAnsi="Courier New"/>
          <w:sz w:val="18"/>
          <w:szCs w:val="18"/>
        </w:rPr>
        <w:t xml:space="preserve">时间:2019–2026</w:t>
      </w:r>
    </w:p>
    <w:p>
      <w:pPr>
        <w:spacing w:after="120" w:line="320"/>
        <w:jc w:val="both"/>
      </w:pPr>
      <w:r>
        <w:rPr>
          <w:rFonts w:ascii="Times New Roman" w:cs="Times New Roman" w:eastAsia="Times New Roman" w:hAnsi="Times New Roman"/>
          <w:sz w:val="22"/>
          <w:szCs w:val="22"/>
        </w:rPr>
        <w:t xml:space="preserve">Records retrieved: 823</w:t>
      </w:r>
    </w:p>
    <w:p>
      <w:r>
        <w:br w:type="page"/>
      </w:r>
    </w:p>
    <w:p>
      <w:pPr>
        <w:pStyle w:val="Heading1"/>
        <w:spacing w:after="200" w:before="300"/>
      </w:pPr>
      <w:r>
        <w:rPr>
          <w:rFonts w:ascii="Times New Roman" w:cs="Times New Roman" w:eastAsia="Times New Roman" w:hAnsi="Times New Roman"/>
          <w:b/>
          <w:bCs/>
          <w:sz w:val="28"/>
          <w:szCs w:val="28"/>
        </w:rPr>
        <w:t xml:space="preserve">Appendix S2. PRISMA 2020 Checklist</w:t>
      </w:r>
    </w:p>
    <w:p>
      <w:pPr>
        <w:spacing w:after="120" w:line="320"/>
        <w:jc w:val="both"/>
      </w:pPr>
      <w:r>
        <w:rPr>
          <w:rFonts w:ascii="Times New Roman" w:cs="Times New Roman" w:eastAsia="Times New Roman" w:hAnsi="Times New Roman"/>
          <w:sz w:val="22"/>
          <w:szCs w:val="22"/>
        </w:rPr>
        <w:t xml:space="preserve">Reference: Page MJ, McKenzie JE, Bossuyt PM, et al. The PRISMA 2020 statement: an updated guideline for reporting systematic reviews. BMJ. 2021;372:n71. doi:10.1136/bmj.n71. PMID: 33782057.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5000"/>
        <w:gridCol w:w="3560"/>
      </w:tblGrid>
      <w:tr>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w:t>
            </w:r>
          </w:p>
        </w:tc>
        <w:tc>
          <w:tcPr>
            <w:tcW w:type="dxa" w:w="50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Section / Item</w:t>
            </w:r>
          </w:p>
        </w:tc>
        <w:tc>
          <w:tcPr>
            <w:tcW w:type="dxa" w:w="35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Reported on page</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Title — Identify the report as a systematic review</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Title page</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Abstract — Structured summary</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Abstract</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Introduction — Rationale</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 (Introduction, paras 1–3)</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Introduction — Objectives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 final paragraph</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Eligibility criteria</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Information sources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Search strategy</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 and Appendix S1</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Selection process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Data collection process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Data items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 and Table S2–S4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Study risk of bias assessment</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 and Table S5</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Effect measures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§2.6.1–2.6.2</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Synthesis methods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Reporting bias assessment</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Methods — Certainty assessment</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 (GRADE)</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Study selection</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§3.1 and Figure 1</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Study characteristics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 and Table 1, Table S1</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Risk of bias in studies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Table S5</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Results of individual studies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Figures 2–4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Results of syntheses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§3.3–3.5 and Tables 2–4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Reporting biases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 and Supplementary Figure S1</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Results — Certainty of evidence</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Table 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Discussion — Summary of evidence</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 (opening paragraphs)</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Discussion — Limitations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§4.4</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Discussion — Conclusions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Other — Registration and protocol</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 (protocol developed a priori; not prospectively registered)</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Other — Support / funding</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Funding section</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Other — Competing interests</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Conflicts of interest section</w:t>
            </w:r>
          </w:p>
        </w:tc>
      </w:tr>
      <w:tr>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w:t>
            </w:r>
          </w:p>
        </w:tc>
        <w:tc>
          <w:tcPr>
            <w:tcW w:type="dxa" w:w="5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Other — Availability of data, code</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Data availability statement</w:t>
            </w:r>
          </w:p>
        </w:tc>
      </w:tr>
    </w:tbl>
    <w:p>
      <w:r>
        <w:br w:type="page"/>
      </w:r>
    </w:p>
    <w:p>
      <w:pPr>
        <w:pStyle w:val="Heading1"/>
        <w:spacing w:after="200" w:before="300"/>
      </w:pPr>
      <w:r>
        <w:rPr>
          <w:rFonts w:ascii="Times New Roman" w:cs="Times New Roman" w:eastAsia="Times New Roman" w:hAnsi="Times New Roman"/>
          <w:b/>
          <w:bCs/>
          <w:sz w:val="28"/>
          <w:szCs w:val="28"/>
        </w:rPr>
        <w:t xml:space="preserve">Table S1. Characteristics of all 62 included studies</w:t>
      </w:r>
    </w:p>
    <w:tbl>
      <w:tblPr>
        <w:tblW w:type="dxa" w:w="10450"/>
        <w:tblBorders>
          <w:top w:val="single" w:color="auto" w:sz="4"/>
          <w:left w:val="single" w:color="auto" w:sz="4"/>
          <w:bottom w:val="single" w:color="auto" w:sz="4"/>
          <w:right w:val="single" w:color="auto" w:sz="4"/>
          <w:insideH w:val="single" w:color="auto" w:sz="4"/>
          <w:insideV w:val="single" w:color="auto" w:sz="4"/>
        </w:tblBorders>
      </w:tblPr>
      <w:tblGrid>
        <w:gridCol w:w="550"/>
        <w:gridCol w:w="950"/>
        <w:gridCol w:w="500"/>
        <w:gridCol w:w="1200"/>
        <w:gridCol w:w="700"/>
        <w:gridCol w:w="900"/>
        <w:gridCol w:w="700"/>
        <w:gridCol w:w="850"/>
        <w:gridCol w:w="500"/>
        <w:gridCol w:w="500"/>
        <w:gridCol w:w="500"/>
        <w:gridCol w:w="350"/>
        <w:gridCol w:w="350"/>
        <w:gridCol w:w="1900"/>
      </w:tblGrid>
      <w:tr>
        <w:tc>
          <w:tcPr>
            <w:tcW w:type="dxa" w:w="55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ID</w:t>
            </w:r>
          </w:p>
        </w:tc>
        <w:tc>
          <w:tcPr>
            <w:tcW w:type="dxa" w:w="95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Author</w:t>
            </w:r>
          </w:p>
        </w:tc>
        <w:tc>
          <w:tcPr>
            <w:tcW w:type="dxa" w:w="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Year</w:t>
            </w:r>
          </w:p>
        </w:tc>
        <w:tc>
          <w:tcPr>
            <w:tcW w:type="dxa" w:w="12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Country</w:t>
            </w:r>
          </w:p>
        </w:tc>
        <w:tc>
          <w:tcPr>
            <w:tcW w:type="dxa" w:w="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Region</w:t>
            </w:r>
          </w:p>
        </w:tc>
        <w:tc>
          <w:tcPr>
            <w:tcW w:type="dxa" w:w="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Design</w:t>
            </w:r>
          </w:p>
        </w:tc>
        <w:tc>
          <w:tcPr>
            <w:tcW w:type="dxa" w:w="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Setting</w:t>
            </w:r>
          </w:p>
        </w:tc>
        <w:tc>
          <w:tcPr>
            <w:tcW w:type="dxa" w:w="85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Disease</w:t>
            </w:r>
          </w:p>
        </w:tc>
        <w:tc>
          <w:tcPr>
            <w:tcW w:type="dxa" w:w="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N</w:t>
            </w:r>
          </w:p>
        </w:tc>
        <w:tc>
          <w:tcPr>
            <w:tcW w:type="dxa" w:w="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Mean age</w:t>
            </w:r>
          </w:p>
        </w:tc>
        <w:tc>
          <w:tcPr>
            <w:tcW w:type="dxa" w:w="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 female</w:t>
            </w:r>
          </w:p>
        </w:tc>
        <w:tc>
          <w:tcPr>
            <w:tcW w:type="dxa" w:w="35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ROBINS-E†</w:t>
            </w:r>
          </w:p>
        </w:tc>
        <w:tc>
          <w:tcPr>
            <w:tcW w:type="dxa" w:w="35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JBI</w:t>
            </w:r>
          </w:p>
        </w:tc>
        <w:tc>
          <w:tcPr>
            <w:tcW w:type="dxa" w:w="1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Criteria</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Westbury LD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International (UK/SE…</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9170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 SDOC, Modified 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Wu WY</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Gastric 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648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S003</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Bischoff-Ferrari HA</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DE/FR/PT/CH/AT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RCT (DO-HEALTH baseline)</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Healthy</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1495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74.9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 AWGS2, 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S004</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Mendonca N</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Spain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Mixed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76.4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 AWGS2, 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S005</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Yuan 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Australia/NZ</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Pooled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4304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76.7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 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S006</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Sharma G</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India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S007</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Oh MH</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Korea (KFACS)</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76.0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S008</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Kim 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Korea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2003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S009</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Petermann-Rocha F</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UK Biobank</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4863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49%</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S010</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Yamada 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Japan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1404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76.9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Sobestiansky 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Sweden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87.0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Bahat G</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Turkey</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Outpatient</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Mixed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1145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75.0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S013</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Yang 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S014</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Wang H</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Liver 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S015</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Liu X</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Colorectal 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64.3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S016</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Chen LK</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Taiwan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S017</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Manrique-Espinoza B</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Mexico</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1062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71.9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S018</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Veronese N</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Italy</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2353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74.5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S019</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Phu 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Australia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Fall clinic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79.3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 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S020</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Pang BWJ</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Singapore</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Park SJ</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Korea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Outpatient</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Diabetes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1869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69.7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Souza ABF</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Brazil</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CKD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65.2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S023</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Hwang AC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Taiwan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2123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S024</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Lu JL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HF</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69.1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 Y</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Hong Kong</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4000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S026</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Reijnierse EM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Netherlands</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Mixed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79.5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S027</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Beaudart 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Belgium (SarcoPhAge)</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S028</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Locquet 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Belgium</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S029</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Wang Y</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Lung 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S030</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Zhang X</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CKD-HD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Liguori I</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Italy</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Acute medical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82.5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Pacifico J</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Australia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Acute geriatric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82.5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S033</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Cao 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2532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69.0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S034</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Smoliner 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Germany</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Geriatric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82.7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S035</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Yoshimura Y</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Japan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Stroke rehab</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79.9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S036</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Cawthon PM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USA (CHS)</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5934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S037</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Manini TM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USA (Health ABC)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2917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S038</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Cawthon PM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USA (Framingham)</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2196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S039</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Patel SM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USA (MrOS)</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5934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S040</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Cawthon PM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USA (SOF)</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4878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Sun 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Gastric 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Zhuang CL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Colorectal 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932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S043</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Huang HY</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Taiwan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Liver cirrhosis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61.0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S044</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Sayer AA</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UK</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1693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75.5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S045</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Iversen E</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Denmark</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Acute medical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607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78.5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S046</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Tang TC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Taiwan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Acute medical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80.5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47%</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S047</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Zhou H</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S048</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Verstraeten LMG</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Belgium/NL</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Geriatric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82.5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Kim H</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Korea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1571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74.7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S050</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Sanchez-Tocino ML</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Spain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Outpatient</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CKD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69.2</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Yuenyongchaiwat K</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Thailand</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Outpatient</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HF</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Marcos-Pardo PJ</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Spain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Sui SX</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Australia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2120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74.0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 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S054</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Bao W</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Diabetes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4318</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S055</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Filippin LI</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Brazil</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S056</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Yang 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Mixed</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1027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80.7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S057</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Wu YH</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Taiwan</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Prosp. cohort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Outpatient</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Diabetes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867</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S058</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Tsekoura M</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Greece</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65%</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S059</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Lim WS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Singapore</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Outpatient</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Memory clinic</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290</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77.3</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S060</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Coelho-Junior HJ</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Brazil</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265</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71.6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S061</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Voelker SN</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USA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Cancer</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169</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62.4</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r>
      <w:tr>
        <w:tc>
          <w:tcPr>
            <w:tcW w:type="dxa" w:w="5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Hai S</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China</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Cross-sect.</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8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886</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72.1</w:t>
            </w:r>
          </w:p>
        </w:tc>
        <w:tc>
          <w:tcPr>
            <w:tcW w:type="dxa" w:w="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3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EWGSOP2</w:t>
            </w:r>
          </w:p>
        </w:tc>
      </w:tr>
    </w:tbl>
    <w:p>
      <w:pPr>
        <w:spacing w:after="120" w:line="320"/>
        <w:jc w:val="both"/>
      </w:pPr>
      <w:r>
        <w:rPr>
          <w:rFonts w:ascii="Times New Roman" w:cs="Times New Roman" w:eastAsia="Times New Roman" w:hAnsi="Times New Roman"/>
          <w:sz w:val="22"/>
          <w:szCs w:val="22"/>
        </w:rPr>
        <w:t xml:space="preserve">†ROBINS-E overall judgement (SC = some concerns; no study was judged Low or High overall). Cohort and prognostic studies were assessed domain-by-domain with ROBINS-E (see Table S5); prevalence-only (cross-sectional) studies were assessed with the JBI checklist only (—).</w:t>
      </w:r>
    </w:p>
    <w:p>
      <w:r>
        <w:br w:type="page"/>
      </w:r>
    </w:p>
    <w:p>
      <w:pPr>
        <w:pStyle w:val="Heading1"/>
        <w:spacing w:after="200" w:before="300"/>
      </w:pPr>
      <w:r>
        <w:rPr>
          <w:rFonts w:ascii="Times New Roman" w:cs="Times New Roman" w:eastAsia="Times New Roman" w:hAnsi="Times New Roman"/>
          <w:b/>
          <w:bCs/>
          <w:sz w:val="28"/>
          <w:szCs w:val="28"/>
        </w:rPr>
        <w:t xml:space="preserve">Table S2. Prevalence data extraction (n=81 study × criterion rows)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200"/>
        <w:gridCol w:w="900"/>
        <w:gridCol w:w="800"/>
        <w:gridCol w:w="1000"/>
        <w:gridCol w:w="1100"/>
        <w:gridCol w:w="1100"/>
        <w:gridCol w:w="1000"/>
        <w:gridCol w:w="1360"/>
      </w:tblGrid>
      <w:tr>
        <w:tc>
          <w:tcPr>
            <w:tcW w:type="dxa" w:w="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Study ID</w:t>
            </w:r>
          </w:p>
        </w:tc>
        <w:tc>
          <w:tcPr>
            <w:tcW w:type="dxa" w:w="12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N total</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Cases</w:t>
            </w:r>
          </w:p>
        </w:tc>
        <w:tc>
          <w:tcPr>
            <w:tcW w:type="dxa" w:w="10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Prev. (%)</w:t>
            </w:r>
          </w:p>
        </w:tc>
        <w:tc>
          <w:tcPr>
            <w:tcW w:type="dxa" w:w="11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95% CI lower</w:t>
            </w:r>
          </w:p>
        </w:tc>
        <w:tc>
          <w:tcPr>
            <w:tcW w:type="dxa" w:w="11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95% CI upper</w:t>
            </w:r>
          </w:p>
        </w:tc>
        <w:tc>
          <w:tcPr>
            <w:tcW w:type="dxa" w:w="10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Female %</w:t>
            </w:r>
          </w:p>
        </w:tc>
        <w:tc>
          <w:tcPr>
            <w:tcW w:type="dxa" w:w="13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Tool</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9170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0.89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9170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Modified_SDOC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9170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648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11.26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13.99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648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20.52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17.51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23.85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1495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0.70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0.34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1495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0.70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0.37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1495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12.40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24.55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4304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0.90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4304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1029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23.91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22.65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25.21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6.10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22.40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19.34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25.71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S007</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15.72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14.14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17.40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S008</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2003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3.63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4863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0.75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49</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1404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1404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13.96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21.95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17.32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27.16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1145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12.23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10.40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14.23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16.63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13.55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41.01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36.77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45.36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CT-L3</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17.28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14.85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19.93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26.04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23.21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29.04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21.89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18.97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25.05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S017</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1062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11.96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14.05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S018</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2353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8.12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9.30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11.75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15.07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19.96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16.41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23.90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10.55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16.45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1869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18.23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21.91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32.91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39.31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2123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15.92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14.39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17.55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28.99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39.32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4000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4.90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4000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15.42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21.18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S027</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11.96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S028</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10.95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18.12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14.59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22.06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CT-L3</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28.21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24.06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32.67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CT-L3</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30.94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27.07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35.04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32.46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37.00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39.93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34.39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45.69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2532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16.04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14.61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17.55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25.84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32.94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52.94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46.86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58.96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3.61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4.62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S037</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2917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S038</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2196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4.45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13.84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10.89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17.22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22.11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18.45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26.14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932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28.65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25.78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31.66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32.98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28.21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37.99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1693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607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33.94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37.84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542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37.82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33.74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42.03</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47</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S047</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632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34.34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30.66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38.16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S048</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27.06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20.59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34.31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1571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1571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13.37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11.72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41.23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34.51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48.21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42.70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35.45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50.18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6.52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2120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0.88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2120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24.58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22.76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S054</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4318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716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16.58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17.72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S055</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25.81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S056</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1027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33.69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30.79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36.69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S057</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18.34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21.10</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S058</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16.71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20.71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65</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S059</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290</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87</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30.00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24.78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35.65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S060</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11.65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20.79</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S061</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16.42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29.55</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DXA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886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5.19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6.86</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886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131</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14.79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17.32</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13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BIA</w:t>
            </w:r>
          </w:p>
        </w:tc>
      </w:tr>
    </w:tbl>
    <w:p>
      <w:r>
        <w:br w:type="page"/>
      </w:r>
    </w:p>
    <w:p>
      <w:pPr>
        <w:pStyle w:val="Heading1"/>
        <w:spacing w:after="200" w:before="300"/>
      </w:pPr>
      <w:r>
        <w:rPr>
          <w:rFonts w:ascii="Times New Roman" w:cs="Times New Roman" w:eastAsia="Times New Roman" w:hAnsi="Times New Roman"/>
          <w:b/>
          <w:bCs/>
          <w:sz w:val="28"/>
          <w:szCs w:val="28"/>
        </w:rPr>
        <w:t xml:space="preserve">Table S3. Mortality hazard ratio extraction (n=44 rows)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700"/>
        <w:gridCol w:w="1300"/>
        <w:gridCol w:w="1100"/>
        <w:gridCol w:w="700"/>
        <w:gridCol w:w="800"/>
        <w:gridCol w:w="2560"/>
      </w:tblGrid>
      <w:tr>
        <w:tc>
          <w:tcPr>
            <w:tcW w:type="dxa" w:w="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Study ID</w:t>
            </w:r>
          </w:p>
        </w:tc>
        <w:tc>
          <w:tcPr>
            <w:tcW w:type="dxa" w:w="13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HR</w:t>
            </w:r>
          </w:p>
        </w:tc>
        <w:tc>
          <w:tcPr>
            <w:tcW w:type="dxa" w:w="13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95% CI</w:t>
            </w:r>
          </w:p>
        </w:tc>
        <w:tc>
          <w:tcPr>
            <w:tcW w:type="dxa" w:w="11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Follow-up (y)</w:t>
            </w:r>
          </w:p>
        </w:tc>
        <w:tc>
          <w:tcPr>
            <w:tcW w:type="dxa" w:w="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Events</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Adjusted</w:t>
            </w:r>
          </w:p>
        </w:tc>
        <w:tc>
          <w:tcPr>
            <w:tcW w:type="dxa" w:w="25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Covariates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1.76</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1.42–2.18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5929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BMI, smoking,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2.28–3.31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5929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BMI, smoking,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Modified_SDOC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1.54–2.41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5929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BMI, smoking,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1.60</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1.09–2.34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TNM, ASA,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1.55–2.99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TNM, ASA,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1.05–2.17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612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region</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1.59–2.25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612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region</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1.05–2.38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9.6</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ethnicity, deprivation, smoking, BMI</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1.71–3.15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BCLC stage, AFP, Child-Pugh</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1.20–2.19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TNM, comorbidities, surgery type</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1.46–2.61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TNM, comorbidities, surgery type</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1.41–2.95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4.4</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1.20–3.10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falls history, fractures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2.36</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1.51–3.69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falls history, fractures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1.87</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1.40–2.49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education</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1.71–3.51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LVEF, NYHA, NT-proBNP</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1.18–2.01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education,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1.42–2.23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398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education,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S027</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1.06–2.69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MNA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1.21–2.44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stage, Karnofsky</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1.43–2.83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stage, Karnofsky</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1.32–2.54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frailty</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1.45–3.27</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dependence</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S036</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1.95–2.81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race, education, smoking,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S037</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2.21–3.50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race,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1.83–3.18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456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2.36–3.69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8.4</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1923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race,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S040</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2.62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2.15–3.20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1812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race,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1.66</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1.13–2.45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TNM, ASA, surgery type</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1.45–2.99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TNM, ASA, surgery type</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1.52–2.48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TNM, ASA, surgery type</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1.62–3.30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MELD, Child-Pugh</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1.04–2.13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1.32–2.22</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frailty, MNA</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S047</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1.43–2.91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dialysis vintage, Kt/V, albumin</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1.27–2.91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ADL</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0.92–1.95</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education, comorbidities, BMI</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1.32–2.21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education, comorbidities, BMI</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1.46</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0.98–2.18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2.18</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1.79–2.66</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smoking, BMI, comorbidities</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S057</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1.84</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1.31–2.59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HbA1c, comorbidities, BMI</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1.51–3.98</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tumor type, stage, ECOG</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1.55</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1.04–2.31</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education</w:t>
            </w:r>
          </w:p>
        </w:tc>
      </w:tr>
      <w:tr>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1.81</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1.29–2.54</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w:t>
            </w:r>
          </w:p>
        </w:tc>
        <w:tc>
          <w:tcPr>
            <w:tcW w:type="dxa" w:w="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78</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Yes</w:t>
            </w:r>
          </w:p>
        </w:tc>
        <w:tc>
          <w:tcPr>
            <w:tcW w:type="dxa" w:w="2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age, sex, comorbidities, education</w:t>
            </w:r>
          </w:p>
        </w:tc>
      </w:tr>
    </w:tbl>
    <w:p>
      <w:r>
        <w:br w:type="page"/>
      </w:r>
    </w:p>
    <w:p>
      <w:pPr>
        <w:pStyle w:val="Heading1"/>
        <w:spacing w:after="200" w:before="300"/>
      </w:pPr>
      <w:r>
        <w:rPr>
          <w:rFonts w:ascii="Times New Roman" w:cs="Times New Roman" w:eastAsia="Times New Roman" w:hAnsi="Times New Roman"/>
          <w:b/>
          <w:bCs/>
          <w:sz w:val="28"/>
          <w:szCs w:val="28"/>
        </w:rPr>
        <w:t xml:space="preserve">Table S4. Hospitalisation hazard ratio extraction (n=22 rows)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1500"/>
        <w:gridCol w:w="800"/>
        <w:gridCol w:w="1500"/>
        <w:gridCol w:w="1500"/>
        <w:gridCol w:w="900"/>
        <w:gridCol w:w="2160"/>
      </w:tblGrid>
      <w:tr>
        <w:tc>
          <w:tcPr>
            <w:tcW w:type="dxa" w:w="10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Study ID</w:t>
            </w:r>
          </w:p>
        </w:tc>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HR</w:t>
            </w:r>
          </w:p>
        </w:tc>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95% CI</w:t>
            </w:r>
          </w:p>
        </w:tc>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Follow-up (y)</w:t>
            </w:r>
          </w:p>
        </w:tc>
        <w:tc>
          <w:tcPr>
            <w:tcW w:type="dxa" w:w="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Events</w:t>
            </w:r>
          </w:p>
        </w:tc>
        <w:tc>
          <w:tcPr>
            <w:tcW w:type="dxa" w:w="21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Definition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1.34–2.27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207</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unplanned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S009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1.56</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1.13–2.16</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9.6</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1245</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S018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1.42–2.51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4.4</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523</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1.29–2.03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612</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1.51–3.03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HF-related readmission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1.12–1.83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934</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S025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1.36–2.07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934</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S036</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1.17–1.62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1356</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1.27–1.82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782</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S039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1.46</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1.24–1.72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1612</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S040</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1.21–1.64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1456</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1.41–2.25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134</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30-d readmission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1.10–2.07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389</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1.42–2.39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30-d readmission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1.31–3.08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30-d readmission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0.96–1.81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S049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1.20–2.05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234</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1.02–1.89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478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1.27–1.80</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478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S057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1.21–2.25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134</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1.48</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1.05–2.09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r>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S062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1.28–2.31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3.5</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178</w:t>
            </w:r>
          </w:p>
        </w:tc>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Any admission</w:t>
            </w:r>
          </w:p>
        </w:tc>
      </w:tr>
    </w:tbl>
    <w:p>
      <w:r>
        <w:br w:type="page"/>
      </w:r>
    </w:p>
    <w:p>
      <w:pPr>
        <w:pStyle w:val="Heading1"/>
        <w:spacing w:after="200" w:before="300"/>
      </w:pPr>
      <w:r>
        <w:rPr>
          <w:rFonts w:ascii="Times New Roman" w:cs="Times New Roman" w:eastAsia="Times New Roman" w:hAnsi="Times New Roman"/>
          <w:b/>
          <w:bCs/>
          <w:sz w:val="28"/>
          <w:szCs w:val="28"/>
        </w:rPr>
        <w:t xml:space="preserve">Table S5. Risk-of-bias assessment summary</w:t>
      </w:r>
    </w:p>
    <w:p>
      <w:pPr>
        <w:spacing w:after="120" w:line="320"/>
        <w:jc w:val="both"/>
      </w:pPr>
      <w:r>
        <w:rPr>
          <w:rFonts w:ascii="Times New Roman" w:cs="Times New Roman" w:eastAsia="Times New Roman" w:hAnsi="Times New Roman"/>
          <w:sz w:val="22"/>
          <w:szCs w:val="22"/>
        </w:rPr>
        <w:t xml:space="preserve">Cohort and prognostic studies were assessed with ROBINS-E (Risk Of Bias In Non-randomised Studies – of Exposures), which rates seven domains—bias due to confounding, measurement of the exposure, selection of participants into the study, post-exposure interventions, missing data, measurement of the outcome, and selection of the reported result—as Low / Some concerns / High, with the worst domain judgement determining the overall rating. </w:t>
      </w:r>
      <w:r>
        <w:rPr>
          <w:rFonts w:ascii="Times New Roman" w:cs="Times New Roman" w:eastAsia="Times New Roman" w:hAnsi="Times New Roman"/>
          <w:sz w:val="22"/>
          <w:szCs w:val="22"/>
        </w:rPr>
        <w:t xml:space="preserve">JBI Critical Appraisal Checklist for Prevalence Studies: 9 items, high quality ≥ 7.</w:t>
      </w:r>
    </w:p>
    <w:p>
      <w:pPr>
        <w:pStyle w:val="Heading2"/>
        <w:spacing w:after="160" w:before="240"/>
      </w:pPr>
      <w:r>
        <w:rPr>
          <w:rFonts w:ascii="Times New Roman" w:cs="Times New Roman" w:eastAsia="Times New Roman" w:hAnsi="Times New Roman"/>
          <w:b/>
          <w:bCs/>
          <w:sz w:val="24"/>
          <w:szCs w:val="24"/>
        </w:rPr>
        <w:t xml:space="preserve">S5.1 Aggregated quality scores by criterion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200"/>
        <w:gridCol w:w="1700"/>
        <w:gridCol w:w="1700"/>
        <w:gridCol w:w="1700"/>
        <w:gridCol w:w="1760"/>
      </w:tblGrid>
      <w:tr>
        <w:tc>
          <w:tcPr>
            <w:tcW w:type="dxa" w:w="13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12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Cohort studies assessed with ROBINS-E (n)</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ROBINS-E Low (n)</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ROBINS-E Some concerns (n)</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ROBINS-E High (n)</w:t>
            </w:r>
          </w:p>
        </w:tc>
        <w:tc>
          <w:tcPr>
            <w:tcW w:type="dxa" w:w="17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Median JBI, prevalence studies (range)</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7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 (7–8)</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7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 (7–8)</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12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7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 (7–8)</w:t>
            </w:r>
          </w:p>
        </w:tc>
      </w:tr>
    </w:tbl>
    <w:p>
      <w:pPr>
        <w:pStyle w:val="Heading2"/>
        <w:spacing w:after="160" w:before="240"/>
      </w:pPr>
      <w:r>
        <w:rPr>
          <w:rFonts w:ascii="Times New Roman" w:cs="Times New Roman" w:eastAsia="Times New Roman" w:hAnsi="Times New Roman"/>
          <w:b/>
          <w:bCs/>
          <w:sz w:val="24"/>
          <w:szCs w:val="24"/>
        </w:rPr>
        <w:t xml:space="preserve">S5.2 Domain-level ROBINS-E judgements for all cohort and prognostic studies (n=33 study entries)</w:t>
      </w:r>
    </w:p>
    <w:p>
      <w:pPr>
        <w:spacing w:after="120" w:line="320"/>
        <w:jc w:val="both"/>
      </w:pPr>
      <w:r>
        <w:rPr>
          <w:rFonts w:ascii="Times New Roman" w:cs="Times New Roman" w:eastAsia="Times New Roman" w:hAnsi="Times New Roman"/>
          <w:sz w:val="22"/>
          <w:szCs w:val="22"/>
        </w:rPr>
        <w:t xml:space="preserve">Domains: D1 bias due to confounding; D2 bias in measurement of the exposure; D3 bias in selection of participants into the study; D4 bias due to post-exposure interventions; D5 bias due to missing data; D6 bias in measurement of the outcome; D7 bias in selection of the reported result. The overall judgement follows the ROBINS-E algorithm (worst domain judgement).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900"/>
        <w:gridCol w:w="900"/>
        <w:gridCol w:w="900"/>
        <w:gridCol w:w="900"/>
        <w:gridCol w:w="900"/>
        <w:gridCol w:w="900"/>
        <w:gridCol w:w="900"/>
        <w:gridCol w:w="900"/>
      </w:tblGrid>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Study</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D3</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D4</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D5</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D6</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D7</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Overall</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Hai S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Kim H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Sun L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Wang Y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Wang H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Wu WY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Wu YH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Beaudart C 2019</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Petermann-Rocha F 2020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Iversen E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Sayer AA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Veronese N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Hwang AC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Liguori I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Liu X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Lu JL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 Y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Zhou H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Zhuang CL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Verstraeten LMG 2023</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Huang HY 2023</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Oh MH 2023</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Westbury LD 2023</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Pacifico J 2020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Phu S 2020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Sui SX 2022</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Yuan S 2023</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Cawthon PM 2020 (MrOS)</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Cawthon PM 2020 (SOF)</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Cawthon PM 2020 (Health ABC)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Manini TM 2020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Patel SM 2020</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r>
        <w:trPr/>
        <w:tc>
          <w:tcPr>
            <w:tcW w:type="dxa" w:w="21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Voelker SN 2021</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c>
          <w:tcPr>
            <w:tcW w:type="dxa" w:w="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SC</w:t>
            </w:r>
          </w:p>
        </w:tc>
      </w:tr>
    </w:tbl>
    <w:p>
      <w:pPr>
        <w:spacing w:after="120" w:line="320"/>
        <w:jc w:val="both"/>
      </w:pPr>
      <w:r>
        <w:rPr>
          <w:rFonts w:ascii="Times New Roman" w:cs="Times New Roman" w:eastAsia="Times New Roman" w:hAnsi="Times New Roman"/>
          <w:sz w:val="22"/>
          <w:szCs w:val="22"/>
        </w:rPr>
        <w:t xml:space="preserve">No cohort or prognostic study was judged at high risk of bias in any ROBINS-E domain; </w:t>
      </w:r>
      <w:r>
        <w:rPr>
          <w:rFonts w:ascii="Times New Roman" w:cs="Times New Roman" w:eastAsia="Times New Roman" w:hAnsi="Times New Roman"/>
          <w:sz w:val="22"/>
          <w:szCs w:val="22"/>
        </w:rPr>
        <w:t xml:space="preserve">all 33 study entries were rated Some concerns overall, driven by residual confounding (D1) and by the “selection of the reported result” domain (D7). D7 was judged against the ROBINS-E signalling questions—correspondence between the outcomes and analyses described in the study methods and those reported, and any indication of selective non-reporting; the absence of a pre-registered analysis protocol was not by itself treated as evidence of selective reporting, but because such protocols were rarely accessible, selective reporting could not be confidently excluded, yielding Some concerns rather than Low for D7.</w:t>
      </w:r>
      <w:r>
        <w:rPr>
          <w:rFonts w:ascii="Times New Roman" w:cs="Times New Roman" w:eastAsia="Times New Roman" w:hAnsi="Times New Roman"/>
          <w:sz w:val="22"/>
          <w:szCs w:val="22"/>
        </w:rPr>
        <w:t xml:space="preserve"> The single study previously flagged for limited comorbidity adjustment (Sharma G 2025) contributed prevalence data only; sensitivity analyses excluding it did not alter the pooled estimates by more than 0.3%.</w:t>
      </w:r>
    </w:p>
    <w:p>
      <w:r>
        <w:br w:type="page"/>
      </w:r>
    </w:p>
    <w:p>
      <w:pPr>
        <w:pStyle w:val="Heading1"/>
        <w:spacing w:after="200" w:before="300"/>
      </w:pPr>
      <w:r>
        <w:rPr>
          <w:rFonts w:ascii="Times New Roman" w:cs="Times New Roman" w:eastAsia="Times New Roman" w:hAnsi="Times New Roman"/>
          <w:b/>
          <w:bCs/>
          <w:sz w:val="28"/>
          <w:szCs w:val="28"/>
        </w:rPr>
        <w:t xml:space="preserve">Table S6. Leave-one-out sensitivity analysis for mortality</w:t>
      </w:r>
    </w:p>
    <w:p>
      <w:pPr>
        <w:spacing w:after="120" w:line="320"/>
        <w:jc w:val="both"/>
      </w:pPr>
      <w:r>
        <w:rPr>
          <w:rFonts w:ascii="Times New Roman" w:cs="Times New Roman" w:eastAsia="Times New Roman" w:hAnsi="Times New Roman"/>
          <w:sz w:val="22"/>
          <w:szCs w:val="22"/>
        </w:rPr>
        <w:t xml:space="preserve">Top three most influential studies (by absolute change in pooled HR) for each criterion. All omissions retained statistical significance and direction of effect.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500"/>
        <w:gridCol w:w="2300"/>
        <w:gridCol w:w="1800"/>
        <w:gridCol w:w="1260"/>
      </w:tblGrid>
      <w:tr>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2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Omitted study</w:t>
            </w:r>
          </w:p>
        </w:tc>
        <w:tc>
          <w:tcPr>
            <w:tcW w:type="dxa" w:w="23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Pooled HR after omission</w:t>
            </w:r>
          </w:p>
        </w:tc>
        <w:tc>
          <w:tcPr>
            <w:tcW w:type="dxa" w:w="1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95% CI</w:t>
            </w:r>
          </w:p>
        </w:tc>
        <w:tc>
          <w:tcPr>
            <w:tcW w:type="dxa" w:w="12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I² (%)</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Kim H 2021</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1.692</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1.61–1.78</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Pacifico J 2020</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1.658</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1.58–1.74</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Veronese N 2021</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1.660</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1.58–1.75</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Kim H 2021</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2.000</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1.88–2.12</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Su Y 2022</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1.998</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1.87–2.13</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Wang H 2021</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1.945</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1.83–2.07</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Yuan S 2023</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2.543</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2.35–2.76</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Patel SM 2020</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2.389</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2.15–2.65</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36.2</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Westbury LD 2023</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2.403</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2.15–2.69</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41.9</w:t>
            </w:r>
          </w:p>
        </w:tc>
      </w:tr>
      <w:tr>
        <w:trP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6.2 (4.0–8.8)</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r>
      <w:tr>
        <w:trP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14.8 (11.0–19.0)</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98</w:t>
            </w:r>
          </w:p>
        </w:tc>
      </w:tr>
      <w:tr>
        <w:trP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Community</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6.7 (2.5–12.7)</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r>
      <w:tr>
        <w:trP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23.7 (17.5–30.6)</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96</w:t>
            </w:r>
          </w:p>
        </w:tc>
      </w:tr>
      <w:tr>
        <w:trP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w:t>
            </w:r>
          </w:p>
        </w:tc>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w:t>
            </w:r>
          </w:p>
        </w:tc>
        <w:tc>
          <w:tcPr>
            <w:tcW w:type="dxa" w:w="1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32.2 (27.4–37.3)</w:t>
            </w:r>
          </w:p>
        </w:tc>
        <w:tc>
          <w:tcPr>
            <w:tcW w:type="dxa" w:w="12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93</w:t>
            </w:r>
          </w:p>
        </w:tc>
      </w:tr>
    </w:tbl>
    <w:p>
      <w:r>
        <w:br w:type="page"/>
      </w:r>
    </w:p>
    <w:p>
      <w:pPr>
        <w:pStyle w:val="Heading1"/>
        <w:spacing w:after="200" w:before="300"/>
      </w:pPr>
      <w:r>
        <w:rPr>
          <w:rFonts w:ascii="Times New Roman" w:cs="Times New Roman" w:eastAsia="Times New Roman" w:hAnsi="Times New Roman"/>
          <w:b/>
          <w:bCs/>
          <w:sz w:val="28"/>
          <w:szCs w:val="28"/>
        </w:rPr>
        <w:t xml:space="preserve">Table S7. Subgroup analysis — </w:t>
      </w:r>
      <w:r>
        <w:rPr>
          <w:rFonts w:ascii="Times New Roman" w:cs="Times New Roman" w:eastAsia="Times New Roman" w:hAnsi="Times New Roman"/>
          <w:b/>
          <w:bCs/>
          <w:sz w:val="28"/>
          <w:szCs w:val="28"/>
        </w:rPr>
        <w:t xml:space="preserve">pooled prevalence by region and setting × criterion</w:t>
      </w:r>
      <w:r>
        <w:rPr>
          <w:rFonts w:ascii="Times New Roman" w:cs="Times New Roman" w:eastAsia="Times New Roman" w:hAnsi="Times New Roman"/>
          <w:b/>
          <w:bCs/>
          <w:sz w:val="28"/>
          <w:szCs w:val="28"/>
        </w:rPr>
        <w:t xml:space="preserve">. Numbers of participants (N) by setting subgroup: community — EWGSOP2 41,603, AWGS2 23,445, SDOC 40,085; outpatient — EWGSOP2 1,356, AWGS2 3,211; hospital — EWGSOP2 4,592, AWGS2 7,644, SDOC 169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800"/>
        <w:gridCol w:w="3500"/>
        <w:gridCol w:w="1660"/>
        <w:gridCol w:w="1660"/>
      </w:tblGrid>
      <w:tr>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Region</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k</w:t>
            </w:r>
          </w:p>
        </w:tc>
        <w:tc>
          <w:tcPr>
            <w:tcW w:type="dxa" w:w="3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Pooled % (95% CI)</w:t>
            </w:r>
          </w:p>
        </w:tc>
        <w:tc>
          <w:tcPr>
            <w:tcW w:type="dxa" w:w="16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I² (%)</w:t>
            </w:r>
          </w:p>
        </w:tc>
        <w:tc>
          <w:tcPr>
            <w:tcW w:type="dxa" w:w="16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N</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18</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12.79 (7.21–19.67)</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99</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25,077</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7.34 (4.18–11.31)</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97</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13,540</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9.58 (0.00–45.88)</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99</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7,178</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19.47 (7.66–35.04)</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94</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1,756</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7.83 (0.00–100.00)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2,181</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29</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24.40 (20.66–28.34)</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97</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32,119</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2.21 (0.66–4.63)</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75</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11,351</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23.86 (20.62–27.25)</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56</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6,875</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5.32 (1.05–12.60)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94</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22,028</w:t>
            </w:r>
          </w:p>
        </w:tc>
      </w:tr>
    </w:tbl>
    <w:p>
      <w:r>
        <w:br w:type="page"/>
      </w:r>
    </w:p>
    <w:p>
      <w:pPr>
        <w:pStyle w:val="Heading1"/>
        <w:spacing w:after="200" w:before="300"/>
      </w:pPr>
      <w:r>
        <w:rPr>
          <w:rFonts w:ascii="Times New Roman" w:cs="Times New Roman" w:eastAsia="Times New Roman" w:hAnsi="Times New Roman"/>
          <w:b/>
          <w:bCs/>
          <w:sz w:val="28"/>
          <w:szCs w:val="28"/>
        </w:rPr>
        <w:t xml:space="preserve">Table S8. Subgroup analysis — pooled mortality HR by region × criterion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800"/>
        <w:gridCol w:w="3500"/>
        <w:gridCol w:w="1660"/>
        <w:gridCol w:w="1660"/>
      </w:tblGrid>
      <w:tr>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Region</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k</w:t>
            </w:r>
          </w:p>
        </w:tc>
        <w:tc>
          <w:tcPr>
            <w:tcW w:type="dxa" w:w="3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Pooled HR (95% CI)</w:t>
            </w:r>
          </w:p>
        </w:tc>
        <w:tc>
          <w:tcPr>
            <w:tcW w:type="dxa" w:w="16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I² (%)</w:t>
            </w:r>
          </w:p>
        </w:tc>
        <w:tc>
          <w:tcPr>
            <w:tcW w:type="dxa" w:w="16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N</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Europe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1.75 (1.62–1.88)</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19,846</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1.57 (1.47–1.68)</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8,916</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4</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1.72 (1.26–2.34)</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7,178</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Asia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1.97 (1.85–2.09)</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14,707</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Oceania</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2.04 (1.59–2.60)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6,875</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Americas</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w:t>
            </w:r>
          </w:p>
        </w:tc>
        <w:tc>
          <w:tcPr>
            <w:tcW w:type="dxa" w:w="3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2.59 (2.35–2.86)</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16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22,028</w:t>
            </w:r>
          </w:p>
        </w:tc>
      </w:tr>
    </w:tbl>
    <w:p>
      <w:r>
        <w:br w:type="page"/>
      </w:r>
    </w:p>
    <w:p>
      <w:pPr>
        <w:pStyle w:val="Heading1"/>
        <w:spacing w:after="200" w:before="300"/>
      </w:pPr>
      <w:r>
        <w:rPr>
          <w:rFonts w:ascii="Times New Roman" w:cs="Times New Roman" w:eastAsia="Times New Roman" w:hAnsi="Times New Roman"/>
          <w:b/>
          <w:bCs/>
          <w:sz w:val="28"/>
          <w:szCs w:val="28"/>
        </w:rPr>
        <w:t xml:space="preserve">Table S9. Meta-regression on prevalence (centred predictors)</w:t>
      </w:r>
    </w:p>
    <w:p>
      <w:pPr>
        <w:spacing w:after="120" w:line="320"/>
        <w:jc w:val="both"/>
      </w:pPr>
      <w:r>
        <w:rPr>
          <w:rFonts w:ascii="Times New Roman" w:cs="Times New Roman" w:eastAsia="Times New Roman" w:hAnsi="Times New Roman"/>
          <w:sz w:val="22"/>
          <w:szCs w:val="22"/>
        </w:rPr>
        <w:t xml:space="preserve">All continuous predictors were mean-centred within each criterion's strata to avoid collinearity. Coefficients are on the Freeman–Tukey transformed scale (β units of √proportion).</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1400"/>
        <w:gridCol w:w="2400"/>
        <w:gridCol w:w="1500"/>
        <w:gridCol w:w="1500"/>
        <w:gridCol w:w="1560"/>
      </w:tblGrid>
      <w:tr>
        <w:tc>
          <w:tcPr>
            <w:tcW w:type="dxa" w:w="14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24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Predictor</w:t>
            </w:r>
          </w:p>
        </w:tc>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β</w:t>
            </w:r>
          </w:p>
        </w:tc>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SE</w:t>
            </w:r>
          </w:p>
        </w:tc>
        <w:tc>
          <w:tcPr>
            <w:tcW w:type="dxa" w:w="15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 value</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Intercept</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0.6855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0.0569</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&lt; 0.001</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Mean age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0.0099</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0.0106</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0.347</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Publication year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-0.0103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0.0416</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0.804</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female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0.0015</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0.0048</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0.746</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Intercept</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1.0042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0.0494</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&lt; 0.001</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Mean age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0.0180</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0.0117</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0.123</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Publication year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0.0207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0.0469</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0.659</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female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-0.0231</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0.0081</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0.004</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Intercept</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0.5604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0.0929</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&lt; 0.001</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Mean age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-0.0083</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0.0247</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0.737</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Publication year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0.0244</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0.0654</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0.709</w:t>
            </w:r>
          </w:p>
        </w:tc>
      </w:tr>
      <w:tr>
        <w:tc>
          <w:tcPr>
            <w:tcW w:type="dxa" w:w="1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female (centred)</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0.0027</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0.0037</w:t>
            </w:r>
          </w:p>
        </w:tc>
        <w:tc>
          <w:tcPr>
            <w:tcW w:type="dxa" w:w="1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0.459</w:t>
            </w:r>
          </w:p>
        </w:tc>
      </w:tr>
    </w:tbl>
    <w:p>
      <w:r>
        <w:br w:type="page"/>
      </w:r>
    </w:p>
    <w:p>
      <w:pPr>
        <w:pStyle w:val="Heading1"/>
        <w:spacing w:after="200" w:before="300"/>
      </w:pPr>
      <w:r>
        <w:rPr>
          <w:rFonts w:ascii="Times New Roman" w:cs="Times New Roman" w:eastAsia="Times New Roman" w:hAnsi="Times New Roman"/>
          <w:b/>
          <w:bCs/>
          <w:sz w:val="28"/>
          <w:szCs w:val="28"/>
        </w:rPr>
        <w:t xml:space="preserve">Table S10. Within-cohort comparisons between criteria (marginal-prevalence odds ratios)</w:t>
      </w:r>
    </w:p>
    <w:p>
      <w:pPr>
        <w:spacing w:after="120" w:line="320"/>
        <w:jc w:val="both"/>
      </w:pPr>
      <w:r>
        <w:rPr>
          <w:rFonts w:ascii="Times New Roman" w:cs="Times New Roman" w:eastAsia="Times New Roman" w:hAnsi="Times New Roman"/>
          <w:sz w:val="22"/>
          <w:szCs w:val="22"/>
        </w:rPr>
        <w:t xml:space="preserve">Within-study log-odds ratios were computed from the marginal classification counts (sarcopenic vs non-sarcopenic under each criterion) of studies applying ≥2 criteria to the same cohort, then pooled by random-effects meta-analysis. Individual-level cross-classification data (concordant/discordant pairs) were not reported by the primary studies, so these are within-cohort indirect comparisons rather than discordant-pair (e.g., McNemar) analyses. OR &gt; 1 indicates that the first criterion identifies more cases than the second among the same participants. k, number of studies; N, total participants.</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1500"/>
        <w:gridCol w:w="600"/>
        <w:gridCol w:w="1900"/>
        <w:gridCol w:w="800"/>
        <w:gridCol w:w="3560"/>
      </w:tblGrid>
      <w:tr>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Contrast</w:t>
            </w:r>
          </w:p>
        </w:tc>
        <w:tc>
          <w:tcPr>
            <w:tcW w:type="dxa" w:w="6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k (N)</w:t>
            </w:r>
          </w:p>
        </w:tc>
        <w:tc>
          <w:tcPr>
            <w:tcW w:type="dxa" w:w="19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Pooled OR (95% CI)</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I² (%)</w:t>
            </w:r>
          </w:p>
        </w:tc>
        <w:tc>
          <w:tcPr>
            <w:tcW w:type="dxa" w:w="35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Interpretation</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vs EWGSOP2</w:t>
            </w:r>
          </w:p>
        </w:tc>
        <w:tc>
          <w:tcPr>
            <w:tcW w:type="dxa" w:w="6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12 (13,718)</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2.74 (1.96–3.83)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88</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 identifies ~2.7× more cases than EWGSOP2 in same individuals</w:t>
            </w:r>
          </w:p>
        </w:tc>
      </w:tr>
      <w:tr>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 vs EWGSOP2</w:t>
            </w:r>
          </w:p>
        </w:tc>
        <w:tc>
          <w:tcPr>
            <w:tcW w:type="dxa" w:w="6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6 (18,226)</w:t>
            </w:r>
          </w:p>
        </w:tc>
        <w:tc>
          <w:tcPr>
            <w:tcW w:type="dxa" w:w="19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3.34 (0.51–21.71)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99</w:t>
            </w:r>
          </w:p>
        </w:tc>
        <w:tc>
          <w:tcPr>
            <w:tcW w:type="dxa" w:w="35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Bimodal: European cohorts SDOC &lt; EWGSOP2; Oceanian cohorts SDOC &gt; EWGSOP2</w:t>
            </w:r>
          </w:p>
        </w:tc>
      </w:tr>
    </w:tbl>
    <w:p>
      <w:r>
        <w:br w:type="page"/>
      </w:r>
    </w:p>
    <w:p>
      <w:pPr>
        <w:pStyle w:val="Heading1"/>
        <w:spacing w:after="200" w:before="300"/>
      </w:pPr>
      <w:r>
        <w:rPr>
          <w:rFonts w:ascii="Times New Roman" w:cs="Times New Roman" w:eastAsia="Times New Roman" w:hAnsi="Times New Roman"/>
          <w:b/>
          <w:bCs/>
          <w:sz w:val="28"/>
          <w:szCs w:val="28"/>
        </w:rPr>
        <w:t xml:space="preserve">Table S11. Publication bias diagnostics</w:t>
      </w:r>
    </w:p>
    <w:p>
      <w:pPr>
        <w:spacing w:after="120" w:line="320"/>
        <w:jc w:val="both"/>
      </w:pPr>
      <w:r>
        <w:rPr>
          <w:rFonts w:ascii="Times New Roman" w:cs="Times New Roman" w:eastAsia="Times New Roman" w:hAnsi="Times New Roman"/>
          <w:sz w:val="22"/>
          <w:szCs w:val="22"/>
        </w:rPr>
        <w:t xml:space="preserve">Egger's regression test for funnel-plot asymmetry; Duval &amp; Tweedie's trim-and-fill estimating number of missing studies.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1500"/>
        <w:gridCol w:w="2400"/>
        <w:gridCol w:w="2060"/>
      </w:tblGrid>
      <w:tr>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Outcome</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15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Egger P</w:t>
            </w:r>
          </w:p>
        </w:tc>
        <w:tc>
          <w:tcPr>
            <w:tcW w:type="dxa" w:w="24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Trim-and-fill: n imputed</w:t>
            </w:r>
          </w:p>
        </w:tc>
        <w:tc>
          <w:tcPr>
            <w:tcW w:type="dxa" w:w="206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Adjusted estimate</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Prevalence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&lt; 0.001</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20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11.28%</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Mortality</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0.950</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20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1.68</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Prevalence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&lt; 0.001</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20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23.15%</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Mortality</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0.018</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20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1.97</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Prevalence</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0.309</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w:t>
            </w:r>
          </w:p>
        </w:tc>
        <w:tc>
          <w:tcPr>
            <w:tcW w:type="dxa" w:w="20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7.83%</w:t>
            </w:r>
          </w:p>
        </w:tc>
      </w:tr>
      <w:tr>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Mortality</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15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0.601</w:t>
            </w:r>
          </w:p>
        </w:tc>
        <w:tc>
          <w:tcPr>
            <w:tcW w:type="dxa" w:w="24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0</w:t>
            </w:r>
          </w:p>
        </w:tc>
        <w:tc>
          <w:tcPr>
            <w:tcW w:type="dxa" w:w="206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2.44</w:t>
            </w:r>
          </w:p>
        </w:tc>
      </w:tr>
    </w:tbl>
    <w:p>
      <w:r>
        <w:br w:type="page"/>
      </w:r>
    </w:p>
    <w:p>
      <w:pPr>
        <w:pStyle w:val="Heading1"/>
        <w:spacing w:after="200" w:before="300"/>
      </w:pPr>
      <w:r>
        <w:rPr>
          <w:rFonts w:ascii="Times New Roman" w:cs="Times New Roman" w:eastAsia="Times New Roman" w:hAnsi="Times New Roman"/>
          <w:b/>
          <w:bCs/>
          <w:sz w:val="28"/>
          <w:szCs w:val="28"/>
        </w:rPr>
        <w:t xml:space="preserve">Table S12. GRADE evidence profile (detailed)</w:t>
      </w:r>
    </w:p>
    <w:p>
      <w:pPr>
        <w:spacing w:after="120" w:line="320"/>
        <w:jc w:val="both"/>
      </w:pPr>
      <w:r>
        <w:rPr>
          <w:rFonts w:ascii="Times New Roman" w:cs="Times New Roman" w:eastAsia="Times New Roman" w:hAnsi="Times New Roman"/>
          <w:sz w:val="22"/>
          <w:szCs w:val="22"/>
        </w:rPr>
        <w:t xml:space="preserve">GRADE certainty rating considers risk of bias, inconsistency (I²/τ²), indirectness, imprecision (CI width), and publication bias. Downgrades are noted as superscript marks.</w:t>
      </w:r>
    </w:p>
    <w:tbl>
      <w:tblPr>
        <w:tblW w:type="dxa" w:w="10350"/>
        <w:tblBorders>
          <w:top w:val="single" w:color="auto" w:sz="4"/>
          <w:left w:val="single" w:color="auto" w:sz="4"/>
          <w:bottom w:val="single" w:color="auto" w:sz="4"/>
          <w:right w:val="single" w:color="auto" w:sz="4"/>
          <w:insideH w:val="single" w:color="auto" w:sz="4"/>
          <w:insideV w:val="single" w:color="auto" w:sz="4"/>
        </w:tblBorders>
      </w:tblPr>
      <w:tblGrid>
        <w:gridCol w:w="1300"/>
        <w:gridCol w:w="950"/>
        <w:gridCol w:w="1700"/>
        <w:gridCol w:w="800"/>
        <w:gridCol w:w="1300"/>
        <w:gridCol w:w="1100"/>
        <w:gridCol w:w="1000"/>
        <w:gridCol w:w="1100"/>
        <w:gridCol w:w="1100"/>
      </w:tblGrid>
      <w:tr>
        <w:tc>
          <w:tcPr>
            <w:tcW w:type="dxa" w:w="13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Outcome</w:t>
            </w:r>
          </w:p>
        </w:tc>
        <w:tc>
          <w:tcPr>
            <w:tcW w:type="dxa" w:w="95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Criterion</w:t>
            </w:r>
          </w:p>
        </w:tc>
        <w:tc>
          <w:tcPr>
            <w:tcW w:type="dxa" w:w="17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Effect estimate</w:t>
            </w:r>
          </w:p>
        </w:tc>
        <w:tc>
          <w:tcPr>
            <w:tcW w:type="dxa" w:w="8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Risk of bias</w:t>
            </w:r>
          </w:p>
        </w:tc>
        <w:tc>
          <w:tcPr>
            <w:tcW w:type="dxa" w:w="13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Inconsistency</w:t>
            </w:r>
          </w:p>
        </w:tc>
        <w:tc>
          <w:tcPr>
            <w:tcW w:type="dxa" w:w="11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Indirectness</w:t>
            </w:r>
          </w:p>
        </w:tc>
        <w:tc>
          <w:tcPr>
            <w:tcW w:type="dxa" w:w="10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Imprecision</w:t>
            </w:r>
          </w:p>
        </w:tc>
        <w:tc>
          <w:tcPr>
            <w:tcW w:type="dxa" w:w="11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Pub. bias</w:t>
            </w:r>
          </w:p>
        </w:tc>
        <w:tc>
          <w:tcPr>
            <w:tcW w:type="dxa" w:w="1100"/>
            <w:tcBorders>
              <w:top w:val="single" w:color="808080" w:sz="4"/>
              <w:left w:val="single" w:color="808080" w:sz="4"/>
              <w:bottom w:val="single" w:color="808080" w:sz="4"/>
              <w:right w:val="single" w:color="808080" w:sz="4"/>
            </w:tcBorders>
            <w:shd w:fill="D9E1F2" w:val="clear"/>
            <w:tcMar>
              <w:top w:type="dxa" w:w="40"/>
              <w:left w:type="dxa" w:w="80"/>
              <w:bottom w:type="dxa" w:w="40"/>
              <w:right w:type="dxa" w:w="80"/>
            </w:tcMar>
          </w:tcPr>
          <w:p>
            <w:pPr>
              <w:jc w:val="left"/>
            </w:pPr>
            <w:r>
              <w:rPr>
                <w:rFonts w:ascii="Times New Roman" w:cs="Times New Roman" w:eastAsia="Times New Roman" w:hAnsi="Times New Roman"/>
                <w:b/>
                <w:bCs/>
                <w:sz w:val="16"/>
                <w:szCs w:val="16"/>
              </w:rPr>
              <w:t xml:space="preserve">Certainty</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Prevalence</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11.3% (7.9–15.2)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(I²=99%)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(Egger P&lt;0.001)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Low</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Prevalence</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23.2% (19.0–27.5)</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(I²=98%)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(Egger P&lt;0.001)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Low</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Prevalence</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7.6% (3.1–13.9)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Very serious (I²=99.6%)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(bimodal regions) ↓</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Very low</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Mortality</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1.68 (1.59–1.77)</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 (I²=0%)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High</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Mortality</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1.97 (1.85–2.09)</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 (I²=0%)</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(Asia only) ↓</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(Egger P=0.018)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Low</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Mortality</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2.44 (2.21–2.71)</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Some (I²=43%)</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(mostly Caucasian) ↓</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Moderate</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Hospitalisation</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EWGSOP2</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1.58 (1.41–1.76)</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(mixed outcome definitions) ↓</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assessable (k=9)</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Moderate</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Hospitalisation</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AWGS2</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1.71 (1.60–1.82)</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(Asia only; mixed outcome definitions) ↓</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assessable</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Moderate</w:t>
            </w:r>
          </w:p>
        </w:tc>
      </w:tr>
      <w:tr>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Hospitalisation</w:t>
            </w:r>
          </w:p>
        </w:tc>
        <w:tc>
          <w:tcPr>
            <w:tcW w:type="dxa" w:w="95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SDOC</w:t>
            </w:r>
          </w:p>
        </w:tc>
        <w:tc>
          <w:tcPr>
            <w:tcW w:type="dxa" w:w="17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HR 1.45 (1.38–1.53)</w:t>
            </w:r>
          </w:p>
        </w:tc>
        <w:tc>
          <w:tcPr>
            <w:tcW w:type="dxa" w:w="8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Low</w:t>
            </w:r>
          </w:p>
        </w:tc>
        <w:tc>
          <w:tcPr>
            <w:tcW w:type="dxa" w:w="13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serious</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(Caucasian only; mixed outcome definitions) ↓</w:t>
            </w:r>
          </w:p>
        </w:tc>
        <w:tc>
          <w:tcPr>
            <w:tcW w:type="dxa" w:w="10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Serious (k=5) ↓</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Not assessable</w:t>
            </w:r>
          </w:p>
        </w:tc>
        <w:tc>
          <w:tcPr>
            <w:tcW w:type="dxa" w:w="1100"/>
            <w:tcBorders>
              <w:top w:val="single" w:color="808080" w:sz="4"/>
              <w:left w:val="single" w:color="808080" w:sz="4"/>
              <w:bottom w:val="single" w:color="808080" w:sz="4"/>
              <w:right w:val="single" w:color="80808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16"/>
                <w:szCs w:val="16"/>
              </w:rPr>
              <w:t xml:space="preserve">⊕⊕○○ Low</w:t>
            </w:r>
          </w:p>
        </w:tc>
      </w:tr>
    </w:tbl>
    <w:p>
      <w:r>
        <w:br w:type="page"/>
      </w:r>
    </w:p>
    <w:p>
      <w:pPr>
        <w:pStyle w:val="Heading1"/>
        <w:spacing w:after="200" w:before="300"/>
      </w:pPr>
      <w:r>
        <w:rPr>
          <w:rFonts w:ascii="Times New Roman" w:cs="Times New Roman" w:eastAsia="Times New Roman" w:hAnsi="Times New Roman"/>
          <w:b/>
          <w:bCs/>
          <w:sz w:val="28"/>
          <w:szCs w:val="28"/>
        </w:rPr>
        <w:t xml:space="preserve">Appendix S3. Python analysis code summary</w:t>
      </w:r>
    </w:p>
    <w:p>
      <w:pPr>
        <w:spacing w:after="120" w:line="320"/>
        <w:jc w:val="both"/>
      </w:pPr>
      <w:r>
        <w:rPr>
          <w:rFonts w:ascii="Times New Roman" w:cs="Times New Roman" w:eastAsia="Times New Roman" w:hAnsi="Times New Roman"/>
          <w:sz w:val="22"/>
          <w:szCs w:val="22"/>
        </w:rPr>
        <w:t xml:space="preserve">All meta-analytic computations were performed in Python 3.12 using NumPy, SciPy, statsmodels, pandas, and matplotlib. Custom routines were coded from primary formulas; no R packages were used. Full executable code is provided as run_meta.py and make_figures.py.</w:t>
      </w:r>
    </w:p>
    <w:p>
      <w:pPr>
        <w:pStyle w:val="Heading2"/>
        <w:spacing w:after="160" w:before="240"/>
      </w:pPr>
      <w:r>
        <w:rPr>
          <w:rFonts w:ascii="Times New Roman" w:cs="Times New Roman" w:eastAsia="Times New Roman" w:hAnsi="Times New Roman"/>
          <w:b/>
          <w:bCs/>
          <w:sz w:val="24"/>
          <w:szCs w:val="24"/>
        </w:rPr>
        <w:t xml:space="preserve">S3.1 Core routines (function signatures)</w:t>
      </w:r>
    </w:p>
    <w:p>
      <w:pPr>
        <w:spacing w:after="80" w:line="280"/>
        <w:jc w:val="left"/>
      </w:pPr>
      <w:r>
        <w:rPr>
          <w:rFonts w:ascii="Courier New" w:cs="Courier New" w:eastAsia="Courier New" w:hAnsi="Courier New"/>
          <w:sz w:val="18"/>
          <w:szCs w:val="18"/>
        </w:rPr>
        <w:t xml:space="preserve">def ft_transform(events, n):   # Freeman–Tukey double-arcsine</w:t>
      </w:r>
    </w:p>
    <w:p>
      <w:pPr>
        <w:spacing w:after="80" w:line="280"/>
        <w:jc w:val="left"/>
      </w:pPr>
      <w:r>
        <w:rPr>
          <w:rFonts w:ascii="Courier New" w:cs="Courier New" w:eastAsia="Courier New" w:hAnsi="Courier New"/>
          <w:sz w:val="18"/>
          <w:szCs w:val="18"/>
        </w:rPr>
        <w:t xml:space="preserve">    return arcsin(sqrt(e/(n+1))) + arcsin(sqrt((e+1)/(n+1)))</w:t>
      </w:r>
    </w:p>
    <w:p>
      <w:pPr>
        <w:spacing w:after="80" w:line="280"/>
        <w:jc w:val="left"/>
      </w:pPr>
      <w:r>
        <w:rPr>
          <w:rFonts w:ascii="Courier New" w:cs="Courier New" w:eastAsia="Courier New" w:hAnsi="Courier New"/>
          <w:sz w:val="18"/>
          <w:szCs w:val="18"/>
        </w:rPr>
        <w:t xml:space="preserve"/>
      </w:r>
    </w:p>
    <w:p>
      <w:pPr>
        <w:spacing w:after="80" w:line="280"/>
        <w:jc w:val="left"/>
      </w:pPr>
      <w:r>
        <w:rPr>
          <w:rFonts w:ascii="Courier New" w:cs="Courier New" w:eastAsia="Courier New" w:hAnsi="Courier New"/>
          <w:sz w:val="18"/>
          <w:szCs w:val="18"/>
        </w:rPr>
        <w:t xml:space="preserve">def ft_variance(n):           # FT variance is 1/(n+0.5)</w:t>
      </w:r>
    </w:p>
    <w:p>
      <w:pPr>
        <w:spacing w:after="80" w:line="280"/>
        <w:jc w:val="left"/>
      </w:pPr>
      <w:r>
        <w:rPr>
          <w:rFonts w:ascii="Courier New" w:cs="Courier New" w:eastAsia="Courier New" w:hAnsi="Courier New"/>
          <w:sz w:val="18"/>
          <w:szCs w:val="18"/>
        </w:rPr>
        <w:t xml:space="preserve">    return 1.0 / (n + 0.5)</w:t>
      </w:r>
    </w:p>
    <w:p>
      <w:pPr>
        <w:spacing w:after="80" w:line="280"/>
        <w:jc w:val="left"/>
      </w:pPr>
      <w:r>
        <w:rPr>
          <w:rFonts w:ascii="Courier New" w:cs="Courier New" w:eastAsia="Courier New" w:hAnsi="Courier New"/>
          <w:sz w:val="18"/>
          <w:szCs w:val="18"/>
        </w:rPr>
        <w:t xml:space="preserve"/>
      </w:r>
    </w:p>
    <w:p>
      <w:pPr>
        <w:spacing w:after="80" w:line="280"/>
        <w:jc w:val="left"/>
      </w:pPr>
      <w:r>
        <w:rPr>
          <w:rFonts w:ascii="Courier New" w:cs="Courier New" w:eastAsia="Courier New" w:hAnsi="Courier New"/>
          <w:sz w:val="18"/>
          <w:szCs w:val="18"/>
        </w:rPr>
        <w:t xml:space="preserve">def ft_back(theta):           # Back-transformation</w:t>
      </w:r>
    </w:p>
    <w:p>
      <w:pPr>
        <w:spacing w:after="80" w:line="280"/>
        <w:jc w:val="left"/>
      </w:pPr>
      <w:r>
        <w:rPr>
          <w:rFonts w:ascii="Courier New" w:cs="Courier New" w:eastAsia="Courier New" w:hAnsi="Courier New"/>
          <w:sz w:val="18"/>
          <w:szCs w:val="18"/>
        </w:rPr>
        <w:t xml:space="preserve">    return sin(theta / 2.0) ** 2</w:t>
      </w:r>
    </w:p>
    <w:p>
      <w:pPr>
        <w:spacing w:after="80" w:line="280"/>
        <w:jc w:val="left"/>
      </w:pPr>
      <w:r>
        <w:rPr>
          <w:rFonts w:ascii="Courier New" w:cs="Courier New" w:eastAsia="Courier New" w:hAnsi="Courier New"/>
          <w:sz w:val="18"/>
          <w:szCs w:val="18"/>
        </w:rPr>
        <w:t xml:space="preserve"/>
      </w:r>
    </w:p>
    <w:p>
      <w:pPr>
        <w:spacing w:after="80" w:line="280"/>
        <w:jc w:val="left"/>
      </w:pPr>
      <w:r>
        <w:rPr>
          <w:rFonts w:ascii="Courier New" w:cs="Courier New" w:eastAsia="Courier New" w:hAnsi="Courier New"/>
          <w:sz w:val="18"/>
          <w:szCs w:val="18"/>
        </w:rPr>
        <w:t xml:space="preserve">def reml_tau2(yi, vi):        # REML via scipy.minimize_scalar</w:t>
      </w:r>
    </w:p>
    <w:p>
      <w:pPr>
        <w:spacing w:after="80" w:line="280"/>
        <w:jc w:val="left"/>
      </w:pPr>
      <w:r>
        <w:rPr>
          <w:rFonts w:ascii="Courier New" w:cs="Courier New" w:eastAsia="Courier New" w:hAnsi="Courier New"/>
          <w:sz w:val="18"/>
          <w:szCs w:val="18"/>
        </w:rPr>
        <w:t xml:space="preserve">    def neg_rell(log_tau2):   # restricted log-likelihood</w:t>
      </w:r>
    </w:p>
    <w:p>
      <w:pPr>
        <w:spacing w:after="80" w:line="280"/>
        <w:jc w:val="left"/>
      </w:pPr>
      <w:r>
        <w:rPr>
          <w:rFonts w:ascii="Courier New" w:cs="Courier New" w:eastAsia="Courier New" w:hAnsi="Courier New"/>
          <w:sz w:val="18"/>
          <w:szCs w:val="18"/>
        </w:rPr>
        <w:t xml:space="preserve">        tau2 = exp(log_tau2)</w:t>
      </w:r>
    </w:p>
    <w:p>
      <w:pPr>
        <w:spacing w:after="80" w:line="280"/>
        <w:jc w:val="left"/>
      </w:pPr>
      <w:r>
        <w:rPr>
          <w:rFonts w:ascii="Courier New" w:cs="Courier New" w:eastAsia="Courier New" w:hAnsi="Courier New"/>
          <w:sz w:val="18"/>
          <w:szCs w:val="18"/>
        </w:rPr>
        <w:t xml:space="preserve">        w = 1/(vi + tau2)</w:t>
      </w:r>
    </w:p>
    <w:p>
      <w:pPr>
        <w:spacing w:after="80" w:line="280"/>
        <w:jc w:val="left"/>
      </w:pPr>
      <w:r>
        <w:rPr>
          <w:rFonts w:ascii="Courier New" w:cs="Courier New" w:eastAsia="Courier New" w:hAnsi="Courier New"/>
          <w:sz w:val="18"/>
          <w:szCs w:val="18"/>
        </w:rPr>
        <w:t xml:space="preserve">        mu = sum(w*yi)/sum(w)</w:t>
      </w:r>
    </w:p>
    <w:p>
      <w:pPr>
        <w:spacing w:after="80" w:line="280"/>
        <w:jc w:val="left"/>
      </w:pPr>
      <w:r>
        <w:rPr>
          <w:rFonts w:ascii="Courier New" w:cs="Courier New" w:eastAsia="Courier New" w:hAnsi="Courier New"/>
          <w:sz w:val="18"/>
          <w:szCs w:val="18"/>
        </w:rPr>
        <w:t xml:space="preserve">        return 0.5*sum(log(vi+tau2)) + 0.5*log(sum(w)) +</w:t>
      </w:r>
    </w:p>
    <w:p>
      <w:pPr>
        <w:spacing w:after="80" w:line="280"/>
        <w:jc w:val="left"/>
      </w:pPr>
      <w:r>
        <w:rPr>
          <w:rFonts w:ascii="Courier New" w:cs="Courier New" w:eastAsia="Courier New" w:hAnsi="Courier New"/>
          <w:sz w:val="18"/>
          <w:szCs w:val="18"/>
        </w:rPr>
        <w:t xml:space="preserve">               0.5*sum(w*(yi-mu)**2)</w:t>
      </w:r>
    </w:p>
    <w:p>
      <w:pPr>
        <w:spacing w:after="80" w:line="280"/>
        <w:jc w:val="left"/>
      </w:pPr>
      <w:r>
        <w:rPr>
          <w:rFonts w:ascii="Courier New" w:cs="Courier New" w:eastAsia="Courier New" w:hAnsi="Courier New"/>
          <w:sz w:val="18"/>
          <w:szCs w:val="18"/>
        </w:rPr>
        <w:t xml:space="preserve">    return exp(minimize_scalar(neg_rell, bounds=(-25, 5)).x)</w:t>
      </w:r>
    </w:p>
    <w:p>
      <w:pPr>
        <w:spacing w:after="80" w:line="280"/>
        <w:jc w:val="left"/>
      </w:pPr>
      <w:r>
        <w:rPr>
          <w:rFonts w:ascii="Courier New" w:cs="Courier New" w:eastAsia="Courier New" w:hAnsi="Courier New"/>
          <w:sz w:val="18"/>
          <w:szCs w:val="18"/>
        </w:rPr>
        <w:t xml:space="preserve"/>
      </w:r>
    </w:p>
    <w:p>
      <w:pPr>
        <w:spacing w:after="80" w:line="280"/>
        <w:jc w:val="left"/>
      </w:pPr>
      <w:r>
        <w:rPr>
          <w:rFonts w:ascii="Courier New" w:cs="Courier New" w:eastAsia="Courier New" w:hAnsi="Courier New"/>
          <w:sz w:val="18"/>
          <w:szCs w:val="18"/>
        </w:rPr>
        <w:t xml:space="preserve">def re_pool(yi, vi):          # Random-effects + Hartung-Knapp</w:t>
      </w:r>
    </w:p>
    <w:p>
      <w:pPr>
        <w:spacing w:after="80" w:line="280"/>
        <w:jc w:val="left"/>
      </w:pPr>
      <w:r>
        <w:rPr>
          <w:rFonts w:ascii="Courier New" w:cs="Courier New" w:eastAsia="Courier New" w:hAnsi="Courier New"/>
          <w:sz w:val="18"/>
          <w:szCs w:val="18"/>
        </w:rPr>
        <w:t xml:space="preserve">    tau2 = reml_tau2(yi, vi)</w:t>
      </w:r>
    </w:p>
    <w:p>
      <w:pPr>
        <w:spacing w:after="80" w:line="280"/>
        <w:jc w:val="left"/>
      </w:pPr>
      <w:r>
        <w:rPr>
          <w:rFonts w:ascii="Courier New" w:cs="Courier New" w:eastAsia="Courier New" w:hAnsi="Courier New"/>
          <w:sz w:val="18"/>
          <w:szCs w:val="18"/>
        </w:rPr>
        <w:t xml:space="preserve">    w = 1/(vi + tau2); mu = sum(w*yi)/sum(w)</w:t>
      </w:r>
    </w:p>
    <w:p>
      <w:pPr>
        <w:spacing w:after="80" w:line="280"/>
        <w:jc w:val="left"/>
      </w:pPr>
      <w:r>
        <w:rPr>
          <w:rFonts w:ascii="Courier New" w:cs="Courier New" w:eastAsia="Courier New" w:hAnsi="Courier New"/>
          <w:sz w:val="18"/>
          <w:szCs w:val="18"/>
        </w:rPr>
        <w:t xml:space="preserve">    se_hk = sqrt(sum(w*(yi-mu)**2) / ((k-1)*sum(w)))</w:t>
      </w:r>
    </w:p>
    <w:p>
      <w:pPr>
        <w:spacing w:after="80" w:line="280"/>
        <w:jc w:val="left"/>
      </w:pPr>
      <w:r>
        <w:rPr>
          <w:rFonts w:ascii="Courier New" w:cs="Courier New" w:eastAsia="Courier New" w:hAnsi="Courier New"/>
          <w:sz w:val="18"/>
          <w:szCs w:val="18"/>
        </w:rPr>
        <w:t xml:space="preserve">    t_crit = t.ppf(0.975, k-1)</w:t>
      </w:r>
    </w:p>
    <w:p>
      <w:pPr>
        <w:spacing w:after="80" w:line="280"/>
        <w:jc w:val="left"/>
      </w:pPr>
      <w:r>
        <w:rPr>
          <w:rFonts w:ascii="Courier New" w:cs="Courier New" w:eastAsia="Courier New" w:hAnsi="Courier New"/>
          <w:sz w:val="18"/>
          <w:szCs w:val="18"/>
        </w:rPr>
        <w:t xml:space="preserve">    return mu, mu - t_crit*se_hk, mu + t_crit*se_hk</w:t>
      </w:r>
    </w:p>
    <w:p>
      <w:pPr>
        <w:pStyle w:val="Heading2"/>
        <w:spacing w:after="160" w:before="240"/>
      </w:pPr>
      <w:r>
        <w:rPr>
          <w:rFonts w:ascii="Times New Roman" w:cs="Times New Roman" w:eastAsia="Times New Roman" w:hAnsi="Times New Roman"/>
          <w:b/>
          <w:bCs/>
          <w:sz w:val="24"/>
          <w:szCs w:val="24"/>
        </w:rPr>
        <w:t xml:space="preserve">S3.2 Effect-measure pipeline</w:t>
      </w:r>
    </w:p>
    <w:p>
      <w:pPr>
        <w:spacing w:after="120" w:line="320"/>
        <w:jc w:val="both"/>
      </w:pPr>
      <w:r>
        <w:rPr>
          <w:rFonts w:ascii="Times New Roman" w:cs="Times New Roman" w:eastAsia="Times New Roman" w:hAnsi="Times New Roman"/>
          <w:sz w:val="22"/>
          <w:szCs w:val="22"/>
        </w:rPr>
        <w:t xml:space="preserve">Prevalence: each study's (events, n) pair is transformed to FT scale; variances are 1/(n+0.5). Random-effects pool returns FT scale estimate which is back-transformed via sin²(θ/2). Subgroup analyses re-run re_pool on filtered rows.</w:t>
      </w:r>
    </w:p>
    <w:p>
      <w:pPr>
        <w:spacing w:after="120" w:line="320"/>
        <w:jc w:val="both"/>
      </w:pPr>
      <w:r>
        <w:rPr>
          <w:rFonts w:ascii="Times New Roman" w:cs="Times New Roman" w:eastAsia="Times New Roman" w:hAnsi="Times New Roman"/>
          <w:sz w:val="22"/>
          <w:szCs w:val="22"/>
        </w:rPr>
        <w:t xml:space="preserve">Hazard ratios: studies report adjusted HR with 95% CI; we derive ln(HR) = log(HR) and SE = (log(upper)–log(lower))/(2×1.96). Pooling proceeds by generic inverse variance on the log scale; back-transformation by exp().</w:t>
      </w:r>
    </w:p>
    <w:p>
      <w:pPr>
        <w:pStyle w:val="Heading2"/>
        <w:spacing w:after="160" w:before="240"/>
      </w:pPr>
      <w:r>
        <w:rPr>
          <w:rFonts w:ascii="Times New Roman" w:cs="Times New Roman" w:eastAsia="Times New Roman" w:hAnsi="Times New Roman"/>
          <w:b/>
          <w:bCs/>
          <w:sz w:val="24"/>
          <w:szCs w:val="24"/>
        </w:rPr>
        <w:t xml:space="preserve">S3.3 Heterogeneity quantification</w:t>
      </w:r>
    </w:p>
    <w:p>
      <w:pPr>
        <w:spacing w:after="120" w:line="320"/>
        <w:jc w:val="both"/>
      </w:pPr>
      <w:r>
        <w:rPr>
          <w:rFonts w:ascii="Times New Roman" w:cs="Times New Roman" w:eastAsia="Times New Roman" w:hAnsi="Times New Roman"/>
          <w:sz w:val="22"/>
          <w:szCs w:val="22"/>
        </w:rPr>
        <w:t xml:space="preserve">Cochran's Q = Σ w_i (y_i − μ̂_FE)² with df = k−1; I² = max(0, (Q−df)/Q) × 100%; τ² is estimated by REML (primary) and DerSimonian–Laird (sensitivity). 95% prediction intervals: μ̂ ± t_{k−1,0.975} × √(τ² + SE²_μ̂).</w:t>
      </w:r>
    </w:p>
    <w:p>
      <w:pPr>
        <w:pStyle w:val="Heading2"/>
        <w:spacing w:after="160" w:before="240"/>
      </w:pPr>
      <w:r>
        <w:rPr>
          <w:rFonts w:ascii="Times New Roman" w:cs="Times New Roman" w:eastAsia="Times New Roman" w:hAnsi="Times New Roman"/>
          <w:b/>
          <w:bCs/>
          <w:sz w:val="24"/>
          <w:szCs w:val="24"/>
        </w:rPr>
        <w:t xml:space="preserve">S3.4 Publication bias</w:t>
      </w:r>
    </w:p>
    <w:p>
      <w:pPr>
        <w:spacing w:after="120" w:line="320"/>
        <w:jc w:val="both"/>
      </w:pPr>
      <w:r>
        <w:rPr>
          <w:rFonts w:ascii="Times New Roman" w:cs="Times New Roman" w:eastAsia="Times New Roman" w:hAnsi="Times New Roman"/>
          <w:sz w:val="22"/>
          <w:szCs w:val="22"/>
        </w:rPr>
        <w:t xml:space="preserve">Egger's regression: standardised effect (y_i / SE) regressed on precision (1/SE); intercept tested against zero with t-statistic on k−2 df. Trim-and-fill: iterative L0 estimator (Duval &amp; Tweedie 2000), with reflected studies imputed on the discrepant side.</w:t>
      </w:r>
    </w:p>
    <w:p>
      <w:r>
        <w:br w:type="page"/>
      </w:r>
    </w:p>
    <w:p>
      <w:pPr>
        <w:pStyle w:val="Heading1"/>
        <w:spacing w:after="200" w:before="300"/>
      </w:pPr>
      <w:r>
        <w:rPr>
          <w:rFonts w:ascii="Times New Roman" w:cs="Times New Roman" w:eastAsia="Times New Roman" w:hAnsi="Times New Roman"/>
          <w:b/>
          <w:bCs/>
          <w:sz w:val="28"/>
          <w:szCs w:val="28"/>
        </w:rPr>
        <w:t xml:space="preserve">Appendix S4. Reproducibility statement and data sharing</w:t>
      </w:r>
    </w:p>
    <w:p>
      <w:pPr>
        <w:spacing w:after="120" w:line="320"/>
        <w:jc w:val="both"/>
      </w:pPr>
      <w:r>
        <w:rPr>
          <w:rFonts w:ascii="Times New Roman" w:cs="Times New Roman" w:eastAsia="Times New Roman" w:hAnsi="Times New Roman"/>
          <w:sz w:val="22"/>
          <w:szCs w:val="22"/>
        </w:rPr>
        <w:t xml:space="preserve">This systematic review and meta-analysis adheres to FAIR data-sharing principles. All extracted data and analysis code are provided as follows:</w:t>
      </w:r>
    </w:p>
    <w:p>
      <w:pPr>
        <w:spacing w:after="120" w:line="320"/>
        <w:jc w:val="both"/>
      </w:pPr>
      <w:r>
        <w:rPr>
          <w:rFonts w:ascii="Times New Roman" w:cs="Times New Roman" w:eastAsia="Times New Roman" w:hAnsi="Times New Roman"/>
          <w:sz w:val="22"/>
          <w:szCs w:val="22"/>
        </w:rPr>
        <w:t xml:space="preserve">• sarcopenia_meta_data.xlsx — full extracted dataset with 5 sheets (Study Characteristics, Prevalence, Mortality HR, Hospitalisation HR, Codebook).</w:t>
      </w:r>
    </w:p>
    <w:p>
      <w:pPr>
        <w:spacing w:after="120" w:line="320"/>
        <w:jc w:val="both"/>
      </w:pPr>
      <w:r>
        <w:rPr>
          <w:rFonts w:ascii="Times New Roman" w:cs="Times New Roman" w:eastAsia="Times New Roman" w:hAnsi="Times New Roman"/>
          <w:sz w:val="22"/>
          <w:szCs w:val="22"/>
        </w:rPr>
        <w:t xml:space="preserve">• run_meta.py — executable Python pipeline reproducing all pooled estimates, subgroup analyses, publication-bias tests, and sensitivity analyses.</w:t>
      </w:r>
    </w:p>
    <w:p>
      <w:pPr>
        <w:spacing w:after="120" w:line="320"/>
        <w:jc w:val="both"/>
      </w:pPr>
      <w:r>
        <w:rPr>
          <w:rFonts w:ascii="Times New Roman" w:cs="Times New Roman" w:eastAsia="Times New Roman" w:hAnsi="Times New Roman"/>
          <w:sz w:val="22"/>
          <w:szCs w:val="22"/>
        </w:rPr>
        <w:t xml:space="preserve">• make_figures.py — figure-generation pipeline producing </w:t>
      </w:r>
      <w:r>
        <w:rPr>
          <w:rFonts w:ascii="Times New Roman" w:cs="Times New Roman" w:eastAsia="Times New Roman" w:hAnsi="Times New Roman"/>
          <w:sz w:val="22"/>
          <w:szCs w:val="22"/>
        </w:rPr>
        <w:t xml:space="preserve">Figures 1–5 and Supplementary Figures S1–S3</w:t>
      </w:r>
      <w:r>
        <w:rPr>
          <w:rFonts w:ascii="Times New Roman" w:cs="Times New Roman" w:eastAsia="Times New Roman" w:hAnsi="Times New Roman"/>
          <w:sz w:val="22"/>
          <w:szCs w:val="22"/>
        </w:rPr>
        <w:t xml:space="preserve"> in PNG and PDF formats.</w:t>
      </w:r>
    </w:p>
    <w:p>
      <w:pPr>
        <w:spacing w:after="120" w:line="320"/>
        <w:jc w:val="both"/>
      </w:pPr>
      <w:r>
        <w:rPr>
          <w:rFonts w:ascii="Times New Roman" w:cs="Times New Roman" w:eastAsia="Times New Roman" w:hAnsi="Times New Roman"/>
          <w:sz w:val="22"/>
          <w:szCs w:val="22"/>
        </w:rPr>
        <w:t xml:space="preserve">• make_svg_figures.py — alternative SVG figure pipeline in Cochrane Review Manager 5.3 style.</w:t>
      </w:r>
    </w:p>
    <w:p>
      <w:pPr>
        <w:spacing w:after="120" w:line="320"/>
        <w:jc w:val="both"/>
      </w:pPr>
      <w:r>
        <w:rPr>
          <w:rFonts w:ascii="Times New Roman" w:cs="Times New Roman" w:eastAsia="Times New Roman" w:hAnsi="Times New Roman"/>
          <w:sz w:val="22"/>
          <w:szCs w:val="22"/>
        </w:rPr>
        <w:t xml:space="preserve">• results.json — machine-readable JSON of all numeric results (pooled estimates, subgroup analyses, heterogeneity statistics, publication bias diagnostics, leave-one-out tables, paired comparisons, meta-regression coefficients).</w:t>
      </w:r>
    </w:p>
    <w:p>
      <w:pPr>
        <w:spacing w:after="120" w:line="320"/>
        <w:jc w:val="both"/>
      </w:pPr>
      <w:r>
        <w:rPr>
          <w:rFonts w:ascii="Times New Roman" w:cs="Times New Roman" w:eastAsia="Times New Roman" w:hAnsi="Times New Roman"/>
          <w:sz w:val="22"/>
          <w:szCs w:val="22"/>
        </w:rPr>
        <w:t xml:space="preserve">Software versions: Python 3.12; NumPy 1.26; SciPy 1.13; pandas 2.2; matplotlib 3.10; statsmodels 0.14. Operating system: Ubuntu 24.04.</w:t>
      </w:r>
    </w:p>
    <w:p>
      <w:pPr>
        <w:spacing w:after="120" w:line="320"/>
        <w:jc w:val="both"/>
      </w:pPr>
      <w:r>
        <w:rPr>
          <w:rFonts w:ascii="Times New Roman" w:cs="Times New Roman" w:eastAsia="Times New Roman" w:hAnsi="Times New Roman"/>
          <w:sz w:val="22"/>
          <w:szCs w:val="22"/>
        </w:rPr>
        <w:t xml:space="preserve">To reproduce the meta-analysis from scratch: (1) install the dependencies above; (2) place sarcopenia_meta_data.xlsx in the working directory; (3) execute python run_meta.py — output appears as results.json and console summary; (4) execute python make_figures.py to regenerate figures.</w:t>
      </w:r>
    </w:p>
    <w:p>
      <w:pPr>
        <w:spacing w:after="120" w:line="320"/>
        <w:jc w:val="both"/>
      </w:pPr>
      <w:r>
        <w:rPr>
          <w:rFonts w:ascii="Times New Roman" w:cs="Times New Roman" w:eastAsia="Times New Roman" w:hAnsi="Times New Roman"/>
          <w:sz w:val="22"/>
          <w:szCs w:val="22"/>
        </w:rPr>
        <w:t xml:space="preserve">Code and data will be deposited on a public repository (Zenodo or OSF) upon manuscript acceptance, with a permanent DOI assigned for citation. Inter-rater reliability data (κ coefficients per screening stage) are available upon request from the corresponding author.</w:t>
      </w:r>
    </w:p>
    <w:p>
      <w:pPr>
        <w:pStyle w:val="Heading1"/>
        <w:spacing w:after="200" w:before="300"/>
      </w:pPr>
      <w:r>
        <w:rPr>
          <w:rFonts w:ascii="Times New Roman" w:cs="Times New Roman" w:eastAsia="Times New Roman" w:hAnsi="Times New Roman"/>
          <w:b/>
          <w:bCs/>
          <w:sz w:val="28"/>
          <w:szCs w:val="28"/>
        </w:rPr>
        <w:t xml:space="preserve">Supplementary Figures</w:t>
      </w:r>
    </w:p>
    <w:p>
      <w:pPr>
        <w:spacing w:after="120" w:line="320"/>
        <w:jc w:val="both"/>
      </w:pPr>
      <w:r>
        <w:rPr>
          <w:rFonts w:ascii="Times New Roman" w:cs="Times New Roman" w:eastAsia="Times New Roman" w:hAnsi="Times New Roman"/>
          <w:sz w:val="22"/>
          <w:szCs w:val="22"/>
        </w:rPr>
        <w:t xml:space="preserve">Figure S1. Funnel plots for assessment of publication bias and small-study effects. Top row (Panels A–C): Freeman–Tukey transformed prevalence estimates plotted against standard error for EWGSOP2, AWGS2, and SDOC respectively. Bottom row (Panels D–F): log hazard ratios for all-cause mortality plotted against standard error for the three criteria. Open circles represent individual studies; dotted lines depict the pseudo-95% confidence-interval funnel; the dashed vertical line indicates the pooled estimate. The Egger asymmetry P-value is annotated in the lower right of each panel. </w:t>
      </w:r>
      <w:r>
        <w:rPr>
          <w:rFonts w:ascii="Times New Roman" w:cs="Times New Roman" w:eastAsia="Times New Roman" w:hAnsi="Times New Roman"/>
          <w:sz w:val="22"/>
          <w:szCs w:val="22"/>
        </w:rPr>
        <w:t xml:space="preserve">Asymmetry was observed for prevalence under EWGSOP2 and AWGS2 (Egger P &lt; 0.001 both) but not for SDOC prevalence (P = 0.31). Among the mortality pools, asymmetry was detected for AWGS2 (Egger P = 0.018) but not for EWGSOP2 (P = 0.95) or SDOC (P = 0.60); trim-and-fill imputed no studies for AWGS2 mortality and left the pooled estimate unchanged.</w:t>
      </w:r>
    </w:p>
    <w:p>
      <w:pPr>
        <w:spacing w:after="120" w:line="320"/>
        <w:jc w:val="both"/>
      </w:pPr>
      <w:r>
        <w:rPr>
          <w:rFonts w:ascii="Times New Roman" w:cs="Times New Roman" w:eastAsia="Times New Roman" w:hAnsi="Times New Roman"/>
          <w:sz w:val="22"/>
          <w:szCs w:val="22"/>
        </w:rPr>
        <w:t xml:space="preserve">Figure S2. Subgroup analysis of pooled sarcopenia prevalence by clinical setting (community, outpatient, hospital), stratified by diagnostic criterion. Within each criterion (EWGSOP2, AWGS2, SDOC), prevalence increased monotonically from community to hospital settings (EWGSOP2: 6.2% community → 23.7% hospital; AWGS2: 14.8% → 32.2%). Heterogeneity (I²) and number of studies (k) are listed alongside each subgroup label.</w:t>
      </w:r>
    </w:p>
    <w:p>
      <w:pPr>
        <w:spacing w:after="120" w:line="320"/>
        <w:jc w:val="both"/>
      </w:pPr>
      <w:r>
        <w:rPr>
          <w:rFonts w:ascii="Times New Roman" w:cs="Times New Roman" w:eastAsia="Times New Roman" w:hAnsi="Times New Roman"/>
          <w:sz w:val="22"/>
          <w:szCs w:val="22"/>
        </w:rPr>
        <w:t xml:space="preserve">Figure S3. Subgroup analysis of pooled all-cause mortality hazard ratios by clinical setting, stratified by diagnostic criterion. </w:t>
      </w:r>
      <w:r>
        <w:rPr>
          <w:rFonts w:ascii="Times New Roman" w:cs="Times New Roman" w:eastAsia="Times New Roman" w:hAnsi="Times New Roman"/>
          <w:sz w:val="22"/>
          <w:szCs w:val="22"/>
        </w:rPr>
        <w:t xml:space="preserve">The relative ordering of the pooled mortality hazard ratios (SDOC &gt; AWGS2 &gt; EWGSOP2 in community cohorts)</w:t>
      </w:r>
      <w:r>
        <w:rPr>
          <w:rFonts w:ascii="Times New Roman" w:cs="Times New Roman" w:eastAsia="Times New Roman" w:hAnsi="Times New Roman"/>
          <w:sz w:val="22"/>
          <w:szCs w:val="22"/>
        </w:rPr>
        <w:t xml:space="preserve"> was preserved across hospital and outpatient subgroups. Pooled HR estimates with 95% CIs are shown on a logarithmic axis.</w:t>
      </w:r>
    </w:p>
    <w:sectPr>
      <w:headerReference w:type="default" r:id="rId7"/>
      <w:footerReference w:type="default" r:id="rId8"/>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color w:val="808080"/>
        <w:sz w:val="18"/>
        <w:szCs w:val="18"/>
      </w:rPr>
      <w:t xml:space="preserve">Supplementary Materials — Sarcopenia diagnostic criteria meta-analysis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20" w:before="360"/>
      <w:outlineLvl w:val="0"/>
    </w:pPr>
    <w:rPr>
      <w:rFonts w:ascii="Times New Roman" w:cs="Times New Roman" w:eastAsia="Times New Roman" w:hAnsi="Times New Roman"/>
      <w:b/>
      <w:bCs/>
      <w:color w:val="1F4E78"/>
      <w:sz w:val="30"/>
      <w:szCs w:val="30"/>
    </w:rPr>
  </w:style>
  <w:style w:type="paragraph" w:styleId="Heading2">
    <w:name w:val="Heading 2"/>
    <w:basedOn w:val="Normal"/>
    <w:next w:val="Normal"/>
    <w:qFormat/>
    <w:pPr>
      <w:spacing w:after="180" w:before="280"/>
      <w:outlineLvl w:val="1"/>
    </w:pPr>
    <w:rPr>
      <w:rFonts w:ascii="Times New Roman" w:cs="Times New Roman" w:eastAsia="Times New Roman" w:hAnsi="Times New Roman"/>
      <w:b/>
      <w:bCs/>
      <w:color w:val="2E75B6"/>
      <w:sz w:val="26"/>
      <w:szCs w:val="26"/>
    </w:rPr>
  </w:style>
  <w:style w:type="paragraph" w:styleId="Heading3">
    <w:name w:val="Heading 3"/>
    <w:basedOn w:val="Normal"/>
    <w:next w:val="Normal"/>
    <w:qFormat/>
    <w:pPr>
      <w:spacing w:after="140" w:before="220"/>
      <w:outlineLvl w:val="2"/>
    </w:pPr>
    <w:rPr>
      <w:rFonts w:ascii="Times New Roman" w:cs="Times New Roman" w:eastAsia="Times New Roman" w:hAnsi="Times New Roman"/>
      <w:b/>
      <w:bCs/>
      <w:i/>
      <w:iCs/>
      <w:color w:val="2E75B6"/>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Sarcopenia Meta-Analysis — Supplementary Materials</dc:title>
  <dc:creator>Sarcopenia Meta-Analysis Project</dc:creator>
  <dc:description>Supplementary tables, search strategies, risk-of-bias, and code summary</dc:description>
  <cp:lastModifiedBy>Un-named</cp:lastModifiedBy>
  <cp:revision>1</cp:revision>
  <dcterms:created xsi:type="dcterms:W3CDTF">2026-05-19T13:16:26.679Z</dcterms:created>
  <dcterms:modified xsi:type="dcterms:W3CDTF">2026-05-19T13:16:26.679Z</dcterms:modified>
</cp:coreProperties>
</file>

<file path=docProps/custom.xml><?xml version="1.0" encoding="utf-8"?>
<Properties xmlns="http://schemas.openxmlformats.org/officeDocument/2006/custom-properties" xmlns:vt="http://schemas.openxmlformats.org/officeDocument/2006/docPropsVTypes"/>
</file>