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CCFB" w14:textId="77777777" w:rsidR="00070A18" w:rsidRPr="00675323" w:rsidRDefault="00070A18" w:rsidP="00675323">
      <w:pPr>
        <w:spacing w:line="480" w:lineRule="auto"/>
        <w:rPr>
          <w:rFonts w:ascii="Times New Roman" w:hAnsi="Times New Roman" w:cs="Times New Roman"/>
          <w:b/>
          <w:bCs/>
          <w:sz w:val="32"/>
          <w:szCs w:val="32"/>
        </w:rPr>
      </w:pPr>
      <w:bookmarkStart w:id="0" w:name="OLE_LINK1"/>
      <w:bookmarkStart w:id="1" w:name="OLE_LINK6"/>
      <w:r w:rsidRPr="00675323">
        <w:rPr>
          <w:rFonts w:ascii="Times New Roman" w:hAnsi="Times New Roman" w:cs="Times New Roman"/>
          <w:b/>
          <w:bCs/>
          <w:sz w:val="32"/>
          <w:szCs w:val="32"/>
        </w:rPr>
        <w:t xml:space="preserve">A Multimodal Deep Learning Model for Classifying Early- versus Late-Stage Osteonecrosis of the Femoral Head on </w:t>
      </w:r>
      <w:proofErr w:type="spellStart"/>
      <w:r w:rsidRPr="00675323">
        <w:rPr>
          <w:rFonts w:ascii="Times New Roman" w:hAnsi="Times New Roman" w:cs="Times New Roman"/>
          <w:b/>
          <w:bCs/>
          <w:sz w:val="32"/>
          <w:szCs w:val="32"/>
        </w:rPr>
        <w:t>Biparametric</w:t>
      </w:r>
      <w:proofErr w:type="spellEnd"/>
      <w:r w:rsidRPr="00675323">
        <w:rPr>
          <w:rFonts w:ascii="Times New Roman" w:hAnsi="Times New Roman" w:cs="Times New Roman"/>
          <w:b/>
          <w:bCs/>
          <w:sz w:val="32"/>
          <w:szCs w:val="32"/>
        </w:rPr>
        <w:t xml:space="preserve"> MRI</w:t>
      </w:r>
    </w:p>
    <w:bookmarkEnd w:id="1"/>
    <w:p w14:paraId="6DC382BF" w14:textId="33F6553A" w:rsidR="00811DF4" w:rsidRPr="00675323" w:rsidRDefault="00070A18"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 xml:space="preserve">Supplement </w:t>
      </w:r>
      <w:r w:rsidR="00811DF4" w:rsidRPr="00675323">
        <w:rPr>
          <w:rFonts w:ascii="Times New Roman" w:hAnsi="Times New Roman" w:cs="Times New Roman"/>
          <w:b/>
          <w:bCs/>
          <w:sz w:val="24"/>
        </w:rPr>
        <w:t>Materials and Methods</w:t>
      </w:r>
      <w:r w:rsidRPr="00675323">
        <w:rPr>
          <w:rFonts w:ascii="Times New Roman" w:hAnsi="Times New Roman" w:cs="Times New Roman"/>
          <w:b/>
          <w:bCs/>
          <w:sz w:val="24"/>
        </w:rPr>
        <w:t>:</w:t>
      </w:r>
    </w:p>
    <w:p w14:paraId="007BC6C9" w14:textId="45958A3A" w:rsidR="00811DF4" w:rsidRPr="00675323" w:rsidRDefault="00136104" w:rsidP="00675323">
      <w:pPr>
        <w:spacing w:line="480" w:lineRule="auto"/>
        <w:rPr>
          <w:rFonts w:ascii="Times New Roman" w:hAnsi="Times New Roman" w:cs="Times New Roman"/>
          <w:b/>
          <w:bCs/>
          <w:sz w:val="24"/>
        </w:rPr>
      </w:pPr>
      <w:bookmarkStart w:id="2" w:name="OLE_LINK2"/>
      <w:r w:rsidRPr="00675323">
        <w:rPr>
          <w:rFonts w:ascii="Times New Roman" w:hAnsi="Times New Roman" w:cs="Times New Roman"/>
          <w:b/>
          <w:bCs/>
          <w:sz w:val="24"/>
        </w:rPr>
        <w:t>S1</w:t>
      </w:r>
      <w:r w:rsidR="00811DF4" w:rsidRPr="00675323">
        <w:rPr>
          <w:rFonts w:ascii="Times New Roman" w:hAnsi="Times New Roman" w:cs="Times New Roman"/>
          <w:b/>
          <w:bCs/>
          <w:sz w:val="24"/>
        </w:rPr>
        <w:t>. Study Population</w:t>
      </w:r>
    </w:p>
    <w:p w14:paraId="15F53CBF" w14:textId="77777777" w:rsidR="00811DF4" w:rsidRPr="00675323" w:rsidRDefault="00811DF4" w:rsidP="00675323">
      <w:pPr>
        <w:spacing w:line="480" w:lineRule="auto"/>
        <w:rPr>
          <w:rFonts w:ascii="Times New Roman" w:hAnsi="Times New Roman" w:cs="Times New Roman"/>
          <w:sz w:val="24"/>
        </w:rPr>
      </w:pPr>
      <w:r w:rsidRPr="00675323">
        <w:rPr>
          <w:rFonts w:ascii="Times New Roman" w:hAnsi="Times New Roman" w:cs="Times New Roman"/>
          <w:sz w:val="24"/>
        </w:rPr>
        <w:t>This was a single</w:t>
      </w:r>
      <w:r w:rsidRPr="00675323">
        <w:rPr>
          <w:rFonts w:ascii="Times New Roman" w:hAnsi="Times New Roman" w:cs="Times New Roman"/>
          <w:sz w:val="24"/>
        </w:rPr>
        <w:noBreakHyphen/>
        <w:t>center retrospective study that consecutively enrolled patients diagnosed with osteonecrosis of the femoral head (ONFH) at the Third Affiliated Hospital of Guangzhou University of Chinese Medicine between January 2018 and December 2023. Clinical and imaging data were collected for all patients. The inclusion criteria were as follows: (1) a definitive diagnosis of ONFH based on clinical manifestations and imaging examinations; (2) complete dual</w:t>
      </w:r>
      <w:r w:rsidRPr="00675323">
        <w:rPr>
          <w:rFonts w:ascii="Times New Roman" w:hAnsi="Times New Roman" w:cs="Times New Roman"/>
          <w:sz w:val="24"/>
        </w:rPr>
        <w:noBreakHyphen/>
        <w:t>sequence MRI data, including coronal short tau inversion recovery (STIR) and T1</w:t>
      </w:r>
      <w:r w:rsidRPr="00675323">
        <w:rPr>
          <w:rFonts w:ascii="Times New Roman" w:hAnsi="Times New Roman" w:cs="Times New Roman"/>
          <w:sz w:val="24"/>
        </w:rPr>
        <w:noBreakHyphen/>
        <w:t>weighted fast spin</w:t>
      </w:r>
      <w:r w:rsidRPr="00675323">
        <w:rPr>
          <w:rFonts w:ascii="Times New Roman" w:hAnsi="Times New Roman" w:cs="Times New Roman"/>
          <w:sz w:val="24"/>
        </w:rPr>
        <w:noBreakHyphen/>
        <w:t>echo (T1</w:t>
      </w:r>
      <w:r w:rsidRPr="00675323">
        <w:rPr>
          <w:rFonts w:ascii="Times New Roman" w:hAnsi="Times New Roman" w:cs="Times New Roman"/>
          <w:sz w:val="24"/>
        </w:rPr>
        <w:noBreakHyphen/>
        <w:t xml:space="preserve">FSE) sequences; and (3) comprehensive clinical records covering key variables such as etiology, sex, and age. Etiological classification was independently reviewed and determined by two investigators based on detailed medical history, medication records, and laboratory findings, and was categorized into the following five types: (1) Corticosteroid use: a clear history of systemic corticosteroid administration with a cumulative dose equivalent to prednisone ≥2000 mg (or equivalent doses of methylprednisolone, dexamethasone, etc.); (2) Alcohol abuse: average daily pure alcohol intake ≥80 g for a duration ≥5 years; (3) Hip trauma: a history of femoral neck fracture, hip dislocation, or severe hip injury with a clear </w:t>
      </w:r>
      <w:r w:rsidRPr="00675323">
        <w:rPr>
          <w:rFonts w:ascii="Times New Roman" w:hAnsi="Times New Roman" w:cs="Times New Roman"/>
          <w:sz w:val="24"/>
        </w:rPr>
        <w:lastRenderedPageBreak/>
        <w:t>temporal causal relationship to ONFH onset, and without the aforementioned two factors; (4) Combined multifactorial risk: coexistence of two or more of the above high</w:t>
      </w:r>
      <w:r w:rsidRPr="00675323">
        <w:rPr>
          <w:rFonts w:ascii="Times New Roman" w:hAnsi="Times New Roman" w:cs="Times New Roman"/>
          <w:sz w:val="24"/>
        </w:rPr>
        <w:noBreakHyphen/>
        <w:t>risk factors, or presence of other definite additive risk factors (e.g., long</w:t>
      </w:r>
      <w:r w:rsidRPr="00675323">
        <w:rPr>
          <w:rFonts w:ascii="Times New Roman" w:hAnsi="Times New Roman" w:cs="Times New Roman"/>
          <w:sz w:val="24"/>
        </w:rPr>
        <w:noBreakHyphen/>
        <w:t>term smoking combined with heavy alcohol consumption, gout combined with corticosteroid use, etc.); (5) No identified risk factor: no definite high</w:t>
      </w:r>
      <w:r w:rsidRPr="00675323">
        <w:rPr>
          <w:rFonts w:ascii="Times New Roman" w:hAnsi="Times New Roman" w:cs="Times New Roman"/>
          <w:sz w:val="24"/>
        </w:rPr>
        <w:noBreakHyphen/>
        <w:t>risk factor identified after detailed history inquiry and systematic laboratory work</w:t>
      </w:r>
      <w:r w:rsidRPr="00675323">
        <w:rPr>
          <w:rFonts w:ascii="Times New Roman" w:hAnsi="Times New Roman" w:cs="Times New Roman"/>
          <w:sz w:val="24"/>
        </w:rPr>
        <w:noBreakHyphen/>
        <w:t>up (including coagulation function, autoimmune antibodies, etc.). The exclusion criteria were: (1) concomitant hip joint infection, tumor, traumatic fracture, or other hip diseases that might affect the morphology of the femoral head or disease assessment; (2) prior hip surgery; (3) poor MRI image quality with severe motion or metal artifacts that precluded accurate evaluation of the femoral head region; and (4) availability of only a single MRI sequence.</w:t>
      </w:r>
    </w:p>
    <w:p w14:paraId="7C281B56" w14:textId="77777777" w:rsidR="00811DF4" w:rsidRPr="00675323" w:rsidRDefault="00811DF4" w:rsidP="00675323">
      <w:pPr>
        <w:spacing w:line="480" w:lineRule="auto"/>
        <w:ind w:firstLineChars="200" w:firstLine="480"/>
        <w:rPr>
          <w:rFonts w:ascii="Times New Roman" w:hAnsi="Times New Roman" w:cs="Times New Roman"/>
          <w:sz w:val="24"/>
        </w:rPr>
      </w:pPr>
      <w:r w:rsidRPr="00675323">
        <w:rPr>
          <w:rFonts w:ascii="Times New Roman" w:hAnsi="Times New Roman" w:cs="Times New Roman"/>
          <w:sz w:val="24"/>
        </w:rPr>
        <w:t>All cases were staged according to the ARCO staging system, with independent interpretation by two experienced musculoskeletal radiologists; any disagreement was resolved through consensus. Based on clinical treatment stratification needs, the cases were further divided into an early</w:t>
      </w:r>
      <w:r w:rsidRPr="00675323">
        <w:rPr>
          <w:rFonts w:ascii="Times New Roman" w:hAnsi="Times New Roman" w:cs="Times New Roman"/>
          <w:sz w:val="24"/>
        </w:rPr>
        <w:noBreakHyphen/>
        <w:t>stage group (ARCO stages I–II, 266 hips) and a late</w:t>
      </w:r>
      <w:r w:rsidRPr="00675323">
        <w:rPr>
          <w:rFonts w:ascii="Times New Roman" w:hAnsi="Times New Roman" w:cs="Times New Roman"/>
          <w:sz w:val="24"/>
        </w:rPr>
        <w:noBreakHyphen/>
        <w:t>stage group (ARCO stages III–IV, 585 hips). To avoid data leakage, it was strictly ensured during the division that bilateral hip data from the same patient were assigned exclusively to the same data subset and were not split across the training and test sets. The training set was used for model development and parameter optimization, while the independent test set was used for final performance evaluation of the model.</w:t>
      </w:r>
    </w:p>
    <w:p w14:paraId="6F57795B" w14:textId="77777777" w:rsidR="00136104" w:rsidRPr="00675323" w:rsidRDefault="00136104" w:rsidP="00675323">
      <w:pPr>
        <w:spacing w:line="480" w:lineRule="auto"/>
        <w:ind w:firstLineChars="200" w:firstLine="480"/>
        <w:jc w:val="both"/>
        <w:rPr>
          <w:rFonts w:ascii="Times New Roman" w:hAnsi="Times New Roman" w:cs="Times New Roman"/>
          <w:color w:val="000000" w:themeColor="text1"/>
          <w:sz w:val="24"/>
        </w:rPr>
      </w:pPr>
      <w:r w:rsidRPr="00675323">
        <w:rPr>
          <w:rFonts w:ascii="Times New Roman" w:hAnsi="Times New Roman" w:cs="Times New Roman"/>
          <w:color w:val="000000" w:themeColor="text1"/>
          <w:sz w:val="24"/>
        </w:rPr>
        <w:lastRenderedPageBreak/>
        <w:t>The study was approved by the Institutional Review Board of the Third Affiliated Hospital of Guangzhou University of Chinese Medicine (Approval No. PJ-KY-20230919-001) and prospectively registered with the Chinese Clinical Trial Registry (ChiCTR2300075354). Given the retrospective nature of the study, the ethics committee waived the requirement for informed consent. All patient information was anonymized and de-identified, and the study was conducted in accordance.</w:t>
      </w:r>
    </w:p>
    <w:p w14:paraId="164F65F1" w14:textId="51DB18E0" w:rsidR="00811DF4" w:rsidRPr="00675323" w:rsidRDefault="00136104"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S2.</w:t>
      </w:r>
      <w:r w:rsidR="00720C67" w:rsidRPr="00675323">
        <w:rPr>
          <w:rFonts w:ascii="Times New Roman" w:hAnsi="Times New Roman" w:cs="Times New Roman"/>
          <w:b/>
          <w:bCs/>
          <w:sz w:val="24"/>
        </w:rPr>
        <w:t xml:space="preserve"> </w:t>
      </w:r>
      <w:r w:rsidR="00811DF4" w:rsidRPr="00675323">
        <w:rPr>
          <w:rFonts w:ascii="Times New Roman" w:hAnsi="Times New Roman" w:cs="Times New Roman"/>
          <w:b/>
          <w:bCs/>
          <w:sz w:val="24"/>
        </w:rPr>
        <w:t xml:space="preserve">ARCO Staging and Endpoint Definition </w:t>
      </w:r>
    </w:p>
    <w:p w14:paraId="7F068DDD" w14:textId="77777777" w:rsidR="00811DF4" w:rsidRPr="00675323" w:rsidRDefault="00811DF4" w:rsidP="00675323">
      <w:pPr>
        <w:spacing w:line="480" w:lineRule="auto"/>
        <w:rPr>
          <w:rFonts w:ascii="Times New Roman" w:hAnsi="Times New Roman" w:cs="Times New Roman"/>
          <w:sz w:val="24"/>
        </w:rPr>
      </w:pPr>
      <w:r w:rsidRPr="00675323">
        <w:rPr>
          <w:rFonts w:ascii="Times New Roman" w:hAnsi="Times New Roman" w:cs="Times New Roman"/>
          <w:sz w:val="24"/>
        </w:rPr>
        <w:t>All cases were staged independently by two radiologists with more than 10 years of experience in musculoskeletal imaging, in accordance with the 2019 revised ARCO staging system [19]. To maximize the accuracy and consistency of staging, the following quality control measures were implemented: (1) before independent reading, the two radiologists jointly reviewed and standardized the typical imaging manifestations and interpretation criteria for each ARCO stage, in order to eliminate discrepancies in the recognition of key signs (e.g., definition of the subchondral fracture line and measurement of collapse depth); (2) the interpretation for each patient was performed with reference to the complete clinical data (including symptoms, disease course, and follow‑up information) to compensate for the limitations of imaging alone; (3) in cases of disagreement between the two readers, a consensus was reached through discussion, and this consensus served as the reference standard for model training and evaluation.</w:t>
      </w:r>
    </w:p>
    <w:p w14:paraId="7B8BFD42" w14:textId="159E2A19" w:rsidR="003E23D0" w:rsidRPr="00675323" w:rsidRDefault="00811DF4" w:rsidP="00675323">
      <w:pPr>
        <w:spacing w:line="480" w:lineRule="auto"/>
        <w:ind w:firstLineChars="200" w:firstLine="480"/>
        <w:rPr>
          <w:rFonts w:ascii="Times New Roman" w:hAnsi="Times New Roman" w:cs="Times New Roman"/>
          <w:sz w:val="24"/>
        </w:rPr>
      </w:pPr>
      <w:r w:rsidRPr="00675323">
        <w:rPr>
          <w:rFonts w:ascii="Times New Roman" w:hAnsi="Times New Roman" w:cs="Times New Roman"/>
          <w:sz w:val="24"/>
        </w:rPr>
        <w:t xml:space="preserve">ARCO staging was primarily determined based on imaging findings from </w:t>
      </w:r>
      <w:r w:rsidRPr="00675323">
        <w:rPr>
          <w:rFonts w:ascii="Times New Roman" w:hAnsi="Times New Roman" w:cs="Times New Roman"/>
          <w:sz w:val="24"/>
        </w:rPr>
        <w:lastRenderedPageBreak/>
        <w:t>coronal STIR and T1‑FSE sequences. The specific criteria were as follows: stage I – MRI shows a typical abnormal signal band around the necrotic area, but without significant morphological changes of the femoral head; stage II – MRI clearly delineates the necrotic area, while the femoral head contour remains intact and smooth, with no evidence of subchondral fracture or collapse; stage III – subchondral or necrotic‑area fracture is present; stage IV – secondary osteoarthritic changes are observed. In accordance with the clinical stratification objective of this study, ARCO stages I–II were defined as the early‑stage group and ARCO stages III–IV as the late‑stage group, which served as the binary endpoint for model development and performance evaluation. It should be noted that, from the perspective of clinical treatment strategy, although ARCO stages III and IV differ in the degree of collapse on imaging, they share the common feature of definite femoral head collapse, and both are generally recommended for total hip arthroplasty (THA) in clinical practice. Therefore, the binary classification of ARCO I–II versus III–IV was adopted in this study to distinguish, from a clinical decision‑making standpoint, between the two major patient populations: those suitable for hip‑preserving procedures and those recommended for arthroplasty.</w:t>
      </w:r>
    </w:p>
    <w:p w14:paraId="17D0FF02" w14:textId="7F0CBEF4" w:rsidR="00A63BED" w:rsidRPr="00675323" w:rsidRDefault="00136104" w:rsidP="00675323">
      <w:pPr>
        <w:spacing w:line="480" w:lineRule="auto"/>
        <w:rPr>
          <w:rFonts w:ascii="Times New Roman" w:hAnsi="Times New Roman" w:cs="Times New Roman"/>
          <w:b/>
          <w:bCs/>
          <w:sz w:val="24"/>
        </w:rPr>
      </w:pPr>
      <w:bookmarkStart w:id="3" w:name="OLE_LINK3"/>
      <w:r w:rsidRPr="00675323">
        <w:rPr>
          <w:rFonts w:ascii="Times New Roman" w:hAnsi="Times New Roman" w:cs="Times New Roman"/>
          <w:b/>
          <w:bCs/>
          <w:sz w:val="24"/>
        </w:rPr>
        <w:t>S3</w:t>
      </w:r>
      <w:bookmarkEnd w:id="3"/>
      <w:r w:rsidRPr="00675323">
        <w:rPr>
          <w:rFonts w:ascii="Times New Roman" w:hAnsi="Times New Roman" w:cs="Times New Roman"/>
          <w:b/>
          <w:bCs/>
          <w:sz w:val="24"/>
        </w:rPr>
        <w:t>.</w:t>
      </w:r>
      <w:r w:rsidR="00070A18" w:rsidRPr="00675323">
        <w:rPr>
          <w:rFonts w:ascii="Times New Roman" w:hAnsi="Times New Roman" w:cs="Times New Roman"/>
          <w:b/>
          <w:bCs/>
          <w:sz w:val="24"/>
        </w:rPr>
        <w:t xml:space="preserve"> </w:t>
      </w:r>
      <w:r w:rsidR="00A63BED" w:rsidRPr="00675323">
        <w:rPr>
          <w:rFonts w:ascii="Times New Roman" w:hAnsi="Times New Roman" w:cs="Times New Roman"/>
          <w:b/>
          <w:bCs/>
          <w:sz w:val="24"/>
        </w:rPr>
        <w:t>Model</w:t>
      </w:r>
      <w:r w:rsidR="00070A18" w:rsidRPr="00675323">
        <w:rPr>
          <w:rFonts w:ascii="Times New Roman" w:hAnsi="Times New Roman" w:cs="Times New Roman"/>
          <w:b/>
          <w:bCs/>
          <w:sz w:val="24"/>
        </w:rPr>
        <w:t xml:space="preserve"> </w:t>
      </w:r>
      <w:r w:rsidR="00A63BED" w:rsidRPr="00675323">
        <w:rPr>
          <w:rFonts w:ascii="Times New Roman" w:hAnsi="Times New Roman" w:cs="Times New Roman"/>
          <w:b/>
          <w:bCs/>
          <w:sz w:val="24"/>
        </w:rPr>
        <w:t>Architecture</w:t>
      </w:r>
    </w:p>
    <w:p w14:paraId="47D3B8B5" w14:textId="77777777" w:rsidR="00A63BED" w:rsidRPr="00675323" w:rsidRDefault="00A63BED" w:rsidP="00675323">
      <w:pPr>
        <w:spacing w:line="480" w:lineRule="auto"/>
        <w:rPr>
          <w:rFonts w:ascii="Times New Roman" w:hAnsi="Times New Roman" w:cs="Times New Roman"/>
          <w:sz w:val="24"/>
        </w:rPr>
      </w:pPr>
      <w:r w:rsidRPr="00675323">
        <w:rPr>
          <w:rFonts w:ascii="Times New Roman" w:hAnsi="Times New Roman" w:cs="Times New Roman"/>
          <w:sz w:val="24"/>
        </w:rPr>
        <w:t xml:space="preserve">In this study, seven diagnostic models were constructed, covering a unimodal clinical model, unimodal imaging models, and multimodal fusion models, to systematically evaluate the contribution of each information modality to ONFH staging. The core </w:t>
      </w:r>
      <w:r w:rsidRPr="00675323">
        <w:rPr>
          <w:rFonts w:ascii="Times New Roman" w:hAnsi="Times New Roman" w:cs="Times New Roman"/>
          <w:sz w:val="24"/>
        </w:rPr>
        <w:lastRenderedPageBreak/>
        <w:t>design of the model architecture comprises three levels: (1) imaging feature extraction, using DenseNet</w:t>
      </w:r>
      <w:r w:rsidRPr="00675323">
        <w:rPr>
          <w:rFonts w:ascii="Times New Roman" w:hAnsi="Times New Roman" w:cs="Times New Roman"/>
          <w:sz w:val="24"/>
        </w:rPr>
        <w:noBreakHyphen/>
        <w:t>121 to extract deep features from single</w:t>
      </w:r>
      <w:r w:rsidRPr="00675323">
        <w:rPr>
          <w:rFonts w:ascii="Times New Roman" w:hAnsi="Times New Roman" w:cs="Times New Roman"/>
          <w:sz w:val="24"/>
        </w:rPr>
        <w:noBreakHyphen/>
        <w:t>sequence and dual</w:t>
      </w:r>
      <w:r w:rsidRPr="00675323">
        <w:rPr>
          <w:rFonts w:ascii="Times New Roman" w:hAnsi="Times New Roman" w:cs="Times New Roman"/>
          <w:sz w:val="24"/>
        </w:rPr>
        <w:noBreakHyphen/>
        <w:t>sequence MRI; (2) cross</w:t>
      </w:r>
      <w:r w:rsidRPr="00675323">
        <w:rPr>
          <w:rFonts w:ascii="Times New Roman" w:hAnsi="Times New Roman" w:cs="Times New Roman"/>
          <w:sz w:val="24"/>
        </w:rPr>
        <w:noBreakHyphen/>
        <w:t>modal imaging interaction, designing a Bidirectional Interactive Attention (BIA) module to achieve multi</w:t>
      </w:r>
      <w:r w:rsidRPr="00675323">
        <w:rPr>
          <w:rFonts w:ascii="Times New Roman" w:hAnsi="Times New Roman" w:cs="Times New Roman"/>
          <w:sz w:val="24"/>
        </w:rPr>
        <w:noBreakHyphen/>
        <w:t>level feature fusion between STIR and T1</w:t>
      </w:r>
      <w:r w:rsidRPr="00675323">
        <w:rPr>
          <w:rFonts w:ascii="Times New Roman" w:hAnsi="Times New Roman" w:cs="Times New Roman"/>
          <w:sz w:val="24"/>
        </w:rPr>
        <w:noBreakHyphen/>
        <w:t>FSE sequences; and (3) imaging</w:t>
      </w:r>
      <w:r w:rsidRPr="00675323">
        <w:rPr>
          <w:rFonts w:ascii="Times New Roman" w:hAnsi="Times New Roman" w:cs="Times New Roman"/>
          <w:sz w:val="24"/>
        </w:rPr>
        <w:noBreakHyphen/>
        <w:t>clinical fusion, integrating structured clinical variables into imaging features via a Clinical</w:t>
      </w:r>
      <w:r w:rsidRPr="00675323">
        <w:rPr>
          <w:rFonts w:ascii="Times New Roman" w:hAnsi="Times New Roman" w:cs="Times New Roman"/>
          <w:sz w:val="24"/>
        </w:rPr>
        <w:noBreakHyphen/>
        <w:t>Aware Feature Modulation (CFM) module. In addition, early</w:t>
      </w:r>
      <w:r w:rsidRPr="00675323">
        <w:rPr>
          <w:rFonts w:ascii="Times New Roman" w:hAnsi="Times New Roman" w:cs="Times New Roman"/>
          <w:sz w:val="24"/>
        </w:rPr>
        <w:noBreakHyphen/>
        <w:t>fusion and late</w:t>
      </w:r>
      <w:r w:rsidRPr="00675323">
        <w:rPr>
          <w:rFonts w:ascii="Times New Roman" w:hAnsi="Times New Roman" w:cs="Times New Roman"/>
          <w:sz w:val="24"/>
        </w:rPr>
        <w:noBreakHyphen/>
        <w:t>fusion strategies were compared in terms of their performance on the ONFH staging task.</w:t>
      </w:r>
    </w:p>
    <w:p w14:paraId="2061CE73" w14:textId="5149B5B7" w:rsidR="00A63BED" w:rsidRPr="00675323" w:rsidRDefault="00A63BED" w:rsidP="00675323">
      <w:pPr>
        <w:spacing w:line="480" w:lineRule="auto"/>
        <w:ind w:firstLineChars="200" w:firstLine="480"/>
        <w:rPr>
          <w:rFonts w:ascii="Times New Roman" w:hAnsi="Times New Roman" w:cs="Times New Roman"/>
          <w:sz w:val="24"/>
        </w:rPr>
      </w:pPr>
      <w:r w:rsidRPr="00675323">
        <w:rPr>
          <w:rFonts w:ascii="Times New Roman" w:hAnsi="Times New Roman" w:cs="Times New Roman"/>
          <w:sz w:val="24"/>
        </w:rPr>
        <w:t>All imaging models took coronal MRI images as input. For each hip, three consecutive coronal slices covering the cente</w:t>
      </w:r>
      <w:r w:rsidR="001E6835">
        <w:rPr>
          <w:rFonts w:ascii="Times New Roman" w:hAnsi="Times New Roman" w:cs="Times New Roman" w:hint="eastAsia"/>
          <w:sz w:val="24"/>
        </w:rPr>
        <w:t>r</w:t>
      </w:r>
      <w:r w:rsidRPr="00675323">
        <w:rPr>
          <w:rFonts w:ascii="Times New Roman" w:hAnsi="Times New Roman" w:cs="Times New Roman"/>
          <w:sz w:val="24"/>
        </w:rPr>
        <w:t xml:space="preserve"> of the femoral head were selected, resized to 224×224 pixels, and averaged pixel</w:t>
      </w:r>
      <w:r w:rsidRPr="00675323">
        <w:rPr>
          <w:rFonts w:ascii="Times New Roman" w:hAnsi="Times New Roman" w:cs="Times New Roman"/>
          <w:sz w:val="24"/>
        </w:rPr>
        <w:noBreakHyphen/>
        <w:t>wise to form the final sample, thereby balancing three</w:t>
      </w:r>
      <w:r w:rsidRPr="00675323">
        <w:rPr>
          <w:rFonts w:ascii="Times New Roman" w:hAnsi="Times New Roman" w:cs="Times New Roman"/>
          <w:sz w:val="24"/>
        </w:rPr>
        <w:noBreakHyphen/>
        <w:t xml:space="preserve">dimensional spatial information with computational efficiency. Model development was implemented with </w:t>
      </w:r>
      <w:proofErr w:type="spellStart"/>
      <w:r w:rsidRPr="00675323">
        <w:rPr>
          <w:rFonts w:ascii="Times New Roman" w:hAnsi="Times New Roman" w:cs="Times New Roman"/>
          <w:sz w:val="24"/>
        </w:rPr>
        <w:t>PyTorch</w:t>
      </w:r>
      <w:proofErr w:type="spellEnd"/>
      <w:r w:rsidRPr="00675323">
        <w:rPr>
          <w:rFonts w:ascii="Times New Roman" w:hAnsi="Times New Roman" w:cs="Times New Roman"/>
          <w:sz w:val="24"/>
        </w:rPr>
        <w:t xml:space="preserve"> (v1.9.0) and conducted on an NVIDIA RTX 4090 GPU (24 GB memory) for both training and inference.</w:t>
      </w:r>
    </w:p>
    <w:p w14:paraId="6339CB52" w14:textId="688B7BC4" w:rsidR="00A63BED" w:rsidRPr="00675323" w:rsidRDefault="00136104"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S3</w:t>
      </w:r>
      <w:r w:rsidR="00A63BED" w:rsidRPr="00675323">
        <w:rPr>
          <w:rFonts w:ascii="Times New Roman" w:hAnsi="Times New Roman" w:cs="Times New Roman"/>
          <w:b/>
          <w:bCs/>
          <w:sz w:val="24"/>
        </w:rPr>
        <w:t>.1 Unimodal Baseline Models</w:t>
      </w:r>
    </w:p>
    <w:p w14:paraId="3B39F5CF" w14:textId="60951B6B" w:rsidR="00A63BED" w:rsidRPr="001E6835" w:rsidRDefault="00A63BED" w:rsidP="001E6835">
      <w:pPr>
        <w:pStyle w:val="a9"/>
        <w:numPr>
          <w:ilvl w:val="0"/>
          <w:numId w:val="2"/>
        </w:numPr>
        <w:spacing w:line="480" w:lineRule="auto"/>
        <w:rPr>
          <w:rFonts w:ascii="Times New Roman" w:hAnsi="Times New Roman" w:cs="Times New Roman"/>
          <w:sz w:val="24"/>
        </w:rPr>
      </w:pPr>
      <w:r w:rsidRPr="001E6835">
        <w:rPr>
          <w:rFonts w:ascii="Times New Roman" w:hAnsi="Times New Roman" w:cs="Times New Roman"/>
          <w:sz w:val="24"/>
        </w:rPr>
        <w:t xml:space="preserve">Clinical model: This model used only structured clinical features as input, including age (continuous variable, </w:t>
      </w:r>
      <w:r w:rsidR="001E6835">
        <w:rPr>
          <w:rFonts w:ascii="Times New Roman" w:hAnsi="Times New Roman" w:cs="Times New Roman"/>
          <w:sz w:val="24"/>
        </w:rPr>
        <w:t>normaliz</w:t>
      </w:r>
      <w:r w:rsidRPr="001E6835">
        <w:rPr>
          <w:rFonts w:ascii="Times New Roman" w:hAnsi="Times New Roman" w:cs="Times New Roman"/>
          <w:sz w:val="24"/>
        </w:rPr>
        <w:t>ed by Z</w:t>
      </w:r>
      <w:r w:rsidRPr="001E6835">
        <w:rPr>
          <w:rFonts w:ascii="Times New Roman" w:hAnsi="Times New Roman" w:cs="Times New Roman"/>
          <w:sz w:val="24"/>
        </w:rPr>
        <w:noBreakHyphen/>
        <w:t>score), sex (binary, one</w:t>
      </w:r>
      <w:r w:rsidRPr="001E6835">
        <w:rPr>
          <w:rFonts w:ascii="Times New Roman" w:hAnsi="Times New Roman" w:cs="Times New Roman"/>
          <w:sz w:val="24"/>
        </w:rPr>
        <w:noBreakHyphen/>
        <w:t>hot encoded), affected side (three categories, one</w:t>
      </w:r>
      <w:r w:rsidRPr="001E6835">
        <w:rPr>
          <w:rFonts w:ascii="Times New Roman" w:hAnsi="Times New Roman" w:cs="Times New Roman"/>
          <w:sz w:val="24"/>
        </w:rPr>
        <w:noBreakHyphen/>
        <w:t>hot encoded), and etiology (five categories, one</w:t>
      </w:r>
      <w:r w:rsidRPr="001E6835">
        <w:rPr>
          <w:rFonts w:ascii="Times New Roman" w:hAnsi="Times New Roman" w:cs="Times New Roman"/>
          <w:sz w:val="24"/>
        </w:rPr>
        <w:noBreakHyphen/>
        <w:t xml:space="preserve">hot encoded), concatenated into </w:t>
      </w:r>
      <w:proofErr w:type="gramStart"/>
      <w:r w:rsidRPr="001E6835">
        <w:rPr>
          <w:rFonts w:ascii="Times New Roman" w:hAnsi="Times New Roman" w:cs="Times New Roman"/>
          <w:sz w:val="24"/>
        </w:rPr>
        <w:t>a</w:t>
      </w:r>
      <w:proofErr w:type="gramEnd"/>
      <w:r w:rsidRPr="001E6835">
        <w:rPr>
          <w:rFonts w:ascii="Times New Roman" w:hAnsi="Times New Roman" w:cs="Times New Roman"/>
          <w:sz w:val="24"/>
        </w:rPr>
        <w:t xml:space="preserve"> 1</w:t>
      </w:r>
      <w:r w:rsidR="006545E0" w:rsidRPr="001E6835">
        <w:rPr>
          <w:rFonts w:ascii="Times New Roman" w:hAnsi="Times New Roman" w:cs="Times New Roman"/>
          <w:sz w:val="24"/>
        </w:rPr>
        <w:t>1</w:t>
      </w:r>
      <w:r w:rsidRPr="001E6835">
        <w:rPr>
          <w:rFonts w:ascii="Times New Roman" w:hAnsi="Times New Roman" w:cs="Times New Roman"/>
          <w:sz w:val="24"/>
        </w:rPr>
        <w:noBreakHyphen/>
        <w:t xml:space="preserve">dimensional vector. The vector was mapped through a multilayer perceptron (MLP) to output a binary classification result, serving as a baseline to evaluate the independent </w:t>
      </w:r>
      <w:r w:rsidRPr="001E6835">
        <w:rPr>
          <w:rFonts w:ascii="Times New Roman" w:hAnsi="Times New Roman" w:cs="Times New Roman"/>
          <w:sz w:val="24"/>
        </w:rPr>
        <w:lastRenderedPageBreak/>
        <w:t>discriminative ability of clinical parameters.</w:t>
      </w:r>
    </w:p>
    <w:p w14:paraId="3997EB0E" w14:textId="3AF7EDF6" w:rsidR="00A63BED" w:rsidRPr="00675323" w:rsidRDefault="00A63BED" w:rsidP="00675323">
      <w:pPr>
        <w:spacing w:line="480" w:lineRule="auto"/>
        <w:rPr>
          <w:rFonts w:ascii="Times New Roman" w:hAnsi="Times New Roman" w:cs="Times New Roman"/>
          <w:sz w:val="24"/>
        </w:rPr>
      </w:pPr>
      <w:r w:rsidRPr="00675323">
        <w:rPr>
          <w:rFonts w:ascii="Times New Roman" w:hAnsi="Times New Roman" w:cs="Times New Roman"/>
          <w:sz w:val="24"/>
        </w:rPr>
        <w:t>(2) Single</w:t>
      </w:r>
      <w:r w:rsidRPr="00675323">
        <w:rPr>
          <w:rFonts w:ascii="Times New Roman" w:hAnsi="Times New Roman" w:cs="Times New Roman"/>
          <w:sz w:val="24"/>
        </w:rPr>
        <w:noBreakHyphen/>
        <w:t>sequence imaging models (STIR model, T1</w:t>
      </w:r>
      <w:r w:rsidRPr="00675323">
        <w:rPr>
          <w:rFonts w:ascii="Times New Roman" w:hAnsi="Times New Roman" w:cs="Times New Roman"/>
          <w:sz w:val="24"/>
        </w:rPr>
        <w:noBreakHyphen/>
        <w:t>FSE model): These models took a single MRI sequence as input and employed a DenseNet</w:t>
      </w:r>
      <w:r w:rsidRPr="00675323">
        <w:rPr>
          <w:rFonts w:ascii="Times New Roman" w:hAnsi="Times New Roman" w:cs="Times New Roman"/>
          <w:sz w:val="24"/>
        </w:rPr>
        <w:noBreakHyphen/>
        <w:t>121 backbone pre</w:t>
      </w:r>
      <w:r w:rsidRPr="00675323">
        <w:rPr>
          <w:rFonts w:ascii="Times New Roman" w:hAnsi="Times New Roman" w:cs="Times New Roman"/>
          <w:sz w:val="24"/>
        </w:rPr>
        <w:noBreakHyphen/>
        <w:t>trained on ImageNet</w:t>
      </w:r>
      <w:r w:rsidRPr="00675323">
        <w:rPr>
          <w:rFonts w:ascii="Times New Roman" w:hAnsi="Times New Roman" w:cs="Times New Roman"/>
          <w:sz w:val="24"/>
        </w:rPr>
        <w:noBreakHyphen/>
        <w:t>1K for feature extraction. The DenseNet</w:t>
      </w:r>
      <w:r w:rsidRPr="00675323">
        <w:rPr>
          <w:rFonts w:ascii="Times New Roman" w:hAnsi="Times New Roman" w:cs="Times New Roman"/>
          <w:sz w:val="24"/>
        </w:rPr>
        <w:noBreakHyphen/>
        <w:t>121 architecture was used with its original layer configuration, consisting of 121 convolutional layers organi</w:t>
      </w:r>
      <w:r w:rsidR="001E6835">
        <w:rPr>
          <w:rFonts w:ascii="Times New Roman" w:hAnsi="Times New Roman" w:cs="Times New Roman" w:hint="eastAsia"/>
          <w:sz w:val="24"/>
        </w:rPr>
        <w:t>z</w:t>
      </w:r>
      <w:r w:rsidRPr="00675323">
        <w:rPr>
          <w:rFonts w:ascii="Times New Roman" w:hAnsi="Times New Roman" w:cs="Times New Roman"/>
          <w:sz w:val="24"/>
        </w:rPr>
        <w:t>ed into four dense blocks, with dense connections enabling feature reuse and mitigating vanishing gradients. The input image was passed through the backbone to produce imaging feature vectors, which were then fed into a fully connected layer for binary classification. These models were used to assess the diagnostic value of each sequence individually.</w:t>
      </w:r>
    </w:p>
    <w:p w14:paraId="14213E4C" w14:textId="129AFAC2" w:rsidR="00A63BED" w:rsidRPr="00675323" w:rsidRDefault="00136104"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S3</w:t>
      </w:r>
      <w:r w:rsidR="00A63BED" w:rsidRPr="00675323">
        <w:rPr>
          <w:rFonts w:ascii="Times New Roman" w:hAnsi="Times New Roman" w:cs="Times New Roman"/>
          <w:b/>
          <w:bCs/>
          <w:sz w:val="24"/>
        </w:rPr>
        <w:t xml:space="preserve">.2 </w:t>
      </w:r>
      <w:proofErr w:type="spellStart"/>
      <w:r w:rsidR="00A63BED" w:rsidRPr="00675323">
        <w:rPr>
          <w:rFonts w:ascii="Times New Roman" w:hAnsi="Times New Roman" w:cs="Times New Roman"/>
          <w:b/>
          <w:bCs/>
          <w:sz w:val="24"/>
        </w:rPr>
        <w:t>Biparametric</w:t>
      </w:r>
      <w:proofErr w:type="spellEnd"/>
      <w:r w:rsidR="00A63BED" w:rsidRPr="00675323">
        <w:rPr>
          <w:rFonts w:ascii="Times New Roman" w:hAnsi="Times New Roman" w:cs="Times New Roman"/>
          <w:b/>
          <w:bCs/>
          <w:sz w:val="24"/>
        </w:rPr>
        <w:t xml:space="preserve"> MRI Imaging Fusion Model (</w:t>
      </w:r>
      <w:proofErr w:type="spellStart"/>
      <w:r w:rsidR="00A63BED" w:rsidRPr="00675323">
        <w:rPr>
          <w:rFonts w:ascii="Times New Roman" w:hAnsi="Times New Roman" w:cs="Times New Roman"/>
          <w:b/>
          <w:bCs/>
          <w:sz w:val="24"/>
        </w:rPr>
        <w:t>bpMRI</w:t>
      </w:r>
      <w:proofErr w:type="spellEnd"/>
      <w:r w:rsidR="00A63BED" w:rsidRPr="00675323">
        <w:rPr>
          <w:rFonts w:ascii="Times New Roman" w:hAnsi="Times New Roman" w:cs="Times New Roman"/>
          <w:b/>
          <w:bCs/>
          <w:sz w:val="24"/>
        </w:rPr>
        <w:t xml:space="preserve"> Model)</w:t>
      </w:r>
    </w:p>
    <w:p w14:paraId="5A5FA4A7" w14:textId="77777777" w:rsidR="00A63BED" w:rsidRPr="00675323" w:rsidRDefault="00A63BED" w:rsidP="00675323">
      <w:pPr>
        <w:spacing w:line="480" w:lineRule="auto"/>
        <w:rPr>
          <w:rFonts w:ascii="Times New Roman" w:hAnsi="Times New Roman" w:cs="Times New Roman"/>
          <w:sz w:val="24"/>
        </w:rPr>
      </w:pPr>
      <w:r w:rsidRPr="00675323">
        <w:rPr>
          <w:rFonts w:ascii="Times New Roman" w:hAnsi="Times New Roman" w:cs="Times New Roman"/>
          <w:sz w:val="24"/>
        </w:rPr>
        <w:t>To achieve complementary information from the STIR and T1</w:t>
      </w:r>
      <w:r w:rsidRPr="00675323">
        <w:rPr>
          <w:rFonts w:ascii="Times New Roman" w:hAnsi="Times New Roman" w:cs="Times New Roman"/>
          <w:sz w:val="24"/>
        </w:rPr>
        <w:noBreakHyphen/>
        <w:t>FSE MRI sequences, we designed a Bidirectional Interactive Attention (BIA) module to capture inter</w:t>
      </w:r>
      <w:r w:rsidRPr="00675323">
        <w:rPr>
          <w:rFonts w:ascii="Times New Roman" w:hAnsi="Times New Roman" w:cs="Times New Roman"/>
          <w:sz w:val="24"/>
        </w:rPr>
        <w:noBreakHyphen/>
        <w:t>modal dependencies at multiple feature levels and construct a comprehensive imaging representation.</w:t>
      </w:r>
    </w:p>
    <w:p w14:paraId="223C799B" w14:textId="4B445FBA" w:rsidR="00A63BED" w:rsidRPr="00675323" w:rsidRDefault="00A63BED" w:rsidP="00675323">
      <w:pPr>
        <w:spacing w:line="480" w:lineRule="auto"/>
        <w:ind w:firstLineChars="200" w:firstLine="480"/>
        <w:rPr>
          <w:rFonts w:ascii="Times New Roman" w:hAnsi="Times New Roman" w:cs="Times New Roman"/>
          <w:sz w:val="24"/>
        </w:rPr>
      </w:pPr>
      <w:r w:rsidRPr="00675323">
        <w:rPr>
          <w:rFonts w:ascii="Times New Roman" w:hAnsi="Times New Roman" w:cs="Times New Roman"/>
          <w:sz w:val="24"/>
        </w:rPr>
        <w:t>Specifically, images from the two sequences were separately fed into a shared</w:t>
      </w:r>
      <w:r w:rsidRPr="00675323">
        <w:rPr>
          <w:rFonts w:ascii="Times New Roman" w:hAnsi="Times New Roman" w:cs="Times New Roman"/>
          <w:sz w:val="24"/>
        </w:rPr>
        <w:noBreakHyphen/>
        <w:t>weight DenseNet</w:t>
      </w:r>
      <w:r w:rsidRPr="00675323">
        <w:rPr>
          <w:rFonts w:ascii="Times New Roman" w:hAnsi="Times New Roman" w:cs="Times New Roman"/>
          <w:sz w:val="24"/>
        </w:rPr>
        <w:noBreakHyphen/>
        <w:t>121 backbone to extract multi</w:t>
      </w:r>
      <w:r w:rsidRPr="00675323">
        <w:rPr>
          <w:rFonts w:ascii="Times New Roman" w:hAnsi="Times New Roman" w:cs="Times New Roman"/>
          <w:sz w:val="24"/>
        </w:rPr>
        <w:noBreakHyphen/>
        <w:t>level feature maps from each dense block. Subsequently, the BIA module performed interactive enhancement on the dual</w:t>
      </w:r>
      <w:r w:rsidRPr="00675323">
        <w:rPr>
          <w:rFonts w:ascii="Times New Roman" w:hAnsi="Times New Roman" w:cs="Times New Roman"/>
          <w:sz w:val="24"/>
        </w:rPr>
        <w:noBreakHyphen/>
        <w:t>sequence features at each level. The module comprised two embedding layers, four BIA blocks, and eight self</w:t>
      </w:r>
      <w:r w:rsidR="00C60065" w:rsidRPr="00675323">
        <w:rPr>
          <w:rFonts w:ascii="Times New Roman" w:hAnsi="Times New Roman" w:cs="Times New Roman"/>
          <w:sz w:val="24"/>
        </w:rPr>
        <w:t>-</w:t>
      </w:r>
      <w:r w:rsidRPr="00675323">
        <w:rPr>
          <w:rFonts w:ascii="Times New Roman" w:hAnsi="Times New Roman" w:cs="Times New Roman"/>
          <w:sz w:val="24"/>
        </w:rPr>
        <w:t>attention blocks (</w:t>
      </w:r>
      <w:r w:rsidR="00813555">
        <w:rPr>
          <w:rFonts w:ascii="Times New Roman" w:hAnsi="Times New Roman" w:cs="Times New Roman"/>
          <w:sz w:val="24"/>
          <w:highlight w:val="yellow"/>
        </w:rPr>
        <w:fldChar w:fldCharType="begin"/>
      </w:r>
      <w:r w:rsidR="00813555">
        <w:rPr>
          <w:rFonts w:ascii="Times New Roman" w:hAnsi="Times New Roman" w:cs="Times New Roman"/>
          <w:sz w:val="24"/>
        </w:rPr>
        <w:instrText xml:space="preserve"> REF _Ref238671181 \h </w:instrText>
      </w:r>
      <w:r w:rsidR="00813555">
        <w:rPr>
          <w:rFonts w:ascii="Times New Roman" w:hAnsi="Times New Roman" w:cs="Times New Roman"/>
          <w:sz w:val="24"/>
          <w:highlight w:val="yellow"/>
        </w:rPr>
      </w:r>
      <w:r w:rsidR="00813555">
        <w:rPr>
          <w:rFonts w:ascii="Times New Roman" w:hAnsi="Times New Roman" w:cs="Times New Roman"/>
          <w:sz w:val="24"/>
          <w:highlight w:val="yellow"/>
        </w:rPr>
        <w:fldChar w:fldCharType="separate"/>
      </w:r>
      <w:r w:rsidR="00813555" w:rsidRPr="001E6835">
        <w:rPr>
          <w:rFonts w:ascii="Times New Roman" w:hAnsi="Times New Roman" w:cs="Times New Roman"/>
          <w:b/>
          <w:bCs/>
          <w:sz w:val="24"/>
        </w:rPr>
        <w:t xml:space="preserve">Supplement figure </w:t>
      </w:r>
      <w:r w:rsidR="00813555" w:rsidRPr="001E6835">
        <w:rPr>
          <w:rFonts w:ascii="Times New Roman" w:hAnsi="Times New Roman" w:cs="Times New Roman"/>
          <w:b/>
          <w:bCs/>
          <w:noProof/>
          <w:sz w:val="24"/>
        </w:rPr>
        <w:t>1</w:t>
      </w:r>
      <w:r w:rsidR="00813555">
        <w:rPr>
          <w:rFonts w:ascii="Times New Roman" w:hAnsi="Times New Roman" w:cs="Times New Roman"/>
          <w:sz w:val="24"/>
          <w:highlight w:val="yellow"/>
        </w:rPr>
        <w:fldChar w:fldCharType="end"/>
      </w:r>
      <w:r w:rsidRPr="00675323">
        <w:rPr>
          <w:rFonts w:ascii="Times New Roman" w:hAnsi="Times New Roman" w:cs="Times New Roman"/>
          <w:sz w:val="24"/>
        </w:rPr>
        <w:t xml:space="preserve">). The embedding layers converted feature maps from different modalities into tokens; </w:t>
      </w:r>
      <w:r w:rsidRPr="00675323">
        <w:rPr>
          <w:rFonts w:ascii="Times New Roman" w:hAnsi="Times New Roman" w:cs="Times New Roman"/>
          <w:sz w:val="24"/>
        </w:rPr>
        <w:lastRenderedPageBreak/>
        <w:t>within the BIA blocks, an attention</w:t>
      </w:r>
      <w:r w:rsidRPr="00675323">
        <w:rPr>
          <w:rFonts w:ascii="Times New Roman" w:hAnsi="Times New Roman" w:cs="Times New Roman"/>
          <w:sz w:val="24"/>
        </w:rPr>
        <w:noBreakHyphen/>
        <w:t>exchange mechanism computed bidirectional attention weights between tokens across imaging modalities, explicitly modelling the potential local interconnections between STIR and T1</w:t>
      </w:r>
      <w:r w:rsidRPr="00675323">
        <w:rPr>
          <w:rFonts w:ascii="Times New Roman" w:hAnsi="Times New Roman" w:cs="Times New Roman"/>
          <w:sz w:val="24"/>
        </w:rPr>
        <w:noBreakHyphen/>
        <w:t>FSE and generating jointly enhanced multimodal imaging representations. These enhanced representations were then passed through eight self</w:t>
      </w:r>
      <w:r w:rsidRPr="00675323">
        <w:rPr>
          <w:rFonts w:ascii="Times New Roman" w:hAnsi="Times New Roman" w:cs="Times New Roman"/>
          <w:sz w:val="24"/>
        </w:rPr>
        <w:noBreakHyphen/>
        <w:t>attention blocks for global context learning, outputting a comprehensive dual</w:t>
      </w:r>
      <w:r w:rsidRPr="00675323">
        <w:rPr>
          <w:rFonts w:ascii="Times New Roman" w:hAnsi="Times New Roman" w:cs="Times New Roman"/>
          <w:sz w:val="24"/>
        </w:rPr>
        <w:noBreakHyphen/>
        <w:t xml:space="preserve">sequence imaging feature vector, which was subsequently classified by the classifier to obtain the </w:t>
      </w:r>
      <w:proofErr w:type="spellStart"/>
      <w:r w:rsidRPr="00675323">
        <w:rPr>
          <w:rFonts w:ascii="Times New Roman" w:hAnsi="Times New Roman" w:cs="Times New Roman"/>
          <w:sz w:val="24"/>
        </w:rPr>
        <w:t>bpMRI</w:t>
      </w:r>
      <w:proofErr w:type="spellEnd"/>
      <w:r w:rsidRPr="00675323">
        <w:rPr>
          <w:rFonts w:ascii="Times New Roman" w:hAnsi="Times New Roman" w:cs="Times New Roman"/>
          <w:sz w:val="24"/>
        </w:rPr>
        <w:t xml:space="preserve"> model’s diagnostic result. This design allowed the model to exchange and enhance information between the two sequences at multiple feature levels, matching the oedema</w:t>
      </w:r>
      <w:r w:rsidRPr="00675323">
        <w:rPr>
          <w:rFonts w:ascii="Times New Roman" w:hAnsi="Times New Roman" w:cs="Times New Roman"/>
          <w:sz w:val="24"/>
        </w:rPr>
        <w:noBreakHyphen/>
        <w:t>activity information (STIR advantage) with structural</w:t>
      </w:r>
      <w:r w:rsidRPr="00675323">
        <w:rPr>
          <w:rFonts w:ascii="Times New Roman" w:hAnsi="Times New Roman" w:cs="Times New Roman"/>
          <w:sz w:val="24"/>
        </w:rPr>
        <w:noBreakHyphen/>
        <w:t>change information (T1</w:t>
      </w:r>
      <w:r w:rsidRPr="00675323">
        <w:rPr>
          <w:rFonts w:ascii="Times New Roman" w:hAnsi="Times New Roman" w:cs="Times New Roman"/>
          <w:sz w:val="24"/>
        </w:rPr>
        <w:noBreakHyphen/>
        <w:t>FSE advantage), mirroring the radiologist’s logic when interpreting both sequences together.</w:t>
      </w:r>
    </w:p>
    <w:p w14:paraId="0511E81C" w14:textId="38524385" w:rsidR="00A63BED" w:rsidRPr="00675323" w:rsidRDefault="00136104"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S3</w:t>
      </w:r>
      <w:r w:rsidR="00A63BED" w:rsidRPr="00675323">
        <w:rPr>
          <w:rFonts w:ascii="Times New Roman" w:hAnsi="Times New Roman" w:cs="Times New Roman"/>
          <w:b/>
          <w:bCs/>
          <w:sz w:val="24"/>
        </w:rPr>
        <w:t>.3 Imaging</w:t>
      </w:r>
      <w:r w:rsidR="00A63BED" w:rsidRPr="00675323">
        <w:rPr>
          <w:rFonts w:ascii="Times New Roman" w:hAnsi="Times New Roman" w:cs="Times New Roman"/>
          <w:b/>
          <w:bCs/>
          <w:sz w:val="24"/>
        </w:rPr>
        <w:noBreakHyphen/>
        <w:t>Clinical Multimodal Fusion Models (STIR</w:t>
      </w:r>
      <w:r w:rsidR="00A63BED" w:rsidRPr="00675323">
        <w:rPr>
          <w:rFonts w:ascii="Times New Roman" w:hAnsi="Times New Roman" w:cs="Times New Roman"/>
          <w:b/>
          <w:bCs/>
          <w:sz w:val="24"/>
        </w:rPr>
        <w:noBreakHyphen/>
        <w:t>clinical, T1</w:t>
      </w:r>
      <w:r w:rsidR="00A63BED" w:rsidRPr="00675323">
        <w:rPr>
          <w:rFonts w:ascii="Times New Roman" w:hAnsi="Times New Roman" w:cs="Times New Roman"/>
          <w:b/>
          <w:bCs/>
          <w:sz w:val="24"/>
        </w:rPr>
        <w:noBreakHyphen/>
        <w:t xml:space="preserve">clinical, and </w:t>
      </w:r>
      <w:proofErr w:type="spellStart"/>
      <w:r w:rsidR="00A63BED" w:rsidRPr="00675323">
        <w:rPr>
          <w:rFonts w:ascii="Times New Roman" w:hAnsi="Times New Roman" w:cs="Times New Roman"/>
          <w:b/>
          <w:bCs/>
          <w:sz w:val="24"/>
        </w:rPr>
        <w:t>bpMRI</w:t>
      </w:r>
      <w:proofErr w:type="spellEnd"/>
      <w:r w:rsidR="00A63BED" w:rsidRPr="00675323">
        <w:rPr>
          <w:rFonts w:ascii="Times New Roman" w:hAnsi="Times New Roman" w:cs="Times New Roman"/>
          <w:b/>
          <w:bCs/>
          <w:sz w:val="24"/>
        </w:rPr>
        <w:noBreakHyphen/>
        <w:t>clinical Models)</w:t>
      </w:r>
    </w:p>
    <w:p w14:paraId="1B022183" w14:textId="77777777" w:rsidR="00A63BED" w:rsidRPr="00675323" w:rsidRDefault="00A63BED" w:rsidP="00675323">
      <w:pPr>
        <w:spacing w:line="480" w:lineRule="auto"/>
        <w:rPr>
          <w:rFonts w:ascii="Times New Roman" w:hAnsi="Times New Roman" w:cs="Times New Roman"/>
          <w:sz w:val="24"/>
        </w:rPr>
      </w:pPr>
      <w:r w:rsidRPr="00675323">
        <w:rPr>
          <w:rFonts w:ascii="Times New Roman" w:hAnsi="Times New Roman" w:cs="Times New Roman"/>
          <w:sz w:val="24"/>
        </w:rPr>
        <w:t>Because imaging data and clinical data differ substantially in both dimensionality and physical meaning, simple concatenation or summation cannot effectively integrate them. Therefore, we developed a Clinical</w:t>
      </w:r>
      <w:r w:rsidRPr="00675323">
        <w:rPr>
          <w:rFonts w:ascii="Times New Roman" w:hAnsi="Times New Roman" w:cs="Times New Roman"/>
          <w:sz w:val="24"/>
        </w:rPr>
        <w:noBreakHyphen/>
        <w:t>Aware Feature Modulation (CFM) module that uses clinical information to selectively enhance or suppress multimodal image features, enabling contextual weighting of imaging findings based on clinical presentation.</w:t>
      </w:r>
    </w:p>
    <w:p w14:paraId="3BCC5FEE" w14:textId="7378DB79" w:rsidR="00A63BED" w:rsidRPr="00675323" w:rsidRDefault="00A63BED" w:rsidP="00675323">
      <w:pPr>
        <w:spacing w:line="480" w:lineRule="auto"/>
        <w:ind w:firstLineChars="200" w:firstLine="480"/>
        <w:rPr>
          <w:rFonts w:ascii="Times New Roman" w:hAnsi="Times New Roman" w:cs="Times New Roman"/>
          <w:sz w:val="24"/>
        </w:rPr>
      </w:pPr>
      <w:bookmarkStart w:id="4" w:name="OLE_LINK5"/>
      <w:r w:rsidRPr="00675323">
        <w:rPr>
          <w:rFonts w:ascii="Times New Roman" w:hAnsi="Times New Roman" w:cs="Times New Roman"/>
          <w:sz w:val="24"/>
        </w:rPr>
        <w:t xml:space="preserve">The workflow of this module is as follows: (1) the </w:t>
      </w:r>
      <w:r w:rsidRPr="00675323">
        <w:rPr>
          <w:rFonts w:ascii="Times New Roman" w:hAnsi="Times New Roman" w:cs="Times New Roman"/>
          <w:sz w:val="24"/>
          <w:highlight w:val="yellow"/>
        </w:rPr>
        <w:t>1</w:t>
      </w:r>
      <w:r w:rsidR="00B556F8" w:rsidRPr="00675323">
        <w:rPr>
          <w:rFonts w:ascii="Times New Roman" w:hAnsi="Times New Roman" w:cs="Times New Roman"/>
          <w:sz w:val="24"/>
          <w:highlight w:val="yellow"/>
        </w:rPr>
        <w:t>1</w:t>
      </w:r>
      <w:r w:rsidRPr="00675323">
        <w:rPr>
          <w:rFonts w:ascii="Times New Roman" w:hAnsi="Times New Roman" w:cs="Times New Roman"/>
          <w:sz w:val="24"/>
          <w:highlight w:val="yellow"/>
        </w:rPr>
        <w:noBreakHyphen/>
        <w:t>dimensional</w:t>
      </w:r>
      <w:r w:rsidRPr="00675323">
        <w:rPr>
          <w:rFonts w:ascii="Times New Roman" w:hAnsi="Times New Roman" w:cs="Times New Roman"/>
          <w:sz w:val="24"/>
        </w:rPr>
        <w:t xml:space="preserve"> structured clinical feature vector is fed into a multilayer perceptron (MLP), which maps it to an </w:t>
      </w:r>
      <w:r w:rsidRPr="00675323">
        <w:rPr>
          <w:rFonts w:ascii="Times New Roman" w:hAnsi="Times New Roman" w:cs="Times New Roman"/>
          <w:sz w:val="24"/>
        </w:rPr>
        <w:lastRenderedPageBreak/>
        <w:t>intermediate representation with the same number of channels as the imaging features; (2) a Sigmoid activation function generates channel</w:t>
      </w:r>
      <w:r w:rsidRPr="00675323">
        <w:rPr>
          <w:rFonts w:ascii="Times New Roman" w:hAnsi="Times New Roman" w:cs="Times New Roman"/>
          <w:sz w:val="24"/>
        </w:rPr>
        <w:noBreakHyphen/>
        <w:t>wise modulation weights in the range (0, 1), indicating the importance of each imaging feature channel under the given clinical context; (3) these weights are element</w:t>
      </w:r>
      <w:r w:rsidRPr="00675323">
        <w:rPr>
          <w:rFonts w:ascii="Times New Roman" w:hAnsi="Times New Roman" w:cs="Times New Roman"/>
          <w:sz w:val="24"/>
        </w:rPr>
        <w:noBreakHyphen/>
        <w:t xml:space="preserve">wise multiplied with the comprehensive imaging features (the output of the BIA module of the </w:t>
      </w:r>
      <w:proofErr w:type="spellStart"/>
      <w:r w:rsidRPr="00675323">
        <w:rPr>
          <w:rFonts w:ascii="Times New Roman" w:hAnsi="Times New Roman" w:cs="Times New Roman"/>
          <w:sz w:val="24"/>
        </w:rPr>
        <w:t>bpMRI</w:t>
      </w:r>
      <w:proofErr w:type="spellEnd"/>
      <w:r w:rsidRPr="00675323">
        <w:rPr>
          <w:rFonts w:ascii="Times New Roman" w:hAnsi="Times New Roman" w:cs="Times New Roman"/>
          <w:sz w:val="24"/>
        </w:rPr>
        <w:t xml:space="preserve"> model) to dynamically enhance or suppress the imaging features; and (4) the modulated features are passed through a classifier to obtain the final diagnostic result. This design enables the model to adjust its attention to different imaging dimensions according to the patient’s etiology, age, and other individual characteristics, providing a direct and interpretable pathway for clinical data to influence the final decision.</w:t>
      </w:r>
      <w:r w:rsidR="00720C67" w:rsidRPr="00675323">
        <w:rPr>
          <w:rFonts w:ascii="Times New Roman" w:hAnsi="Times New Roman" w:cs="Times New Roman"/>
          <w:sz w:val="24"/>
        </w:rPr>
        <w:t xml:space="preserve"> </w:t>
      </w:r>
    </w:p>
    <w:bookmarkEnd w:id="4"/>
    <w:p w14:paraId="2A88EFED" w14:textId="517A17CF" w:rsidR="00A63BED" w:rsidRPr="00675323" w:rsidRDefault="00136104"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S3.</w:t>
      </w:r>
      <w:r w:rsidR="00A63BED" w:rsidRPr="00675323">
        <w:rPr>
          <w:rFonts w:ascii="Times New Roman" w:hAnsi="Times New Roman" w:cs="Times New Roman"/>
          <w:b/>
          <w:bCs/>
          <w:sz w:val="24"/>
        </w:rPr>
        <w:t>4 Early</w:t>
      </w:r>
      <w:r w:rsidR="00A63BED" w:rsidRPr="00675323">
        <w:rPr>
          <w:rFonts w:ascii="Times New Roman" w:hAnsi="Times New Roman" w:cs="Times New Roman"/>
          <w:b/>
          <w:bCs/>
          <w:sz w:val="24"/>
        </w:rPr>
        <w:noBreakHyphen/>
        <w:t>Fusion vs. Late</w:t>
      </w:r>
      <w:r w:rsidR="00A63BED" w:rsidRPr="00675323">
        <w:rPr>
          <w:rFonts w:ascii="Times New Roman" w:hAnsi="Times New Roman" w:cs="Times New Roman"/>
          <w:b/>
          <w:bCs/>
          <w:sz w:val="24"/>
        </w:rPr>
        <w:noBreakHyphen/>
        <w:t>Fusion Strategies</w:t>
      </w:r>
    </w:p>
    <w:p w14:paraId="0C23FB47" w14:textId="77777777" w:rsidR="001E6835" w:rsidRDefault="001E6835" w:rsidP="001E6835">
      <w:pPr>
        <w:spacing w:line="480" w:lineRule="auto"/>
        <w:rPr>
          <w:rFonts w:ascii="Times New Roman" w:hAnsi="Times New Roman" w:cs="Times New Roman"/>
          <w:sz w:val="24"/>
        </w:rPr>
      </w:pPr>
      <w:r w:rsidRPr="001E6835">
        <w:rPr>
          <w:rFonts w:ascii="Times New Roman" w:hAnsi="Times New Roman" w:cs="Times New Roman" w:hint="eastAsia"/>
          <w:sz w:val="24"/>
        </w:rPr>
        <w:t>We systematically compared two strategies for multimodal information integration</w:t>
      </w:r>
      <w:r>
        <w:rPr>
          <w:rFonts w:ascii="Times New Roman" w:hAnsi="Times New Roman" w:cs="Times New Roman" w:hint="eastAsia"/>
          <w:sz w:val="24"/>
        </w:rPr>
        <w:t>.</w:t>
      </w:r>
    </w:p>
    <w:p w14:paraId="7FE51588" w14:textId="7BC693E0" w:rsidR="001E6835" w:rsidRPr="001E6835" w:rsidRDefault="001E6835" w:rsidP="001E6835">
      <w:pPr>
        <w:spacing w:line="480" w:lineRule="auto"/>
        <w:ind w:firstLineChars="100" w:firstLine="240"/>
        <w:rPr>
          <w:rFonts w:ascii="Times New Roman" w:hAnsi="Times New Roman" w:cs="Times New Roman"/>
          <w:sz w:val="24"/>
        </w:rPr>
      </w:pPr>
      <w:r w:rsidRPr="001E6835">
        <w:rPr>
          <w:rFonts w:ascii="Times New Roman" w:hAnsi="Times New Roman" w:cs="Times New Roman"/>
          <w:sz w:val="24"/>
        </w:rPr>
        <w:t>Modality interaction is performed at an early stage of feature extraction. For dual‑sequence imaging, STIR and T1‑FSE images are separately passed through a shared DenseNet‑121 backbone to extract multi‑level features, which are then immediately fused via the BIA module at each feature level; the jointly enhanced representation is subsequently fed into subsequent self‑attention layers. For imaging–clinical fusion, the clinical modulation weights are applied to the imaging features immediately after the BIA module output, and the modulated comprehensive features are directly classified. This strategy allows cross‑modal information to influence each other early in the forward pass.</w:t>
      </w:r>
    </w:p>
    <w:p w14:paraId="1F98FCFA" w14:textId="4DE852C5" w:rsidR="001E6835" w:rsidRPr="001E6835" w:rsidRDefault="001E6835" w:rsidP="001E6835">
      <w:pPr>
        <w:spacing w:line="480" w:lineRule="auto"/>
        <w:ind w:firstLineChars="100" w:firstLine="240"/>
        <w:rPr>
          <w:rFonts w:ascii="Times New Roman" w:hAnsi="Times New Roman" w:cs="Times New Roman"/>
          <w:sz w:val="24"/>
        </w:rPr>
      </w:pPr>
      <w:r w:rsidRPr="001E6835">
        <w:rPr>
          <w:rFonts w:ascii="Times New Roman" w:hAnsi="Times New Roman" w:cs="Times New Roman"/>
          <w:sz w:val="24"/>
        </w:rPr>
        <w:lastRenderedPageBreak/>
        <w:t>Each modality independently completes feature extraction and representation learning, and information is integrated at the decision level. Specifically, the output probabilities from each single‑sequence model or each single‑sequence clinical model are combined via mean pooling or weighted voting to obtain the final classification result.</w:t>
      </w:r>
    </w:p>
    <w:p w14:paraId="4183D72A" w14:textId="77777777" w:rsidR="001E6835" w:rsidRDefault="001E6835" w:rsidP="001E6835">
      <w:pPr>
        <w:spacing w:line="480" w:lineRule="auto"/>
        <w:ind w:firstLineChars="100" w:firstLine="240"/>
        <w:rPr>
          <w:rFonts w:ascii="Times New Roman" w:hAnsi="Times New Roman" w:cs="Times New Roman"/>
          <w:sz w:val="24"/>
        </w:rPr>
      </w:pPr>
      <w:r w:rsidRPr="001E6835">
        <w:rPr>
          <w:rFonts w:ascii="Times New Roman" w:hAnsi="Times New Roman" w:cs="Times New Roman"/>
          <w:sz w:val="24"/>
        </w:rPr>
        <w:t>For the single‑sequence clinical models, we additionally investigated a simple intermediate fusion approach, where each modality is encoded independently and the resulting feature vectors are concatenated before the fi</w:t>
      </w:r>
      <w:r w:rsidRPr="001E6835">
        <w:rPr>
          <w:rFonts w:ascii="Times New Roman" w:hAnsi="Times New Roman" w:cs="Times New Roman" w:hint="eastAsia"/>
          <w:sz w:val="24"/>
        </w:rPr>
        <w:t>nal classification layer. This serves as an additional baseline to compare against the early and late fusion schemes described above.</w:t>
      </w:r>
    </w:p>
    <w:p w14:paraId="2648B87B" w14:textId="42D00605" w:rsidR="00A63BED" w:rsidRPr="00675323" w:rsidRDefault="00136104" w:rsidP="001E6835">
      <w:pPr>
        <w:spacing w:line="480" w:lineRule="auto"/>
        <w:ind w:firstLineChars="100" w:firstLine="240"/>
        <w:rPr>
          <w:rFonts w:ascii="Times New Roman" w:hAnsi="Times New Roman" w:cs="Times New Roman"/>
          <w:b/>
          <w:bCs/>
          <w:sz w:val="24"/>
        </w:rPr>
      </w:pPr>
      <w:r w:rsidRPr="00675323">
        <w:rPr>
          <w:rFonts w:ascii="Times New Roman" w:hAnsi="Times New Roman" w:cs="Times New Roman"/>
          <w:b/>
          <w:bCs/>
          <w:sz w:val="24"/>
        </w:rPr>
        <w:t>S3</w:t>
      </w:r>
      <w:r w:rsidR="00A63BED" w:rsidRPr="00675323">
        <w:rPr>
          <w:rFonts w:ascii="Times New Roman" w:hAnsi="Times New Roman" w:cs="Times New Roman"/>
          <w:b/>
          <w:bCs/>
          <w:sz w:val="24"/>
        </w:rPr>
        <w:t>.5 Training Strategy and Overfitting Prevention</w:t>
      </w:r>
    </w:p>
    <w:p w14:paraId="4EDA1E93" w14:textId="6A6DDEAF" w:rsidR="00A63BED" w:rsidRPr="00675323" w:rsidRDefault="00A63BED" w:rsidP="00675323">
      <w:pPr>
        <w:spacing w:line="480" w:lineRule="auto"/>
        <w:rPr>
          <w:rFonts w:ascii="Times New Roman" w:hAnsi="Times New Roman" w:cs="Times New Roman"/>
          <w:sz w:val="24"/>
        </w:rPr>
      </w:pPr>
      <w:r w:rsidRPr="00675323">
        <w:rPr>
          <w:rFonts w:ascii="Times New Roman" w:hAnsi="Times New Roman" w:cs="Times New Roman"/>
          <w:sz w:val="24"/>
        </w:rPr>
        <w:t>All models were trained with identical configurations to ensure controlled comparisons: the optimizer was stochastic gradient descent (SGD) with a momentum of 0.9 and a weight decay of 1×10⁻⁴. The initial learning rate was 0.00125, adjusted dynamically using a cosine annealing schedule with a minimum learning rate of 1×10⁻⁶. All models were trained for 500 epochs with a batch size of 16. To prevent overfitting, the following strategies were employed: (1) the DenseNet</w:t>
      </w:r>
      <w:r w:rsidRPr="00675323">
        <w:rPr>
          <w:rFonts w:ascii="Times New Roman" w:hAnsi="Times New Roman" w:cs="Times New Roman"/>
          <w:sz w:val="24"/>
        </w:rPr>
        <w:noBreakHyphen/>
        <w:t>121 backbone was initiali</w:t>
      </w:r>
      <w:r w:rsidR="001E6835">
        <w:rPr>
          <w:rFonts w:ascii="Times New Roman" w:hAnsi="Times New Roman" w:cs="Times New Roman" w:hint="eastAsia"/>
          <w:sz w:val="24"/>
        </w:rPr>
        <w:t>z</w:t>
      </w:r>
      <w:r w:rsidRPr="00675323">
        <w:rPr>
          <w:rFonts w:ascii="Times New Roman" w:hAnsi="Times New Roman" w:cs="Times New Roman"/>
          <w:sz w:val="24"/>
        </w:rPr>
        <w:t>ed with pre</w:t>
      </w:r>
      <w:r w:rsidRPr="00675323">
        <w:rPr>
          <w:rFonts w:ascii="Times New Roman" w:hAnsi="Times New Roman" w:cs="Times New Roman"/>
          <w:sz w:val="24"/>
        </w:rPr>
        <w:noBreakHyphen/>
        <w:t>trained weights from ImageNet</w:t>
      </w:r>
      <w:r w:rsidRPr="00675323">
        <w:rPr>
          <w:rFonts w:ascii="Times New Roman" w:hAnsi="Times New Roman" w:cs="Times New Roman"/>
          <w:sz w:val="24"/>
        </w:rPr>
        <w:noBreakHyphen/>
        <w:t>1K, leveraging transfer learning to improve generali</w:t>
      </w:r>
      <w:r w:rsidR="001E6835">
        <w:rPr>
          <w:rFonts w:ascii="Times New Roman" w:hAnsi="Times New Roman" w:cs="Times New Roman" w:hint="eastAsia"/>
          <w:sz w:val="24"/>
        </w:rPr>
        <w:t>z</w:t>
      </w:r>
      <w:r w:rsidRPr="00675323">
        <w:rPr>
          <w:rFonts w:ascii="Times New Roman" w:hAnsi="Times New Roman" w:cs="Times New Roman"/>
          <w:sz w:val="24"/>
        </w:rPr>
        <w:t>ation on the relatively small dataset; (2) mild Gaussian noise (σ = 0.01) and random contrast adjustments (±10%) were applied to the input images as data augmentation during training; and (3) the train</w:t>
      </w:r>
      <w:r w:rsidRPr="00675323">
        <w:rPr>
          <w:rFonts w:ascii="Times New Roman" w:hAnsi="Times New Roman" w:cs="Times New Roman"/>
          <w:sz w:val="24"/>
        </w:rPr>
        <w:noBreakHyphen/>
        <w:t xml:space="preserve">test split was performed </w:t>
      </w:r>
      <w:r w:rsidRPr="00675323">
        <w:rPr>
          <w:rFonts w:ascii="Times New Roman" w:hAnsi="Times New Roman" w:cs="Times New Roman"/>
          <w:sz w:val="24"/>
        </w:rPr>
        <w:lastRenderedPageBreak/>
        <w:t>at the patient level, ensuring that both hips of the same patient were assigned to the same subset and never split across training and test sets. No validation set was used for early stopping or hyperparameter selection during the training process; all hyperparameters were fixed before training, and the final model was evaluated on the independent test set using the weights after all 500 epochs, thereby avoiding overfitting bias introduced by validation set tuning. All experiments used a fixed random seed (seed = 42) to ensure reproducibility.</w:t>
      </w:r>
    </w:p>
    <w:p w14:paraId="20D3C9B7" w14:textId="41F1A07C" w:rsidR="00A63BED" w:rsidRPr="00675323" w:rsidRDefault="00136104"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S3</w:t>
      </w:r>
      <w:r w:rsidR="00A63BED" w:rsidRPr="00675323">
        <w:rPr>
          <w:rFonts w:ascii="Times New Roman" w:hAnsi="Times New Roman" w:cs="Times New Roman"/>
          <w:b/>
          <w:bCs/>
          <w:sz w:val="24"/>
        </w:rPr>
        <w:t>.6 Statistical Analysis</w:t>
      </w:r>
    </w:p>
    <w:p w14:paraId="77EE42ED" w14:textId="198E0C87" w:rsidR="00A63BED" w:rsidRPr="00675323" w:rsidRDefault="00A63BED" w:rsidP="00675323">
      <w:pPr>
        <w:spacing w:line="480" w:lineRule="auto"/>
        <w:rPr>
          <w:rFonts w:ascii="Times New Roman" w:hAnsi="Times New Roman" w:cs="Times New Roman"/>
          <w:sz w:val="24"/>
        </w:rPr>
      </w:pPr>
      <w:r w:rsidRPr="00675323">
        <w:rPr>
          <w:rFonts w:ascii="Times New Roman" w:hAnsi="Times New Roman" w:cs="Times New Roman"/>
          <w:sz w:val="24"/>
        </w:rPr>
        <w:t>All statistical analyses and visuali</w:t>
      </w:r>
      <w:r w:rsidR="001E6835">
        <w:rPr>
          <w:rFonts w:ascii="Times New Roman" w:hAnsi="Times New Roman" w:cs="Times New Roman" w:hint="eastAsia"/>
          <w:sz w:val="24"/>
        </w:rPr>
        <w:t>z</w:t>
      </w:r>
      <w:r w:rsidRPr="00675323">
        <w:rPr>
          <w:rFonts w:ascii="Times New Roman" w:hAnsi="Times New Roman" w:cs="Times New Roman"/>
          <w:sz w:val="24"/>
        </w:rPr>
        <w:t>ations were performed in R 4.4.0 (R Foundation for Statistical Computing, Vienna, Austria) and Python 3.7 (Python Software Foundation). Normally distributed continuous variables are presented as mean ± standard deviation, and categorical variables as frequencies (percentages). Comparisons of baseline clinical characteristics between the training and test cohorts, as well as between early</w:t>
      </w:r>
      <w:r w:rsidRPr="00675323">
        <w:rPr>
          <w:rFonts w:ascii="Times New Roman" w:hAnsi="Times New Roman" w:cs="Times New Roman"/>
          <w:sz w:val="24"/>
        </w:rPr>
        <w:noBreakHyphen/>
        <w:t>stage (ARCO I</w:t>
      </w:r>
      <w:r w:rsidRPr="00675323">
        <w:rPr>
          <w:rFonts w:ascii="Times New Roman" w:hAnsi="Times New Roman" w:cs="Times New Roman"/>
          <w:sz w:val="24"/>
        </w:rPr>
        <w:noBreakHyphen/>
        <w:t>II) and late</w:t>
      </w:r>
      <w:r w:rsidRPr="00675323">
        <w:rPr>
          <w:rFonts w:ascii="Times New Roman" w:hAnsi="Times New Roman" w:cs="Times New Roman"/>
          <w:sz w:val="24"/>
        </w:rPr>
        <w:noBreakHyphen/>
        <w:t>stage (ARCO III</w:t>
      </w:r>
      <w:r w:rsidRPr="00675323">
        <w:rPr>
          <w:rFonts w:ascii="Times New Roman" w:hAnsi="Times New Roman" w:cs="Times New Roman"/>
          <w:sz w:val="24"/>
        </w:rPr>
        <w:noBreakHyphen/>
        <w:t>IV) groups, were performed using independent</w:t>
      </w:r>
      <w:r w:rsidRPr="00675323">
        <w:rPr>
          <w:rFonts w:ascii="Times New Roman" w:hAnsi="Times New Roman" w:cs="Times New Roman"/>
          <w:sz w:val="24"/>
        </w:rPr>
        <w:noBreakHyphen/>
        <w:t>samples t</w:t>
      </w:r>
      <w:r w:rsidRPr="00675323">
        <w:rPr>
          <w:rFonts w:ascii="Times New Roman" w:hAnsi="Times New Roman" w:cs="Times New Roman"/>
          <w:sz w:val="24"/>
        </w:rPr>
        <w:noBreakHyphen/>
        <w:t>tests or χ² tests, as appropriate.</w:t>
      </w:r>
    </w:p>
    <w:p w14:paraId="0A8A68F3" w14:textId="4DCABE15" w:rsidR="00A63BED" w:rsidRPr="00675323" w:rsidRDefault="00A63BED" w:rsidP="00675323">
      <w:pPr>
        <w:spacing w:line="480" w:lineRule="auto"/>
        <w:ind w:firstLineChars="200" w:firstLine="480"/>
        <w:rPr>
          <w:rFonts w:ascii="Times New Roman" w:hAnsi="Times New Roman" w:cs="Times New Roman"/>
          <w:sz w:val="24"/>
        </w:rPr>
      </w:pPr>
      <w:r w:rsidRPr="00675323">
        <w:rPr>
          <w:rFonts w:ascii="Times New Roman" w:hAnsi="Times New Roman" w:cs="Times New Roman"/>
          <w:sz w:val="24"/>
        </w:rPr>
        <w:t>Model diagnostic performance was evaluated using the area under the receiver operating characteristic curve (AUC), accuracy, sensitivity, and specificity. 95% confidence intervals for these metrics were calculated using the bootstrap method with 1000 resampling iterations. Pairwise comparisons of AUCs between models were performed using the DeLong test, with a two</w:t>
      </w:r>
      <w:r w:rsidRPr="00675323">
        <w:rPr>
          <w:rFonts w:ascii="Times New Roman" w:hAnsi="Times New Roman" w:cs="Times New Roman"/>
          <w:sz w:val="24"/>
        </w:rPr>
        <w:noBreakHyphen/>
        <w:t>sided </w:t>
      </w:r>
      <w:r w:rsidRPr="00675323">
        <w:rPr>
          <w:rFonts w:ascii="Times New Roman" w:hAnsi="Times New Roman" w:cs="Times New Roman"/>
          <w:i/>
          <w:iCs/>
          <w:sz w:val="24"/>
        </w:rPr>
        <w:t>P</w:t>
      </w:r>
      <w:r w:rsidRPr="00675323">
        <w:rPr>
          <w:rFonts w:ascii="Times New Roman" w:hAnsi="Times New Roman" w:cs="Times New Roman"/>
          <w:sz w:val="24"/>
        </w:rPr>
        <w:t xml:space="preserve"> &lt; 0.05 considered statistically significant. </w:t>
      </w:r>
      <w:r w:rsidR="007164B0" w:rsidRPr="00675323">
        <w:rPr>
          <w:rFonts w:ascii="Times New Roman" w:hAnsi="Times New Roman" w:cs="Times New Roman"/>
          <w:sz w:val="24"/>
          <w:highlight w:val="yellow"/>
        </w:rPr>
        <w:t xml:space="preserve">To assess the risk of overfitting, we compared the </w:t>
      </w:r>
      <w:r w:rsidR="007164B0" w:rsidRPr="00675323">
        <w:rPr>
          <w:rFonts w:ascii="Times New Roman" w:hAnsi="Times New Roman" w:cs="Times New Roman"/>
          <w:sz w:val="24"/>
          <w:highlight w:val="yellow"/>
        </w:rPr>
        <w:lastRenderedPageBreak/>
        <w:t>performance on the training set against that on the test set </w:t>
      </w:r>
      <w:r w:rsidR="007164B0" w:rsidRPr="00675323">
        <w:rPr>
          <w:rFonts w:ascii="Times New Roman" w:hAnsi="Times New Roman" w:cs="Times New Roman"/>
          <w:b/>
          <w:bCs/>
          <w:sz w:val="24"/>
          <w:highlight w:val="yellow"/>
        </w:rPr>
        <w:t xml:space="preserve">for the optimal </w:t>
      </w:r>
      <w:proofErr w:type="spellStart"/>
      <w:r w:rsidR="007164B0" w:rsidRPr="00675323">
        <w:rPr>
          <w:rFonts w:ascii="Times New Roman" w:hAnsi="Times New Roman" w:cs="Times New Roman"/>
          <w:b/>
          <w:bCs/>
          <w:sz w:val="24"/>
          <w:highlight w:val="yellow"/>
        </w:rPr>
        <w:t>bpMRI</w:t>
      </w:r>
      <w:proofErr w:type="spellEnd"/>
      <w:r w:rsidR="007164B0" w:rsidRPr="00675323">
        <w:rPr>
          <w:rFonts w:ascii="Times New Roman" w:hAnsi="Times New Roman" w:cs="Times New Roman"/>
          <w:b/>
          <w:bCs/>
          <w:sz w:val="24"/>
          <w:highlight w:val="yellow"/>
        </w:rPr>
        <w:noBreakHyphen/>
        <w:t>clinical model</w:t>
      </w:r>
      <w:r w:rsidR="007164B0" w:rsidRPr="00675323">
        <w:rPr>
          <w:rFonts w:ascii="Times New Roman" w:hAnsi="Times New Roman" w:cs="Times New Roman"/>
          <w:sz w:val="24"/>
          <w:highlight w:val="yellow"/>
        </w:rPr>
        <w:t>; a training</w:t>
      </w:r>
      <w:r w:rsidR="007164B0" w:rsidRPr="00675323">
        <w:rPr>
          <w:rFonts w:ascii="Times New Roman" w:hAnsi="Times New Roman" w:cs="Times New Roman"/>
          <w:sz w:val="24"/>
          <w:highlight w:val="yellow"/>
        </w:rPr>
        <w:noBreakHyphen/>
        <w:t>set AUC substantially higher than the test</w:t>
      </w:r>
      <w:r w:rsidR="007164B0" w:rsidRPr="00675323">
        <w:rPr>
          <w:rFonts w:ascii="Times New Roman" w:hAnsi="Times New Roman" w:cs="Times New Roman"/>
          <w:sz w:val="24"/>
          <w:highlight w:val="yellow"/>
        </w:rPr>
        <w:noBreakHyphen/>
        <w:t>set AUC (difference &gt; 0.1) with non</w:t>
      </w:r>
      <w:r w:rsidR="007164B0" w:rsidRPr="00675323">
        <w:rPr>
          <w:rFonts w:ascii="Times New Roman" w:hAnsi="Times New Roman" w:cs="Times New Roman"/>
          <w:sz w:val="24"/>
          <w:highlight w:val="yellow"/>
        </w:rPr>
        <w:noBreakHyphen/>
        <w:t>overlapping confidence intervals was considered indicative of possible overfitting. The results are presente</w:t>
      </w:r>
      <w:r w:rsidR="007164B0" w:rsidRPr="00813555">
        <w:rPr>
          <w:rFonts w:ascii="Times New Roman" w:hAnsi="Times New Roman" w:cs="Times New Roman"/>
          <w:sz w:val="24"/>
          <w:highlight w:val="yellow"/>
        </w:rPr>
        <w:t>d in </w:t>
      </w:r>
      <w:r w:rsidR="00813555" w:rsidRPr="00813555">
        <w:rPr>
          <w:rFonts w:ascii="Times New Roman" w:hAnsi="Times New Roman" w:cs="Times New Roman"/>
          <w:b/>
          <w:bCs/>
          <w:sz w:val="24"/>
          <w:highlight w:val="yellow"/>
        </w:rPr>
        <w:fldChar w:fldCharType="begin"/>
      </w:r>
      <w:r w:rsidR="00813555" w:rsidRPr="00813555">
        <w:rPr>
          <w:rFonts w:ascii="Times New Roman" w:hAnsi="Times New Roman" w:cs="Times New Roman"/>
          <w:sz w:val="24"/>
          <w:highlight w:val="yellow"/>
        </w:rPr>
        <w:instrText xml:space="preserve"> REF _Ref238671214 \h </w:instrText>
      </w:r>
      <w:r w:rsidR="00813555" w:rsidRPr="00813555">
        <w:rPr>
          <w:rFonts w:ascii="Times New Roman" w:hAnsi="Times New Roman" w:cs="Times New Roman"/>
          <w:b/>
          <w:bCs/>
          <w:sz w:val="24"/>
          <w:highlight w:val="yellow"/>
        </w:rPr>
      </w:r>
      <w:r w:rsidR="00813555">
        <w:rPr>
          <w:rFonts w:ascii="Times New Roman" w:hAnsi="Times New Roman" w:cs="Times New Roman"/>
          <w:b/>
          <w:bCs/>
          <w:sz w:val="24"/>
          <w:highlight w:val="yellow"/>
        </w:rPr>
        <w:instrText xml:space="preserve"> \* MERGEFORMAT </w:instrText>
      </w:r>
      <w:r w:rsidR="00813555" w:rsidRPr="00813555">
        <w:rPr>
          <w:rFonts w:ascii="Times New Roman" w:hAnsi="Times New Roman" w:cs="Times New Roman"/>
          <w:b/>
          <w:bCs/>
          <w:sz w:val="24"/>
          <w:highlight w:val="yellow"/>
        </w:rPr>
        <w:fldChar w:fldCharType="separate"/>
      </w:r>
      <w:r w:rsidR="00813555" w:rsidRPr="00813555">
        <w:rPr>
          <w:rFonts w:ascii="Times New Roman" w:hAnsi="Times New Roman" w:cs="Times New Roman"/>
          <w:b/>
          <w:bCs/>
          <w:sz w:val="24"/>
          <w:highlight w:val="yellow"/>
        </w:rPr>
        <w:t xml:space="preserve">Supplement Table </w:t>
      </w:r>
      <w:r w:rsidR="00813555" w:rsidRPr="00813555">
        <w:rPr>
          <w:rFonts w:ascii="Times New Roman" w:hAnsi="Times New Roman" w:cs="Times New Roman"/>
          <w:b/>
          <w:bCs/>
          <w:noProof/>
          <w:sz w:val="24"/>
          <w:highlight w:val="yellow"/>
        </w:rPr>
        <w:t>1</w:t>
      </w:r>
      <w:r w:rsidR="00813555" w:rsidRPr="00813555">
        <w:rPr>
          <w:rFonts w:ascii="Times New Roman" w:hAnsi="Times New Roman" w:cs="Times New Roman"/>
          <w:b/>
          <w:bCs/>
          <w:sz w:val="24"/>
          <w:highlight w:val="yellow"/>
        </w:rPr>
        <w:fldChar w:fldCharType="end"/>
      </w:r>
      <w:r w:rsidRPr="00813555">
        <w:rPr>
          <w:rFonts w:ascii="Times New Roman" w:hAnsi="Times New Roman" w:cs="Times New Roman"/>
          <w:sz w:val="24"/>
          <w:highlight w:val="yellow"/>
        </w:rPr>
        <w:t>.</w:t>
      </w:r>
    </w:p>
    <w:p w14:paraId="7AE8E6A6" w14:textId="3CC411E0" w:rsidR="00A63BED" w:rsidRPr="00675323" w:rsidRDefault="00136104" w:rsidP="00675323">
      <w:pPr>
        <w:spacing w:line="480" w:lineRule="auto"/>
        <w:rPr>
          <w:rFonts w:ascii="Times New Roman" w:hAnsi="Times New Roman" w:cs="Times New Roman"/>
          <w:b/>
          <w:bCs/>
          <w:sz w:val="24"/>
        </w:rPr>
      </w:pPr>
      <w:r w:rsidRPr="00675323">
        <w:rPr>
          <w:rFonts w:ascii="Times New Roman" w:hAnsi="Times New Roman" w:cs="Times New Roman"/>
          <w:b/>
          <w:bCs/>
          <w:sz w:val="24"/>
        </w:rPr>
        <w:t>S3</w:t>
      </w:r>
      <w:r w:rsidR="00A63BED" w:rsidRPr="00675323">
        <w:rPr>
          <w:rFonts w:ascii="Times New Roman" w:hAnsi="Times New Roman" w:cs="Times New Roman"/>
          <w:b/>
          <w:bCs/>
          <w:sz w:val="24"/>
        </w:rPr>
        <w:t>.7 Model Explainability Analysis</w:t>
      </w:r>
    </w:p>
    <w:p w14:paraId="53E56D3B" w14:textId="77777777" w:rsidR="00A63BED" w:rsidRPr="00675323" w:rsidRDefault="00A63BED" w:rsidP="00675323">
      <w:pPr>
        <w:spacing w:line="480" w:lineRule="auto"/>
        <w:rPr>
          <w:rFonts w:ascii="Times New Roman" w:hAnsi="Times New Roman" w:cs="Times New Roman"/>
          <w:sz w:val="24"/>
        </w:rPr>
      </w:pPr>
      <w:r w:rsidRPr="00675323">
        <w:rPr>
          <w:rFonts w:ascii="Times New Roman" w:hAnsi="Times New Roman" w:cs="Times New Roman"/>
          <w:sz w:val="24"/>
        </w:rPr>
        <w:t>Gradient</w:t>
      </w:r>
      <w:r w:rsidRPr="00675323">
        <w:rPr>
          <w:rFonts w:ascii="Times New Roman" w:hAnsi="Times New Roman" w:cs="Times New Roman"/>
          <w:sz w:val="24"/>
        </w:rPr>
        <w:noBreakHyphen/>
        <w:t>weighted Class Activation Mapping (Grad</w:t>
      </w:r>
      <w:r w:rsidRPr="00675323">
        <w:rPr>
          <w:rFonts w:ascii="Times New Roman" w:hAnsi="Times New Roman" w:cs="Times New Roman"/>
          <w:sz w:val="24"/>
        </w:rPr>
        <w:noBreakHyphen/>
        <w:t xml:space="preserve">CAM) was used to </w:t>
      </w:r>
      <w:proofErr w:type="spellStart"/>
      <w:r w:rsidRPr="00675323">
        <w:rPr>
          <w:rFonts w:ascii="Times New Roman" w:hAnsi="Times New Roman" w:cs="Times New Roman"/>
          <w:sz w:val="24"/>
        </w:rPr>
        <w:t>visualise</w:t>
      </w:r>
      <w:proofErr w:type="spellEnd"/>
      <w:r w:rsidRPr="00675323">
        <w:rPr>
          <w:rFonts w:ascii="Times New Roman" w:hAnsi="Times New Roman" w:cs="Times New Roman"/>
          <w:sz w:val="24"/>
        </w:rPr>
        <w:t xml:space="preserve"> the key imaging regions that drove the model’s decisions, qualitatively verifying whether the model focused on clinically relevant pathological signs such as the necrotic lesion, bone marrow oedema zone, and subchondral fracture line. Grad</w:t>
      </w:r>
      <w:r w:rsidRPr="00675323">
        <w:rPr>
          <w:rFonts w:ascii="Times New Roman" w:hAnsi="Times New Roman" w:cs="Times New Roman"/>
          <w:sz w:val="24"/>
        </w:rPr>
        <w:noBreakHyphen/>
        <w:t>CAM leverages gradient information to locate the spatial regions in the last convolutional layer that contributed most to the classification decision, generating a heatmap overlaid on the original MRI images to provide intuitive visual explanations for clinicians</w:t>
      </w:r>
    </w:p>
    <w:p w14:paraId="6DE86EFA" w14:textId="77777777" w:rsidR="001E6835" w:rsidRDefault="00070A18" w:rsidP="001E6835">
      <w:pPr>
        <w:keepNext/>
        <w:spacing w:line="480" w:lineRule="auto"/>
        <w:rPr>
          <w:rFonts w:hint="eastAsia"/>
        </w:rPr>
      </w:pPr>
      <w:r w:rsidRPr="00675323">
        <w:rPr>
          <w:rFonts w:ascii="Times New Roman" w:hAnsi="Times New Roman" w:cs="Times New Roman"/>
          <w:b/>
          <w:bCs/>
          <w:sz w:val="24"/>
        </w:rPr>
        <w:t>Supplement Figure:</w:t>
      </w:r>
      <w:bookmarkEnd w:id="2"/>
      <w:r w:rsidR="00720C67" w:rsidRPr="00675323">
        <w:rPr>
          <w:rFonts w:ascii="Times New Roman" w:hAnsi="Times New Roman" w:cs="Times New Roman"/>
          <w:noProof/>
          <w:sz w:val="24"/>
        </w:rPr>
        <w:drawing>
          <wp:inline distT="0" distB="0" distL="0" distR="0" wp14:anchorId="1B44474F" wp14:editId="0A0F436E">
            <wp:extent cx="4254374" cy="2308041"/>
            <wp:effectExtent l="0" t="0" r="0" b="0"/>
            <wp:docPr id="19188795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79593"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54374" cy="2308041"/>
                    </a:xfrm>
                    <a:prstGeom prst="rect">
                      <a:avLst/>
                    </a:prstGeom>
                  </pic:spPr>
                </pic:pic>
              </a:graphicData>
            </a:graphic>
          </wp:inline>
        </w:drawing>
      </w:r>
    </w:p>
    <w:p w14:paraId="32390844" w14:textId="2019EBFE" w:rsidR="001E6835" w:rsidRPr="001E6835" w:rsidRDefault="001E6835" w:rsidP="001E6835">
      <w:pPr>
        <w:pStyle w:val="af2"/>
        <w:rPr>
          <w:rFonts w:ascii="Times New Roman" w:hAnsi="Times New Roman" w:cs="Times New Roman"/>
          <w:b/>
          <w:bCs/>
          <w:sz w:val="24"/>
          <w:szCs w:val="24"/>
        </w:rPr>
      </w:pPr>
      <w:bookmarkStart w:id="5" w:name="_Ref238671181"/>
      <w:bookmarkStart w:id="6" w:name="OLE_LINK4"/>
      <w:r w:rsidRPr="001E6835">
        <w:rPr>
          <w:rFonts w:ascii="Times New Roman" w:hAnsi="Times New Roman" w:cs="Times New Roman"/>
          <w:b/>
          <w:bCs/>
          <w:sz w:val="24"/>
          <w:szCs w:val="24"/>
        </w:rPr>
        <w:t xml:space="preserve">Supplement figure </w:t>
      </w:r>
      <w:r w:rsidRPr="001E6835">
        <w:rPr>
          <w:rFonts w:ascii="Times New Roman" w:hAnsi="Times New Roman" w:cs="Times New Roman"/>
          <w:b/>
          <w:bCs/>
          <w:sz w:val="24"/>
          <w:szCs w:val="24"/>
        </w:rPr>
        <w:fldChar w:fldCharType="begin"/>
      </w:r>
      <w:r w:rsidRPr="001E6835">
        <w:rPr>
          <w:rFonts w:ascii="Times New Roman" w:hAnsi="Times New Roman" w:cs="Times New Roman"/>
          <w:b/>
          <w:bCs/>
          <w:sz w:val="24"/>
          <w:szCs w:val="24"/>
        </w:rPr>
        <w:instrText xml:space="preserve"> SEQ Supplement_figure \* ARABIC </w:instrText>
      </w:r>
      <w:r w:rsidRPr="001E6835">
        <w:rPr>
          <w:rFonts w:ascii="Times New Roman" w:hAnsi="Times New Roman" w:cs="Times New Roman"/>
          <w:b/>
          <w:bCs/>
          <w:sz w:val="24"/>
          <w:szCs w:val="24"/>
        </w:rPr>
        <w:fldChar w:fldCharType="separate"/>
      </w:r>
      <w:r w:rsidRPr="001E6835">
        <w:rPr>
          <w:rFonts w:ascii="Times New Roman" w:hAnsi="Times New Roman" w:cs="Times New Roman"/>
          <w:b/>
          <w:bCs/>
          <w:noProof/>
          <w:sz w:val="24"/>
          <w:szCs w:val="24"/>
        </w:rPr>
        <w:t>1</w:t>
      </w:r>
      <w:r w:rsidRPr="001E6835">
        <w:rPr>
          <w:rFonts w:ascii="Times New Roman" w:hAnsi="Times New Roman" w:cs="Times New Roman"/>
          <w:b/>
          <w:bCs/>
          <w:sz w:val="24"/>
          <w:szCs w:val="24"/>
        </w:rPr>
        <w:fldChar w:fldCharType="end"/>
      </w:r>
      <w:bookmarkEnd w:id="5"/>
      <w:r w:rsidRPr="001E6835">
        <w:rPr>
          <w:rFonts w:ascii="Times New Roman" w:hAnsi="Times New Roman" w:cs="Times New Roman"/>
          <w:b/>
          <w:bCs/>
          <w:sz w:val="24"/>
          <w:szCs w:val="24"/>
        </w:rPr>
        <w:t>.  The architecture of this proposed method. a. Diagnostic model b. BIA block</w:t>
      </w:r>
    </w:p>
    <w:bookmarkEnd w:id="6"/>
    <w:p w14:paraId="2EBD6471" w14:textId="5AE88377" w:rsidR="007164B0" w:rsidRPr="00675323" w:rsidRDefault="007164B0" w:rsidP="00675323">
      <w:pPr>
        <w:spacing w:line="480" w:lineRule="auto"/>
        <w:rPr>
          <w:rFonts w:ascii="Times New Roman" w:hAnsi="Times New Roman" w:cs="Times New Roman"/>
          <w:sz w:val="24"/>
          <w:szCs w:val="28"/>
          <w:highlight w:val="yellow"/>
        </w:rPr>
      </w:pPr>
      <w:r w:rsidRPr="00675323">
        <w:rPr>
          <w:rFonts w:ascii="Times New Roman" w:hAnsi="Times New Roman" w:cs="Times New Roman"/>
          <w:b/>
          <w:bCs/>
          <w:sz w:val="28"/>
          <w:szCs w:val="28"/>
          <w:highlight w:val="yellow"/>
        </w:rPr>
        <w:lastRenderedPageBreak/>
        <w:t>Supplement Table:</w:t>
      </w:r>
    </w:p>
    <w:p w14:paraId="6344A750" w14:textId="4DDFF1AC" w:rsidR="00675323" w:rsidRPr="00675323" w:rsidRDefault="00675323" w:rsidP="00675323">
      <w:pPr>
        <w:pStyle w:val="af2"/>
        <w:keepNext/>
        <w:spacing w:line="480" w:lineRule="auto"/>
        <w:rPr>
          <w:rFonts w:ascii="Times New Roman" w:hAnsi="Times New Roman" w:cs="Times New Roman"/>
          <w:b/>
          <w:bCs/>
          <w:sz w:val="24"/>
          <w:szCs w:val="24"/>
        </w:rPr>
      </w:pPr>
      <w:bookmarkStart w:id="7" w:name="_Ref238671214"/>
      <w:r w:rsidRPr="00675323">
        <w:rPr>
          <w:rFonts w:ascii="Times New Roman" w:hAnsi="Times New Roman" w:cs="Times New Roman"/>
          <w:b/>
          <w:bCs/>
          <w:sz w:val="24"/>
          <w:szCs w:val="24"/>
        </w:rPr>
        <w:t xml:space="preserve">Supplement Table </w:t>
      </w:r>
      <w:r w:rsidRPr="00675323">
        <w:rPr>
          <w:rFonts w:ascii="Times New Roman" w:hAnsi="Times New Roman" w:cs="Times New Roman"/>
          <w:b/>
          <w:bCs/>
          <w:sz w:val="24"/>
          <w:szCs w:val="24"/>
        </w:rPr>
        <w:fldChar w:fldCharType="begin"/>
      </w:r>
      <w:r w:rsidRPr="00675323">
        <w:rPr>
          <w:rFonts w:ascii="Times New Roman" w:hAnsi="Times New Roman" w:cs="Times New Roman"/>
          <w:b/>
          <w:bCs/>
          <w:sz w:val="24"/>
          <w:szCs w:val="24"/>
        </w:rPr>
        <w:instrText xml:space="preserve"> SEQ Supplement_Table \* ARABIC </w:instrText>
      </w:r>
      <w:r w:rsidRPr="00675323">
        <w:rPr>
          <w:rFonts w:ascii="Times New Roman" w:hAnsi="Times New Roman" w:cs="Times New Roman"/>
          <w:b/>
          <w:bCs/>
          <w:sz w:val="24"/>
          <w:szCs w:val="24"/>
        </w:rPr>
        <w:fldChar w:fldCharType="separate"/>
      </w:r>
      <w:r w:rsidRPr="00675323">
        <w:rPr>
          <w:rFonts w:ascii="Times New Roman" w:hAnsi="Times New Roman" w:cs="Times New Roman"/>
          <w:b/>
          <w:bCs/>
          <w:noProof/>
          <w:sz w:val="24"/>
          <w:szCs w:val="24"/>
        </w:rPr>
        <w:t>1</w:t>
      </w:r>
      <w:r w:rsidRPr="00675323">
        <w:rPr>
          <w:rFonts w:ascii="Times New Roman" w:hAnsi="Times New Roman" w:cs="Times New Roman"/>
          <w:b/>
          <w:bCs/>
          <w:sz w:val="24"/>
          <w:szCs w:val="24"/>
        </w:rPr>
        <w:fldChar w:fldCharType="end"/>
      </w:r>
      <w:bookmarkEnd w:id="7"/>
      <w:r w:rsidRPr="00675323">
        <w:rPr>
          <w:rFonts w:ascii="Times New Roman" w:hAnsi="Times New Roman" w:cs="Times New Roman"/>
          <w:b/>
          <w:bCs/>
          <w:sz w:val="24"/>
          <w:szCs w:val="24"/>
        </w:rPr>
        <w:t xml:space="preserve">. Diagnostic performance of the </w:t>
      </w:r>
      <w:proofErr w:type="spellStart"/>
      <w:r w:rsidRPr="00675323">
        <w:rPr>
          <w:rFonts w:ascii="Times New Roman" w:hAnsi="Times New Roman" w:cs="Times New Roman"/>
          <w:b/>
          <w:bCs/>
          <w:sz w:val="24"/>
          <w:szCs w:val="24"/>
        </w:rPr>
        <w:t>bpMRI</w:t>
      </w:r>
      <w:proofErr w:type="spellEnd"/>
      <w:r w:rsidRPr="00675323">
        <w:rPr>
          <w:rFonts w:ascii="Times New Roman" w:hAnsi="Times New Roman" w:cs="Times New Roman"/>
          <w:b/>
          <w:bCs/>
          <w:sz w:val="24"/>
          <w:szCs w:val="24"/>
        </w:rPr>
        <w:t>-clinical model with early fusion strategy for early- and late-stage ONFH in the train and test cohort.</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1816"/>
        <w:gridCol w:w="1027"/>
        <w:gridCol w:w="1961"/>
        <w:gridCol w:w="1961"/>
      </w:tblGrid>
      <w:tr w:rsidR="003B4172" w:rsidRPr="00675323" w14:paraId="01423C80" w14:textId="77777777" w:rsidTr="005D10CF">
        <w:trPr>
          <w:jc w:val="center"/>
        </w:trPr>
        <w:tc>
          <w:tcPr>
            <w:tcW w:w="0" w:type="auto"/>
            <w:tcBorders>
              <w:top w:val="single" w:sz="12" w:space="0" w:color="auto"/>
              <w:bottom w:val="single" w:sz="12" w:space="0" w:color="auto"/>
            </w:tcBorders>
          </w:tcPr>
          <w:p w14:paraId="3988A4B1" w14:textId="77777777" w:rsidR="003B4172" w:rsidRPr="00675323" w:rsidRDefault="003B4172" w:rsidP="00675323">
            <w:pPr>
              <w:spacing w:line="480" w:lineRule="auto"/>
              <w:rPr>
                <w:rFonts w:ascii="Times New Roman" w:hAnsi="Times New Roman" w:cs="Times New Roman"/>
                <w:b/>
                <w:bCs/>
                <w:iCs/>
                <w:color w:val="000000"/>
                <w:kern w:val="0"/>
                <w:sz w:val="20"/>
                <w:szCs w:val="20"/>
                <w:highlight w:val="yellow"/>
              </w:rPr>
            </w:pPr>
          </w:p>
        </w:tc>
        <w:tc>
          <w:tcPr>
            <w:tcW w:w="0" w:type="auto"/>
            <w:tcBorders>
              <w:top w:val="single" w:sz="12" w:space="0" w:color="auto"/>
              <w:bottom w:val="single" w:sz="12" w:space="0" w:color="auto"/>
            </w:tcBorders>
          </w:tcPr>
          <w:p w14:paraId="4A22F231" w14:textId="77777777" w:rsidR="003B4172" w:rsidRPr="00675323" w:rsidRDefault="003B4172" w:rsidP="00675323">
            <w:pPr>
              <w:spacing w:line="480" w:lineRule="auto"/>
              <w:rPr>
                <w:rFonts w:ascii="Times New Roman" w:hAnsi="Times New Roman" w:cs="Times New Roman"/>
                <w:b/>
                <w:bCs/>
                <w:iCs/>
                <w:color w:val="000000"/>
                <w:kern w:val="0"/>
                <w:sz w:val="20"/>
                <w:szCs w:val="20"/>
                <w:highlight w:val="yellow"/>
              </w:rPr>
            </w:pPr>
            <w:r w:rsidRPr="00675323">
              <w:rPr>
                <w:rFonts w:ascii="Times New Roman" w:hAnsi="Times New Roman" w:cs="Times New Roman"/>
                <w:b/>
                <w:bCs/>
                <w:iCs/>
                <w:color w:val="000000"/>
                <w:kern w:val="0"/>
                <w:sz w:val="20"/>
                <w:szCs w:val="20"/>
                <w:highlight w:val="yellow"/>
              </w:rPr>
              <w:t>AUC (95% CI)</w:t>
            </w:r>
          </w:p>
        </w:tc>
        <w:tc>
          <w:tcPr>
            <w:tcW w:w="0" w:type="auto"/>
            <w:tcBorders>
              <w:top w:val="single" w:sz="12" w:space="0" w:color="auto"/>
              <w:bottom w:val="single" w:sz="12" w:space="0" w:color="auto"/>
            </w:tcBorders>
          </w:tcPr>
          <w:p w14:paraId="39B21E1D" w14:textId="77777777" w:rsidR="003B4172" w:rsidRPr="00675323" w:rsidRDefault="003B4172" w:rsidP="00675323">
            <w:pPr>
              <w:spacing w:line="480" w:lineRule="auto"/>
              <w:rPr>
                <w:rFonts w:ascii="Times New Roman" w:hAnsi="Times New Roman" w:cs="Times New Roman"/>
                <w:b/>
                <w:bCs/>
                <w:iCs/>
                <w:color w:val="000000"/>
                <w:kern w:val="0"/>
                <w:sz w:val="20"/>
                <w:szCs w:val="20"/>
                <w:highlight w:val="yellow"/>
              </w:rPr>
            </w:pPr>
            <w:r w:rsidRPr="00675323">
              <w:rPr>
                <w:rFonts w:ascii="Times New Roman" w:hAnsi="Times New Roman" w:cs="Times New Roman"/>
                <w:b/>
                <w:bCs/>
                <w:iCs/>
                <w:color w:val="000000"/>
                <w:kern w:val="0"/>
                <w:sz w:val="20"/>
                <w:szCs w:val="20"/>
                <w:highlight w:val="yellow"/>
              </w:rPr>
              <w:t>Accuracy</w:t>
            </w:r>
          </w:p>
        </w:tc>
        <w:tc>
          <w:tcPr>
            <w:tcW w:w="0" w:type="auto"/>
            <w:tcBorders>
              <w:top w:val="single" w:sz="12" w:space="0" w:color="auto"/>
              <w:bottom w:val="single" w:sz="12" w:space="0" w:color="auto"/>
            </w:tcBorders>
          </w:tcPr>
          <w:p w14:paraId="013A0FFD" w14:textId="77777777" w:rsidR="003B4172" w:rsidRPr="00675323" w:rsidRDefault="003B4172" w:rsidP="00675323">
            <w:pPr>
              <w:spacing w:line="480" w:lineRule="auto"/>
              <w:rPr>
                <w:rFonts w:ascii="Times New Roman" w:hAnsi="Times New Roman" w:cs="Times New Roman"/>
                <w:b/>
                <w:bCs/>
                <w:iCs/>
                <w:color w:val="000000"/>
                <w:kern w:val="0"/>
                <w:sz w:val="20"/>
                <w:szCs w:val="20"/>
                <w:highlight w:val="yellow"/>
              </w:rPr>
            </w:pPr>
            <w:r w:rsidRPr="00675323">
              <w:rPr>
                <w:rFonts w:ascii="Times New Roman" w:hAnsi="Times New Roman" w:cs="Times New Roman"/>
                <w:b/>
                <w:bCs/>
                <w:iCs/>
                <w:color w:val="000000"/>
                <w:kern w:val="0"/>
                <w:sz w:val="20"/>
                <w:szCs w:val="20"/>
                <w:highlight w:val="yellow"/>
              </w:rPr>
              <w:t>Sensitivity (95% CI)</w:t>
            </w:r>
          </w:p>
        </w:tc>
        <w:tc>
          <w:tcPr>
            <w:tcW w:w="0" w:type="auto"/>
            <w:tcBorders>
              <w:top w:val="single" w:sz="12" w:space="0" w:color="auto"/>
              <w:bottom w:val="single" w:sz="12" w:space="0" w:color="auto"/>
            </w:tcBorders>
          </w:tcPr>
          <w:p w14:paraId="2B83FB08" w14:textId="77777777" w:rsidR="003B4172" w:rsidRPr="00675323" w:rsidRDefault="003B4172" w:rsidP="00675323">
            <w:pPr>
              <w:spacing w:line="480" w:lineRule="auto"/>
              <w:rPr>
                <w:rFonts w:ascii="Times New Roman" w:hAnsi="Times New Roman" w:cs="Times New Roman"/>
                <w:b/>
                <w:bCs/>
                <w:iCs/>
                <w:color w:val="000000"/>
                <w:kern w:val="0"/>
                <w:sz w:val="20"/>
                <w:szCs w:val="20"/>
                <w:highlight w:val="yellow"/>
              </w:rPr>
            </w:pPr>
            <w:r w:rsidRPr="00675323">
              <w:rPr>
                <w:rFonts w:ascii="Times New Roman" w:hAnsi="Times New Roman" w:cs="Times New Roman"/>
                <w:b/>
                <w:bCs/>
                <w:iCs/>
                <w:color w:val="000000"/>
                <w:kern w:val="0"/>
                <w:sz w:val="20"/>
                <w:szCs w:val="20"/>
                <w:highlight w:val="yellow"/>
              </w:rPr>
              <w:t>Specificity (95% CI)</w:t>
            </w:r>
          </w:p>
        </w:tc>
      </w:tr>
      <w:tr w:rsidR="003B4172" w:rsidRPr="00675323" w14:paraId="4C73C4B5" w14:textId="77777777" w:rsidTr="005D10CF">
        <w:trPr>
          <w:trHeight w:val="196"/>
          <w:jc w:val="center"/>
        </w:trPr>
        <w:tc>
          <w:tcPr>
            <w:tcW w:w="0" w:type="auto"/>
          </w:tcPr>
          <w:p w14:paraId="6517AA44"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bookmarkStart w:id="8" w:name="_Hlk215673073"/>
            <w:bookmarkStart w:id="9" w:name="_Hlk211073287"/>
            <w:r w:rsidRPr="00675323">
              <w:rPr>
                <w:rFonts w:ascii="Times New Roman" w:hAnsi="Times New Roman" w:cs="Times New Roman"/>
                <w:bCs/>
                <w:iCs/>
                <w:color w:val="000000"/>
                <w:kern w:val="0"/>
                <w:sz w:val="20"/>
                <w:szCs w:val="20"/>
                <w:highlight w:val="yellow"/>
              </w:rPr>
              <w:t>Train</w:t>
            </w:r>
          </w:p>
        </w:tc>
        <w:tc>
          <w:tcPr>
            <w:tcW w:w="0" w:type="auto"/>
          </w:tcPr>
          <w:p w14:paraId="57EBD7E5"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0.951 (0.915-0.979)</w:t>
            </w:r>
          </w:p>
        </w:tc>
        <w:tc>
          <w:tcPr>
            <w:tcW w:w="0" w:type="auto"/>
          </w:tcPr>
          <w:p w14:paraId="0DC64A14"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0.926</w:t>
            </w:r>
          </w:p>
        </w:tc>
        <w:tc>
          <w:tcPr>
            <w:tcW w:w="0" w:type="auto"/>
          </w:tcPr>
          <w:p w14:paraId="0B14AB99"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0.901 (0.837-0.957)</w:t>
            </w:r>
          </w:p>
        </w:tc>
        <w:tc>
          <w:tcPr>
            <w:tcW w:w="0" w:type="auto"/>
          </w:tcPr>
          <w:p w14:paraId="3307C741"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0.953 (0.901-0.989)</w:t>
            </w:r>
          </w:p>
        </w:tc>
      </w:tr>
      <w:bookmarkEnd w:id="8"/>
      <w:bookmarkEnd w:id="9"/>
      <w:tr w:rsidR="003B4172" w:rsidRPr="00675323" w14:paraId="02386842" w14:textId="77777777" w:rsidTr="005D10CF">
        <w:trPr>
          <w:jc w:val="center"/>
        </w:trPr>
        <w:tc>
          <w:tcPr>
            <w:tcW w:w="0" w:type="auto"/>
            <w:tcBorders>
              <w:bottom w:val="single" w:sz="12" w:space="0" w:color="auto"/>
            </w:tcBorders>
          </w:tcPr>
          <w:p w14:paraId="104E2128"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Test</w:t>
            </w:r>
          </w:p>
        </w:tc>
        <w:tc>
          <w:tcPr>
            <w:tcW w:w="0" w:type="auto"/>
            <w:tcBorders>
              <w:bottom w:val="single" w:sz="12" w:space="0" w:color="auto"/>
            </w:tcBorders>
          </w:tcPr>
          <w:p w14:paraId="205AC75C"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0.944 (0.905-0.973)</w:t>
            </w:r>
          </w:p>
        </w:tc>
        <w:tc>
          <w:tcPr>
            <w:tcW w:w="0" w:type="auto"/>
            <w:tcBorders>
              <w:bottom w:val="single" w:sz="12" w:space="0" w:color="auto"/>
            </w:tcBorders>
          </w:tcPr>
          <w:p w14:paraId="559EE75E"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0.909</w:t>
            </w:r>
          </w:p>
        </w:tc>
        <w:tc>
          <w:tcPr>
            <w:tcW w:w="0" w:type="auto"/>
            <w:tcBorders>
              <w:bottom w:val="single" w:sz="12" w:space="0" w:color="auto"/>
            </w:tcBorders>
          </w:tcPr>
          <w:p w14:paraId="4C1EDDE9"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0.890 (0.822-0.953)</w:t>
            </w:r>
          </w:p>
        </w:tc>
        <w:tc>
          <w:tcPr>
            <w:tcW w:w="0" w:type="auto"/>
            <w:tcBorders>
              <w:bottom w:val="single" w:sz="12" w:space="0" w:color="auto"/>
            </w:tcBorders>
          </w:tcPr>
          <w:p w14:paraId="5734088A" w14:textId="77777777" w:rsidR="003B4172" w:rsidRPr="00675323" w:rsidRDefault="003B4172" w:rsidP="00675323">
            <w:pPr>
              <w:spacing w:line="480" w:lineRule="auto"/>
              <w:rPr>
                <w:rFonts w:ascii="Times New Roman" w:hAnsi="Times New Roman" w:cs="Times New Roman"/>
                <w:bCs/>
                <w:iCs/>
                <w:color w:val="000000"/>
                <w:kern w:val="0"/>
                <w:sz w:val="20"/>
                <w:szCs w:val="20"/>
                <w:highlight w:val="yellow"/>
              </w:rPr>
            </w:pPr>
            <w:r w:rsidRPr="00675323">
              <w:rPr>
                <w:rFonts w:ascii="Times New Roman" w:hAnsi="Times New Roman" w:cs="Times New Roman"/>
                <w:bCs/>
                <w:iCs/>
                <w:color w:val="000000"/>
                <w:kern w:val="0"/>
                <w:sz w:val="20"/>
                <w:szCs w:val="20"/>
                <w:highlight w:val="yellow"/>
              </w:rPr>
              <w:t>0.929 (0.866-0.978)</w:t>
            </w:r>
          </w:p>
        </w:tc>
      </w:tr>
    </w:tbl>
    <w:p w14:paraId="49046273" w14:textId="77777777" w:rsidR="003B4172" w:rsidRPr="00675323" w:rsidRDefault="003B4172" w:rsidP="00C41BC0">
      <w:pPr>
        <w:spacing w:line="480" w:lineRule="auto"/>
        <w:ind w:firstLineChars="200" w:firstLine="400"/>
        <w:rPr>
          <w:rFonts w:ascii="Times New Roman" w:eastAsia="Times New Roman" w:hAnsi="Times New Roman" w:cs="Times New Roman"/>
          <w:bCs/>
          <w:iCs/>
          <w:color w:val="000000"/>
          <w:kern w:val="0"/>
          <w:sz w:val="20"/>
          <w:szCs w:val="20"/>
          <w:lang w:eastAsia="en-US"/>
        </w:rPr>
      </w:pPr>
      <w:r w:rsidRPr="00675323">
        <w:rPr>
          <w:rFonts w:ascii="Times New Roman" w:eastAsia="Times New Roman" w:hAnsi="Times New Roman" w:cs="Times New Roman"/>
          <w:bCs/>
          <w:i/>
          <w:iCs/>
          <w:color w:val="000000"/>
          <w:kern w:val="0"/>
          <w:sz w:val="20"/>
          <w:szCs w:val="20"/>
          <w:highlight w:val="yellow"/>
          <w:lang w:eastAsia="en-US"/>
        </w:rPr>
        <w:t>AUC</w:t>
      </w:r>
      <w:r w:rsidRPr="00675323">
        <w:rPr>
          <w:rFonts w:ascii="Times New Roman" w:eastAsia="Times New Roman" w:hAnsi="Times New Roman" w:cs="Times New Roman"/>
          <w:bCs/>
          <w:iCs/>
          <w:color w:val="000000"/>
          <w:kern w:val="0"/>
          <w:sz w:val="20"/>
          <w:szCs w:val="20"/>
          <w:highlight w:val="yellow"/>
          <w:lang w:eastAsia="en-US"/>
        </w:rPr>
        <w:t xml:space="preserve"> area under the curve, </w:t>
      </w:r>
      <w:r w:rsidRPr="00675323">
        <w:rPr>
          <w:rFonts w:ascii="Times New Roman" w:eastAsia="Times New Roman" w:hAnsi="Times New Roman" w:cs="Times New Roman"/>
          <w:bCs/>
          <w:i/>
          <w:iCs/>
          <w:color w:val="000000"/>
          <w:kern w:val="0"/>
          <w:sz w:val="20"/>
          <w:szCs w:val="20"/>
          <w:highlight w:val="yellow"/>
          <w:lang w:eastAsia="en-US"/>
        </w:rPr>
        <w:t>CI</w:t>
      </w:r>
      <w:r w:rsidRPr="00675323">
        <w:rPr>
          <w:rFonts w:ascii="Times New Roman" w:eastAsia="Times New Roman" w:hAnsi="Times New Roman" w:cs="Times New Roman"/>
          <w:bCs/>
          <w:iCs/>
          <w:color w:val="000000"/>
          <w:kern w:val="0"/>
          <w:sz w:val="20"/>
          <w:szCs w:val="20"/>
          <w:highlight w:val="yellow"/>
          <w:lang w:eastAsia="en-US"/>
        </w:rPr>
        <w:t xml:space="preserve"> confidence interval</w:t>
      </w:r>
    </w:p>
    <w:bookmarkEnd w:id="0"/>
    <w:p w14:paraId="1B2E82A5" w14:textId="14AD1415" w:rsidR="00A63BED" w:rsidRPr="00675323" w:rsidRDefault="00A63BED" w:rsidP="00675323">
      <w:pPr>
        <w:pStyle w:val="af2"/>
        <w:spacing w:line="480" w:lineRule="auto"/>
        <w:rPr>
          <w:rFonts w:ascii="Times New Roman" w:hAnsi="Times New Roman" w:cs="Times New Roman"/>
          <w:sz w:val="24"/>
        </w:rPr>
      </w:pPr>
    </w:p>
    <w:sectPr w:rsidR="00A63BED" w:rsidRPr="00675323">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10C52" w14:textId="77777777" w:rsidR="00252675" w:rsidRDefault="00252675" w:rsidP="002D7BB2">
      <w:pPr>
        <w:spacing w:after="0" w:line="240" w:lineRule="auto"/>
        <w:rPr>
          <w:rFonts w:hint="eastAsia"/>
        </w:rPr>
      </w:pPr>
      <w:r>
        <w:separator/>
      </w:r>
    </w:p>
  </w:endnote>
  <w:endnote w:type="continuationSeparator" w:id="0">
    <w:p w14:paraId="0A9ED2B9" w14:textId="77777777" w:rsidR="00252675" w:rsidRDefault="00252675" w:rsidP="002D7BB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817615"/>
      <w:docPartObj>
        <w:docPartGallery w:val="Page Numbers (Bottom of Page)"/>
        <w:docPartUnique/>
      </w:docPartObj>
    </w:sdtPr>
    <w:sdtContent>
      <w:p w14:paraId="01429E0A" w14:textId="1A468742" w:rsidR="002D7BB2" w:rsidRDefault="002D7BB2">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63A82D3A" w14:textId="77777777" w:rsidR="002D7BB2" w:rsidRDefault="002D7BB2">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A953F" w14:textId="77777777" w:rsidR="00252675" w:rsidRDefault="00252675" w:rsidP="002D7BB2">
      <w:pPr>
        <w:spacing w:after="0" w:line="240" w:lineRule="auto"/>
        <w:rPr>
          <w:rFonts w:hint="eastAsia"/>
        </w:rPr>
      </w:pPr>
      <w:r>
        <w:separator/>
      </w:r>
    </w:p>
  </w:footnote>
  <w:footnote w:type="continuationSeparator" w:id="0">
    <w:p w14:paraId="7187753A" w14:textId="77777777" w:rsidR="00252675" w:rsidRDefault="00252675" w:rsidP="002D7BB2">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71C"/>
    <w:multiLevelType w:val="hybridMultilevel"/>
    <w:tmpl w:val="079C54DA"/>
    <w:lvl w:ilvl="0" w:tplc="360E3BF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B651EEE"/>
    <w:multiLevelType w:val="multilevel"/>
    <w:tmpl w:val="72B2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655077">
    <w:abstractNumId w:val="1"/>
  </w:num>
  <w:num w:numId="2" w16cid:durableId="1457336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6D0"/>
    <w:rsid w:val="000217A1"/>
    <w:rsid w:val="00037AA4"/>
    <w:rsid w:val="00070A18"/>
    <w:rsid w:val="00136104"/>
    <w:rsid w:val="001C1101"/>
    <w:rsid w:val="001E6835"/>
    <w:rsid w:val="002226D0"/>
    <w:rsid w:val="00252675"/>
    <w:rsid w:val="002D7BB2"/>
    <w:rsid w:val="003449F6"/>
    <w:rsid w:val="003B4172"/>
    <w:rsid w:val="003E23D0"/>
    <w:rsid w:val="004E1EE4"/>
    <w:rsid w:val="0055587C"/>
    <w:rsid w:val="00556219"/>
    <w:rsid w:val="006545E0"/>
    <w:rsid w:val="00675323"/>
    <w:rsid w:val="007164B0"/>
    <w:rsid w:val="00720C67"/>
    <w:rsid w:val="0076475F"/>
    <w:rsid w:val="00811DF4"/>
    <w:rsid w:val="00813555"/>
    <w:rsid w:val="00814A0A"/>
    <w:rsid w:val="00864D23"/>
    <w:rsid w:val="00942572"/>
    <w:rsid w:val="00993917"/>
    <w:rsid w:val="00A63BED"/>
    <w:rsid w:val="00AB6125"/>
    <w:rsid w:val="00AE1BF6"/>
    <w:rsid w:val="00B12C5B"/>
    <w:rsid w:val="00B556F8"/>
    <w:rsid w:val="00B8513C"/>
    <w:rsid w:val="00B94B33"/>
    <w:rsid w:val="00C40E9C"/>
    <w:rsid w:val="00C41BC0"/>
    <w:rsid w:val="00C60065"/>
    <w:rsid w:val="00CF69CE"/>
    <w:rsid w:val="00D71FD9"/>
    <w:rsid w:val="00DD3142"/>
    <w:rsid w:val="00F253F2"/>
    <w:rsid w:val="00F60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1BDC5"/>
  <w15:chartTrackingRefBased/>
  <w15:docId w15:val="{347A1FB7-76D0-4EF4-91A3-4FBAE1319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BB2"/>
    <w:pPr>
      <w:widowControl w:val="0"/>
    </w:pPr>
  </w:style>
  <w:style w:type="paragraph" w:styleId="1">
    <w:name w:val="heading 1"/>
    <w:basedOn w:val="a"/>
    <w:next w:val="a"/>
    <w:link w:val="10"/>
    <w:uiPriority w:val="9"/>
    <w:qFormat/>
    <w:rsid w:val="002226D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226D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226D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226D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226D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226D0"/>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226D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226D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226D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226D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226D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226D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226D0"/>
    <w:rPr>
      <w:rFonts w:cstheme="majorBidi"/>
      <w:color w:val="0F4761" w:themeColor="accent1" w:themeShade="BF"/>
      <w:sz w:val="28"/>
      <w:szCs w:val="28"/>
    </w:rPr>
  </w:style>
  <w:style w:type="character" w:customStyle="1" w:styleId="50">
    <w:name w:val="标题 5 字符"/>
    <w:basedOn w:val="a0"/>
    <w:link w:val="5"/>
    <w:uiPriority w:val="9"/>
    <w:semiHidden/>
    <w:rsid w:val="002226D0"/>
    <w:rPr>
      <w:rFonts w:cstheme="majorBidi"/>
      <w:color w:val="0F4761" w:themeColor="accent1" w:themeShade="BF"/>
      <w:sz w:val="24"/>
    </w:rPr>
  </w:style>
  <w:style w:type="character" w:customStyle="1" w:styleId="60">
    <w:name w:val="标题 6 字符"/>
    <w:basedOn w:val="a0"/>
    <w:link w:val="6"/>
    <w:uiPriority w:val="9"/>
    <w:semiHidden/>
    <w:rsid w:val="002226D0"/>
    <w:rPr>
      <w:rFonts w:cstheme="majorBidi"/>
      <w:b/>
      <w:bCs/>
      <w:color w:val="0F4761" w:themeColor="accent1" w:themeShade="BF"/>
    </w:rPr>
  </w:style>
  <w:style w:type="character" w:customStyle="1" w:styleId="70">
    <w:name w:val="标题 7 字符"/>
    <w:basedOn w:val="a0"/>
    <w:link w:val="7"/>
    <w:uiPriority w:val="9"/>
    <w:semiHidden/>
    <w:rsid w:val="002226D0"/>
    <w:rPr>
      <w:rFonts w:cstheme="majorBidi"/>
      <w:b/>
      <w:bCs/>
      <w:color w:val="595959" w:themeColor="text1" w:themeTint="A6"/>
    </w:rPr>
  </w:style>
  <w:style w:type="character" w:customStyle="1" w:styleId="80">
    <w:name w:val="标题 8 字符"/>
    <w:basedOn w:val="a0"/>
    <w:link w:val="8"/>
    <w:uiPriority w:val="9"/>
    <w:semiHidden/>
    <w:rsid w:val="002226D0"/>
    <w:rPr>
      <w:rFonts w:cstheme="majorBidi"/>
      <w:color w:val="595959" w:themeColor="text1" w:themeTint="A6"/>
    </w:rPr>
  </w:style>
  <w:style w:type="character" w:customStyle="1" w:styleId="90">
    <w:name w:val="标题 9 字符"/>
    <w:basedOn w:val="a0"/>
    <w:link w:val="9"/>
    <w:uiPriority w:val="9"/>
    <w:semiHidden/>
    <w:rsid w:val="002226D0"/>
    <w:rPr>
      <w:rFonts w:eastAsiaTheme="majorEastAsia" w:cstheme="majorBidi"/>
      <w:color w:val="595959" w:themeColor="text1" w:themeTint="A6"/>
    </w:rPr>
  </w:style>
  <w:style w:type="paragraph" w:styleId="a3">
    <w:name w:val="Title"/>
    <w:basedOn w:val="a"/>
    <w:next w:val="a"/>
    <w:link w:val="a4"/>
    <w:uiPriority w:val="10"/>
    <w:qFormat/>
    <w:rsid w:val="002226D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226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26D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226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26D0"/>
    <w:pPr>
      <w:spacing w:before="160"/>
      <w:jc w:val="center"/>
    </w:pPr>
    <w:rPr>
      <w:i/>
      <w:iCs/>
      <w:color w:val="404040" w:themeColor="text1" w:themeTint="BF"/>
    </w:rPr>
  </w:style>
  <w:style w:type="character" w:customStyle="1" w:styleId="a8">
    <w:name w:val="引用 字符"/>
    <w:basedOn w:val="a0"/>
    <w:link w:val="a7"/>
    <w:uiPriority w:val="29"/>
    <w:rsid w:val="002226D0"/>
    <w:rPr>
      <w:i/>
      <w:iCs/>
      <w:color w:val="404040" w:themeColor="text1" w:themeTint="BF"/>
    </w:rPr>
  </w:style>
  <w:style w:type="paragraph" w:styleId="a9">
    <w:name w:val="List Paragraph"/>
    <w:basedOn w:val="a"/>
    <w:uiPriority w:val="34"/>
    <w:qFormat/>
    <w:rsid w:val="002226D0"/>
    <w:pPr>
      <w:ind w:left="720"/>
      <w:contextualSpacing/>
    </w:pPr>
  </w:style>
  <w:style w:type="character" w:styleId="aa">
    <w:name w:val="Intense Emphasis"/>
    <w:basedOn w:val="a0"/>
    <w:uiPriority w:val="21"/>
    <w:qFormat/>
    <w:rsid w:val="002226D0"/>
    <w:rPr>
      <w:i/>
      <w:iCs/>
      <w:color w:val="0F4761" w:themeColor="accent1" w:themeShade="BF"/>
    </w:rPr>
  </w:style>
  <w:style w:type="paragraph" w:styleId="ab">
    <w:name w:val="Intense Quote"/>
    <w:basedOn w:val="a"/>
    <w:next w:val="a"/>
    <w:link w:val="ac"/>
    <w:uiPriority w:val="30"/>
    <w:qFormat/>
    <w:rsid w:val="00222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226D0"/>
    <w:rPr>
      <w:i/>
      <w:iCs/>
      <w:color w:val="0F4761" w:themeColor="accent1" w:themeShade="BF"/>
    </w:rPr>
  </w:style>
  <w:style w:type="character" w:styleId="ad">
    <w:name w:val="Intense Reference"/>
    <w:basedOn w:val="a0"/>
    <w:uiPriority w:val="32"/>
    <w:qFormat/>
    <w:rsid w:val="002226D0"/>
    <w:rPr>
      <w:b/>
      <w:bCs/>
      <w:smallCaps/>
      <w:color w:val="0F4761" w:themeColor="accent1" w:themeShade="BF"/>
      <w:spacing w:val="5"/>
    </w:rPr>
  </w:style>
  <w:style w:type="paragraph" w:styleId="ae">
    <w:name w:val="header"/>
    <w:basedOn w:val="a"/>
    <w:link w:val="af"/>
    <w:uiPriority w:val="99"/>
    <w:unhideWhenUsed/>
    <w:rsid w:val="002D7BB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D7BB2"/>
    <w:rPr>
      <w:sz w:val="18"/>
      <w:szCs w:val="18"/>
    </w:rPr>
  </w:style>
  <w:style w:type="paragraph" w:styleId="af0">
    <w:name w:val="footer"/>
    <w:basedOn w:val="a"/>
    <w:link w:val="af1"/>
    <w:uiPriority w:val="99"/>
    <w:unhideWhenUsed/>
    <w:rsid w:val="002D7BB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D7BB2"/>
    <w:rPr>
      <w:sz w:val="18"/>
      <w:szCs w:val="18"/>
    </w:rPr>
  </w:style>
  <w:style w:type="paragraph" w:styleId="af2">
    <w:name w:val="caption"/>
    <w:basedOn w:val="a"/>
    <w:next w:val="a"/>
    <w:uiPriority w:val="35"/>
    <w:unhideWhenUsed/>
    <w:qFormat/>
    <w:rsid w:val="00720C67"/>
    <w:rPr>
      <w:rFonts w:asciiTheme="majorHAnsi" w:eastAsia="黑体" w:hAnsiTheme="majorHAnsi" w:cstheme="majorBidi"/>
      <w:sz w:val="20"/>
      <w:szCs w:val="20"/>
    </w:rPr>
  </w:style>
  <w:style w:type="table" w:styleId="af3">
    <w:name w:val="Table Grid"/>
    <w:basedOn w:val="a1"/>
    <w:uiPriority w:val="39"/>
    <w:qFormat/>
    <w:rsid w:val="003B4172"/>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954BB-1629-49F8-A826-2EBC6460B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12</Pages>
  <Words>2255</Words>
  <Characters>15250</Characters>
  <Application>Microsoft Office Word</Application>
  <DocSecurity>0</DocSecurity>
  <Lines>1270</Lines>
  <Paragraphs>1094</Paragraphs>
  <ScaleCrop>false</ScaleCrop>
  <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思源 李</dc:creator>
  <cp:keywords/>
  <dc:description/>
  <cp:lastModifiedBy>思源 李</cp:lastModifiedBy>
  <cp:revision>13</cp:revision>
  <dcterms:created xsi:type="dcterms:W3CDTF">2026-08-03T03:13:00Z</dcterms:created>
  <dcterms:modified xsi:type="dcterms:W3CDTF">2026-08-26T13:41:00Z</dcterms:modified>
</cp:coreProperties>
</file>