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851F4" w14:textId="77777777" w:rsidR="00EF61DF" w:rsidRPr="00EF61DF" w:rsidRDefault="00EF61DF" w:rsidP="00EF61DF">
      <w:pPr>
        <w:spacing w:line="276" w:lineRule="auto"/>
        <w:rPr>
          <w:b/>
          <w:bCs/>
          <w:sz w:val="28"/>
          <w:szCs w:val="28"/>
        </w:rPr>
      </w:pPr>
      <w:r w:rsidRPr="00EF61DF">
        <w:rPr>
          <w:b/>
          <w:bCs/>
          <w:sz w:val="28"/>
          <w:szCs w:val="28"/>
        </w:rPr>
        <w:t>Supplementary Appendix 1</w:t>
      </w:r>
    </w:p>
    <w:p w14:paraId="6F2CE351" w14:textId="77777777" w:rsidR="00EF61DF" w:rsidRPr="00EF61DF" w:rsidRDefault="00EF61DF" w:rsidP="00EF61DF">
      <w:pPr>
        <w:spacing w:line="276" w:lineRule="auto"/>
        <w:rPr>
          <w:sz w:val="22"/>
          <w:szCs w:val="22"/>
        </w:rPr>
      </w:pPr>
      <w:r w:rsidRPr="00EF61DF">
        <w:rPr>
          <w:b/>
          <w:bCs/>
          <w:sz w:val="22"/>
          <w:szCs w:val="22"/>
        </w:rPr>
        <w:t>Ultrasound and colour Doppler assessment and surgical decision protocol for US-/CD-guided surgery</w:t>
      </w:r>
    </w:p>
    <w:p w14:paraId="559B0423" w14:textId="77777777" w:rsidR="00E774A0" w:rsidRDefault="00E774A0" w:rsidP="00E774A0">
      <w:pPr>
        <w:spacing w:line="276" w:lineRule="auto"/>
        <w:rPr>
          <w:b/>
          <w:bCs/>
        </w:rPr>
      </w:pPr>
      <w:r w:rsidRPr="00E774A0">
        <w:rPr>
          <w:b/>
          <w:bCs/>
          <w:sz w:val="22"/>
          <w:szCs w:val="22"/>
        </w:rPr>
        <w:t>Purpose</w:t>
      </w:r>
      <w:r w:rsidRPr="00E774A0">
        <w:rPr>
          <w:b/>
          <w:bCs/>
          <w:sz w:val="22"/>
          <w:szCs w:val="22"/>
        </w:rPr>
        <w:br/>
      </w:r>
      <w:r w:rsidRPr="00E774A0">
        <w:rPr>
          <w:sz w:val="22"/>
          <w:szCs w:val="22"/>
        </w:rPr>
        <w:t>This protocol describes the ultrasound and colour Doppler (US/CD) assessment used for patients undergoing US-/CD-guided wide-awake local anaesthesia no tourniquet (WALANT) surgery for insertional Achilles tendinopathy and how clinical and imaging findings were translated into surgical decision-making.</w:t>
      </w:r>
      <w:r w:rsidRPr="00E774A0">
        <w:rPr>
          <w:b/>
          <w:bCs/>
        </w:rPr>
        <w:t xml:space="preserve"> </w:t>
      </w:r>
    </w:p>
    <w:p w14:paraId="00C6DEB0" w14:textId="6859BC55" w:rsidR="00E774A0" w:rsidRDefault="00E774A0" w:rsidP="00E774A0">
      <w:pPr>
        <w:spacing w:line="276" w:lineRule="auto"/>
        <w:rPr>
          <w:b/>
          <w:bCs/>
          <w:sz w:val="22"/>
          <w:szCs w:val="22"/>
        </w:rPr>
      </w:pPr>
      <w:r w:rsidRPr="00E774A0">
        <w:rPr>
          <w:b/>
          <w:bCs/>
          <w:sz w:val="22"/>
          <w:szCs w:val="22"/>
        </w:rPr>
        <w:t>Timing of assessment</w:t>
      </w:r>
      <w:r w:rsidRPr="00E774A0">
        <w:rPr>
          <w:b/>
          <w:bCs/>
          <w:sz w:val="22"/>
          <w:szCs w:val="22"/>
        </w:rPr>
        <w:br/>
      </w:r>
      <w:r w:rsidRPr="00E774A0">
        <w:rPr>
          <w:sz w:val="22"/>
          <w:szCs w:val="22"/>
        </w:rPr>
        <w:t>US/CD examination was performed during the preoperative clinical evaluation and repeated immediately before surgery. The second examination was used to confirm the presence and location of pathological structures selected for treatment and to mark these structures on the skin. Ultrasound was not used intraoperatively. Preoperative MRI was not routinely used for surgical planning.</w:t>
      </w:r>
    </w:p>
    <w:p w14:paraId="69E534E3" w14:textId="54C5D9B3" w:rsidR="00E774A0" w:rsidRDefault="00E774A0" w:rsidP="00EF61DF">
      <w:pPr>
        <w:spacing w:line="276" w:lineRule="auto"/>
        <w:rPr>
          <w:b/>
          <w:bCs/>
          <w:sz w:val="22"/>
          <w:szCs w:val="22"/>
        </w:rPr>
      </w:pPr>
      <w:r w:rsidRPr="00E774A0">
        <w:rPr>
          <w:b/>
          <w:bCs/>
          <w:sz w:val="22"/>
          <w:szCs w:val="22"/>
        </w:rPr>
        <w:t>General assessment principle</w:t>
      </w:r>
      <w:r w:rsidRPr="00E774A0">
        <w:rPr>
          <w:b/>
          <w:bCs/>
          <w:sz w:val="22"/>
          <w:szCs w:val="22"/>
        </w:rPr>
        <w:br/>
      </w:r>
      <w:r w:rsidRPr="00E774A0">
        <w:rPr>
          <w:sz w:val="22"/>
          <w:szCs w:val="22"/>
        </w:rPr>
        <w:t>Surgical treatment was not based on an abnormal ultrasound finding alone. Clinical findings, including the location of tenderness on palpation, were co</w:t>
      </w:r>
      <w:r>
        <w:rPr>
          <w:sz w:val="22"/>
          <w:szCs w:val="22"/>
        </w:rPr>
        <w:t>mpared</w:t>
      </w:r>
      <w:r w:rsidRPr="00E774A0">
        <w:rPr>
          <w:sz w:val="22"/>
          <w:szCs w:val="22"/>
        </w:rPr>
        <w:t xml:space="preserve"> </w:t>
      </w:r>
      <w:r>
        <w:rPr>
          <w:sz w:val="22"/>
          <w:szCs w:val="22"/>
        </w:rPr>
        <w:t>to</w:t>
      </w:r>
      <w:r w:rsidRPr="00E774A0">
        <w:rPr>
          <w:sz w:val="22"/>
          <w:szCs w:val="22"/>
        </w:rPr>
        <w:t xml:space="preserve"> US/CD findings. For the posterosuperior calcaneal prominence (Haglund deformity), the final decision regarding resection was based on intraoperative assessment of mechanical impingement.</w:t>
      </w:r>
    </w:p>
    <w:p w14:paraId="3AC7A391" w14:textId="71AE4AAC" w:rsidR="00EF61DF" w:rsidRPr="00EF61DF" w:rsidRDefault="00EF61DF" w:rsidP="00EF61DF">
      <w:pPr>
        <w:spacing w:line="276" w:lineRule="auto"/>
        <w:rPr>
          <w:sz w:val="22"/>
          <w:szCs w:val="22"/>
        </w:rPr>
      </w:pPr>
      <w:r w:rsidRPr="00EF61DF">
        <w:rPr>
          <w:b/>
          <w:bCs/>
          <w:sz w:val="22"/>
          <w:szCs w:val="22"/>
        </w:rPr>
        <w:t>Subcutaneous and retrocalcaneal bursae</w:t>
      </w:r>
      <w:r w:rsidRPr="00EF61DF">
        <w:rPr>
          <w:sz w:val="22"/>
          <w:szCs w:val="22"/>
        </w:rPr>
        <w:br/>
        <w:t xml:space="preserve">The bursae </w:t>
      </w:r>
      <w:r w:rsidR="00E774A0">
        <w:rPr>
          <w:sz w:val="22"/>
          <w:szCs w:val="22"/>
        </w:rPr>
        <w:t>were</w:t>
      </w:r>
      <w:r w:rsidRPr="00EF61DF">
        <w:rPr>
          <w:sz w:val="22"/>
          <w:szCs w:val="22"/>
        </w:rPr>
        <w:t xml:space="preserve"> assessed for enlargement and increased Doppler activity. Bursectomy </w:t>
      </w:r>
      <w:r w:rsidR="00E774A0">
        <w:rPr>
          <w:sz w:val="22"/>
          <w:szCs w:val="22"/>
        </w:rPr>
        <w:t>was</w:t>
      </w:r>
      <w:r w:rsidRPr="00EF61DF">
        <w:rPr>
          <w:sz w:val="22"/>
          <w:szCs w:val="22"/>
        </w:rPr>
        <w:t xml:space="preserve"> performed when localized tenderness over the corresponding bursa </w:t>
      </w:r>
      <w:r w:rsidR="00E774A0">
        <w:rPr>
          <w:sz w:val="22"/>
          <w:szCs w:val="22"/>
        </w:rPr>
        <w:t>was</w:t>
      </w:r>
      <w:r w:rsidRPr="00EF61DF">
        <w:rPr>
          <w:sz w:val="22"/>
          <w:szCs w:val="22"/>
        </w:rPr>
        <w:t xml:space="preserve"> </w:t>
      </w:r>
      <w:r w:rsidR="00E774A0">
        <w:rPr>
          <w:sz w:val="22"/>
          <w:szCs w:val="22"/>
        </w:rPr>
        <w:t>combined</w:t>
      </w:r>
      <w:r w:rsidRPr="00EF61DF">
        <w:rPr>
          <w:sz w:val="22"/>
          <w:szCs w:val="22"/>
        </w:rPr>
        <w:t xml:space="preserve"> with enlargement and increased Doppler activity.</w:t>
      </w:r>
    </w:p>
    <w:p w14:paraId="17DAD0EA" w14:textId="0E5773E8" w:rsidR="00EF61DF" w:rsidRPr="00EF61DF" w:rsidRDefault="00EF61DF" w:rsidP="00EF61DF">
      <w:pPr>
        <w:spacing w:line="276" w:lineRule="auto"/>
        <w:rPr>
          <w:sz w:val="22"/>
          <w:szCs w:val="22"/>
        </w:rPr>
      </w:pPr>
      <w:r w:rsidRPr="00EF61DF">
        <w:rPr>
          <w:b/>
          <w:bCs/>
          <w:sz w:val="22"/>
          <w:szCs w:val="22"/>
        </w:rPr>
        <w:t>Achilles tendon degeneration</w:t>
      </w:r>
      <w:r w:rsidRPr="00EF61DF">
        <w:rPr>
          <w:sz w:val="22"/>
          <w:szCs w:val="22"/>
        </w:rPr>
        <w:br/>
        <w:t xml:space="preserve">Tendon degeneration </w:t>
      </w:r>
      <w:r w:rsidR="00E774A0">
        <w:rPr>
          <w:sz w:val="22"/>
          <w:szCs w:val="22"/>
        </w:rPr>
        <w:t>was</w:t>
      </w:r>
      <w:r w:rsidRPr="00EF61DF">
        <w:rPr>
          <w:sz w:val="22"/>
          <w:szCs w:val="22"/>
        </w:rPr>
        <w:t xml:space="preserve"> identified by disruption and disorganization of the normal fibrillar pattern with loss of the normal parallel fibre architecture. Distal Achilles tendon degeneration alone </w:t>
      </w:r>
      <w:r w:rsidR="00E774A0">
        <w:rPr>
          <w:sz w:val="22"/>
          <w:szCs w:val="22"/>
        </w:rPr>
        <w:t>was</w:t>
      </w:r>
      <w:r w:rsidRPr="00EF61DF">
        <w:rPr>
          <w:sz w:val="22"/>
          <w:szCs w:val="22"/>
        </w:rPr>
        <w:t xml:space="preserve"> not treated surgically.</w:t>
      </w:r>
    </w:p>
    <w:p w14:paraId="408D4F50" w14:textId="1AF98B9D" w:rsidR="00EF61DF" w:rsidRPr="00EF61DF" w:rsidRDefault="00EF61DF" w:rsidP="00EF61DF">
      <w:pPr>
        <w:spacing w:line="276" w:lineRule="auto"/>
        <w:rPr>
          <w:sz w:val="22"/>
          <w:szCs w:val="22"/>
        </w:rPr>
      </w:pPr>
      <w:r w:rsidRPr="00EF61DF">
        <w:rPr>
          <w:b/>
          <w:bCs/>
          <w:sz w:val="22"/>
          <w:szCs w:val="22"/>
        </w:rPr>
        <w:t>Partial Achilles tendon tears</w:t>
      </w:r>
      <w:r w:rsidRPr="00EF61DF">
        <w:rPr>
          <w:sz w:val="22"/>
          <w:szCs w:val="22"/>
        </w:rPr>
        <w:br/>
        <w:t xml:space="preserve">Partial tears </w:t>
      </w:r>
      <w:r w:rsidR="00E774A0">
        <w:rPr>
          <w:sz w:val="22"/>
          <w:szCs w:val="22"/>
        </w:rPr>
        <w:t>were</w:t>
      </w:r>
      <w:r w:rsidRPr="00EF61DF">
        <w:rPr>
          <w:sz w:val="22"/>
          <w:szCs w:val="22"/>
        </w:rPr>
        <w:t xml:space="preserve"> identified as focal hypoechoic or anechoic defects within the tendon. Small partial tears </w:t>
      </w:r>
      <w:r w:rsidR="00E774A0">
        <w:rPr>
          <w:sz w:val="22"/>
          <w:szCs w:val="22"/>
        </w:rPr>
        <w:t>were</w:t>
      </w:r>
      <w:r w:rsidRPr="00EF61DF">
        <w:rPr>
          <w:sz w:val="22"/>
          <w:szCs w:val="22"/>
        </w:rPr>
        <w:t xml:space="preserve"> left untreated. When a larger partial tear </w:t>
      </w:r>
      <w:r w:rsidR="00E774A0">
        <w:rPr>
          <w:sz w:val="22"/>
          <w:szCs w:val="22"/>
        </w:rPr>
        <w:t>was</w:t>
      </w:r>
      <w:r w:rsidRPr="00EF61DF">
        <w:rPr>
          <w:sz w:val="22"/>
          <w:szCs w:val="22"/>
        </w:rPr>
        <w:t xml:space="preserve"> identified, surgery </w:t>
      </w:r>
      <w:r w:rsidR="00E774A0">
        <w:rPr>
          <w:sz w:val="22"/>
          <w:szCs w:val="22"/>
        </w:rPr>
        <w:t>was</w:t>
      </w:r>
      <w:r w:rsidRPr="00EF61DF">
        <w:rPr>
          <w:sz w:val="22"/>
          <w:szCs w:val="22"/>
        </w:rPr>
        <w:t xml:space="preserve"> postponed </w:t>
      </w:r>
      <w:proofErr w:type="gramStart"/>
      <w:r w:rsidRPr="00EF61DF">
        <w:rPr>
          <w:sz w:val="22"/>
          <w:szCs w:val="22"/>
        </w:rPr>
        <w:t>to allow</w:t>
      </w:r>
      <w:proofErr w:type="gramEnd"/>
      <w:r w:rsidRPr="00EF61DF">
        <w:rPr>
          <w:sz w:val="22"/>
          <w:szCs w:val="22"/>
        </w:rPr>
        <w:t xml:space="preserve"> initial conservative healing and reduce the risk of postoperative complete rupture.</w:t>
      </w:r>
    </w:p>
    <w:p w14:paraId="082893A5" w14:textId="7C8AA96C" w:rsidR="00EF61DF" w:rsidRPr="00EF61DF" w:rsidRDefault="00EF61DF" w:rsidP="00EF61DF">
      <w:pPr>
        <w:spacing w:line="276" w:lineRule="auto"/>
        <w:rPr>
          <w:sz w:val="22"/>
          <w:szCs w:val="22"/>
        </w:rPr>
      </w:pPr>
      <w:r w:rsidRPr="00EF61DF">
        <w:rPr>
          <w:b/>
          <w:bCs/>
          <w:sz w:val="22"/>
          <w:szCs w:val="22"/>
        </w:rPr>
        <w:t>Plantaris tendon</w:t>
      </w:r>
      <w:r w:rsidRPr="00EF61DF">
        <w:rPr>
          <w:sz w:val="22"/>
          <w:szCs w:val="22"/>
        </w:rPr>
        <w:br/>
        <w:t xml:space="preserve">Plantaris involvement </w:t>
      </w:r>
      <w:r w:rsidR="00E774A0">
        <w:rPr>
          <w:sz w:val="22"/>
          <w:szCs w:val="22"/>
        </w:rPr>
        <w:t>was</w:t>
      </w:r>
      <w:r w:rsidRPr="00EF61DF">
        <w:rPr>
          <w:sz w:val="22"/>
          <w:szCs w:val="22"/>
        </w:rPr>
        <w:t xml:space="preserve"> considered present when localized tenderness on palpation over the plantaris tendon </w:t>
      </w:r>
      <w:r w:rsidR="00E774A0">
        <w:rPr>
          <w:sz w:val="22"/>
          <w:szCs w:val="22"/>
        </w:rPr>
        <w:t>was combined with</w:t>
      </w:r>
      <w:r w:rsidRPr="00EF61DF">
        <w:rPr>
          <w:sz w:val="22"/>
          <w:szCs w:val="22"/>
        </w:rPr>
        <w:t xml:space="preserve"> a thickened and tendinopathic appearance on ultrasound. When </w:t>
      </w:r>
      <w:r w:rsidR="00E774A0">
        <w:rPr>
          <w:sz w:val="22"/>
          <w:szCs w:val="22"/>
        </w:rPr>
        <w:t xml:space="preserve">both </w:t>
      </w:r>
      <w:r w:rsidRPr="00EF61DF">
        <w:rPr>
          <w:sz w:val="22"/>
          <w:szCs w:val="22"/>
        </w:rPr>
        <w:t xml:space="preserve">findings </w:t>
      </w:r>
      <w:r w:rsidR="00E774A0">
        <w:rPr>
          <w:sz w:val="22"/>
          <w:szCs w:val="22"/>
        </w:rPr>
        <w:t>were</w:t>
      </w:r>
      <w:r w:rsidRPr="00EF61DF">
        <w:rPr>
          <w:sz w:val="22"/>
          <w:szCs w:val="22"/>
        </w:rPr>
        <w:t xml:space="preserve"> present, the distal 5–7 cm of the plantaris tendon </w:t>
      </w:r>
      <w:r w:rsidR="00E774A0">
        <w:rPr>
          <w:sz w:val="22"/>
          <w:szCs w:val="22"/>
        </w:rPr>
        <w:t>was</w:t>
      </w:r>
      <w:r w:rsidRPr="00EF61DF">
        <w:rPr>
          <w:sz w:val="22"/>
          <w:szCs w:val="22"/>
        </w:rPr>
        <w:t xml:space="preserve"> excised.</w:t>
      </w:r>
    </w:p>
    <w:p w14:paraId="17B4E3C8" w14:textId="6338B922" w:rsidR="00EF61DF" w:rsidRPr="00EF61DF" w:rsidRDefault="00EF61DF" w:rsidP="00EF61DF">
      <w:pPr>
        <w:spacing w:line="276" w:lineRule="auto"/>
        <w:rPr>
          <w:sz w:val="22"/>
          <w:szCs w:val="22"/>
        </w:rPr>
      </w:pPr>
      <w:proofErr w:type="spellStart"/>
      <w:r w:rsidRPr="00EF61DF">
        <w:rPr>
          <w:b/>
          <w:bCs/>
          <w:sz w:val="22"/>
          <w:szCs w:val="22"/>
        </w:rPr>
        <w:t>Intratendinous</w:t>
      </w:r>
      <w:proofErr w:type="spellEnd"/>
      <w:r w:rsidRPr="00EF61DF">
        <w:rPr>
          <w:b/>
          <w:bCs/>
          <w:sz w:val="22"/>
          <w:szCs w:val="22"/>
        </w:rPr>
        <w:t xml:space="preserve"> ossification</w:t>
      </w:r>
      <w:r w:rsidRPr="00EF61DF">
        <w:rPr>
          <w:sz w:val="22"/>
          <w:szCs w:val="22"/>
        </w:rPr>
        <w:br/>
      </w:r>
      <w:proofErr w:type="spellStart"/>
      <w:r w:rsidRPr="00EF61DF">
        <w:rPr>
          <w:sz w:val="22"/>
          <w:szCs w:val="22"/>
        </w:rPr>
        <w:t>Intratendinous</w:t>
      </w:r>
      <w:proofErr w:type="spellEnd"/>
      <w:r w:rsidRPr="00EF61DF">
        <w:rPr>
          <w:sz w:val="22"/>
          <w:szCs w:val="22"/>
        </w:rPr>
        <w:t xml:space="preserve"> ossification </w:t>
      </w:r>
      <w:r w:rsidR="00E774A0">
        <w:rPr>
          <w:sz w:val="22"/>
          <w:szCs w:val="22"/>
        </w:rPr>
        <w:t>was</w:t>
      </w:r>
      <w:r w:rsidRPr="00EF61DF">
        <w:rPr>
          <w:sz w:val="22"/>
          <w:szCs w:val="22"/>
        </w:rPr>
        <w:t xml:space="preserve"> identified as an echogenic bony structure with acoustic shadowing, and surrounding Doppler activity </w:t>
      </w:r>
      <w:r w:rsidR="00E774A0">
        <w:rPr>
          <w:sz w:val="22"/>
          <w:szCs w:val="22"/>
        </w:rPr>
        <w:t>was</w:t>
      </w:r>
      <w:r w:rsidRPr="00EF61DF">
        <w:rPr>
          <w:sz w:val="22"/>
          <w:szCs w:val="22"/>
        </w:rPr>
        <w:t xml:space="preserve"> assessed. </w:t>
      </w:r>
      <w:proofErr w:type="spellStart"/>
      <w:r w:rsidRPr="00EF61DF">
        <w:rPr>
          <w:sz w:val="22"/>
          <w:szCs w:val="22"/>
        </w:rPr>
        <w:t>Intratendinous</w:t>
      </w:r>
      <w:proofErr w:type="spellEnd"/>
      <w:r w:rsidRPr="00EF61DF">
        <w:rPr>
          <w:sz w:val="22"/>
          <w:szCs w:val="22"/>
        </w:rPr>
        <w:t xml:space="preserve"> ossification </w:t>
      </w:r>
      <w:r w:rsidR="00E774A0">
        <w:rPr>
          <w:sz w:val="22"/>
          <w:szCs w:val="22"/>
        </w:rPr>
        <w:t>was</w:t>
      </w:r>
      <w:r w:rsidRPr="00EF61DF">
        <w:rPr>
          <w:sz w:val="22"/>
          <w:szCs w:val="22"/>
        </w:rPr>
        <w:t xml:space="preserve"> </w:t>
      </w:r>
      <w:r w:rsidRPr="00EF61DF">
        <w:rPr>
          <w:sz w:val="22"/>
          <w:szCs w:val="22"/>
        </w:rPr>
        <w:lastRenderedPageBreak/>
        <w:t>generally left untreated</w:t>
      </w:r>
      <w:r w:rsidR="00E774A0">
        <w:rPr>
          <w:sz w:val="22"/>
          <w:szCs w:val="22"/>
        </w:rPr>
        <w:t xml:space="preserve"> but was</w:t>
      </w:r>
      <w:r w:rsidRPr="00EF61DF">
        <w:rPr>
          <w:sz w:val="22"/>
          <w:szCs w:val="22"/>
        </w:rPr>
        <w:t xml:space="preserve"> dissected from the tendon and excised</w:t>
      </w:r>
      <w:r w:rsidR="00E774A0">
        <w:rPr>
          <w:sz w:val="22"/>
          <w:szCs w:val="22"/>
        </w:rPr>
        <w:t xml:space="preserve"> </w:t>
      </w:r>
      <w:r w:rsidR="00A5418B">
        <w:rPr>
          <w:sz w:val="22"/>
          <w:szCs w:val="22"/>
        </w:rPr>
        <w:t>w</w:t>
      </w:r>
      <w:r w:rsidR="00E774A0" w:rsidRPr="00EF61DF">
        <w:rPr>
          <w:sz w:val="22"/>
          <w:szCs w:val="22"/>
        </w:rPr>
        <w:t>hen associated with marked Doppler activity</w:t>
      </w:r>
      <w:r w:rsidR="00A5418B">
        <w:rPr>
          <w:sz w:val="22"/>
          <w:szCs w:val="22"/>
        </w:rPr>
        <w:t>.</w:t>
      </w:r>
    </w:p>
    <w:p w14:paraId="11932409" w14:textId="1958743E" w:rsidR="00EF61DF" w:rsidRPr="00EF61DF" w:rsidRDefault="00EF61DF" w:rsidP="00EF61DF">
      <w:pPr>
        <w:spacing w:line="276" w:lineRule="auto"/>
        <w:rPr>
          <w:sz w:val="22"/>
          <w:szCs w:val="22"/>
        </w:rPr>
      </w:pPr>
      <w:r w:rsidRPr="00EF61DF">
        <w:rPr>
          <w:b/>
          <w:bCs/>
          <w:sz w:val="22"/>
          <w:szCs w:val="22"/>
        </w:rPr>
        <w:t>Posterior calcaneal spur</w:t>
      </w:r>
      <w:r w:rsidRPr="00EF61DF">
        <w:rPr>
          <w:sz w:val="22"/>
          <w:szCs w:val="22"/>
        </w:rPr>
        <w:br/>
        <w:t xml:space="preserve">Posterior calcaneal spurs </w:t>
      </w:r>
      <w:r w:rsidR="00A5418B">
        <w:rPr>
          <w:sz w:val="22"/>
          <w:szCs w:val="22"/>
        </w:rPr>
        <w:t>were</w:t>
      </w:r>
      <w:r w:rsidRPr="00EF61DF">
        <w:rPr>
          <w:sz w:val="22"/>
          <w:szCs w:val="22"/>
        </w:rPr>
        <w:t xml:space="preserve"> identified as echogenic bony structures with acoustic shadowing. Resection </w:t>
      </w:r>
      <w:r w:rsidR="00A5418B">
        <w:rPr>
          <w:sz w:val="22"/>
          <w:szCs w:val="22"/>
        </w:rPr>
        <w:t>was</w:t>
      </w:r>
      <w:r w:rsidRPr="00EF61DF">
        <w:rPr>
          <w:sz w:val="22"/>
          <w:szCs w:val="22"/>
        </w:rPr>
        <w:t xml:space="preserve"> performed when localized tenderness</w:t>
      </w:r>
      <w:r w:rsidR="00A5418B">
        <w:rPr>
          <w:sz w:val="22"/>
          <w:szCs w:val="22"/>
        </w:rPr>
        <w:t xml:space="preserve"> was combined with</w:t>
      </w:r>
      <w:r w:rsidRPr="00EF61DF">
        <w:rPr>
          <w:sz w:val="22"/>
          <w:szCs w:val="22"/>
        </w:rPr>
        <w:t xml:space="preserve"> a spur on ultrasound </w:t>
      </w:r>
      <w:r w:rsidR="00A5418B">
        <w:rPr>
          <w:sz w:val="22"/>
          <w:szCs w:val="22"/>
        </w:rPr>
        <w:t xml:space="preserve">together </w:t>
      </w:r>
      <w:r w:rsidRPr="00EF61DF">
        <w:rPr>
          <w:sz w:val="22"/>
          <w:szCs w:val="22"/>
        </w:rPr>
        <w:t>with increased Doppler activity.</w:t>
      </w:r>
    </w:p>
    <w:p w14:paraId="54DA1F78" w14:textId="1431F5EC" w:rsidR="00EF61DF" w:rsidRPr="00EF61DF" w:rsidRDefault="00EF61DF" w:rsidP="00EF61DF">
      <w:pPr>
        <w:spacing w:line="276" w:lineRule="auto"/>
        <w:rPr>
          <w:sz w:val="22"/>
          <w:szCs w:val="22"/>
        </w:rPr>
      </w:pPr>
      <w:r w:rsidRPr="00EF61DF">
        <w:rPr>
          <w:b/>
          <w:bCs/>
          <w:sz w:val="22"/>
          <w:szCs w:val="22"/>
        </w:rPr>
        <w:t>Posterosuperior calcaneal prominence (Haglund deformity)</w:t>
      </w:r>
      <w:r w:rsidRPr="00EF61DF">
        <w:rPr>
          <w:sz w:val="22"/>
          <w:szCs w:val="22"/>
        </w:rPr>
        <w:br/>
        <w:t xml:space="preserve">The posterosuperior calcaneal prominence </w:t>
      </w:r>
      <w:r w:rsidR="00A5418B">
        <w:rPr>
          <w:sz w:val="22"/>
          <w:szCs w:val="22"/>
        </w:rPr>
        <w:t>was</w:t>
      </w:r>
      <w:r w:rsidRPr="00EF61DF">
        <w:rPr>
          <w:sz w:val="22"/>
          <w:szCs w:val="22"/>
        </w:rPr>
        <w:t xml:space="preserve"> assessed preoperatively as part of the US/CD examination. The final decision regarding resection </w:t>
      </w:r>
      <w:r w:rsidR="00A5418B">
        <w:rPr>
          <w:sz w:val="22"/>
          <w:szCs w:val="22"/>
        </w:rPr>
        <w:t>was</w:t>
      </w:r>
      <w:r w:rsidRPr="00EF61DF">
        <w:rPr>
          <w:sz w:val="22"/>
          <w:szCs w:val="22"/>
        </w:rPr>
        <w:t xml:space="preserve"> made intraoperatively after removal of the retrocalcaneal bursa. The ankle </w:t>
      </w:r>
      <w:r w:rsidR="00A5418B">
        <w:rPr>
          <w:sz w:val="22"/>
          <w:szCs w:val="22"/>
        </w:rPr>
        <w:t>was</w:t>
      </w:r>
      <w:r w:rsidRPr="00EF61DF">
        <w:rPr>
          <w:sz w:val="22"/>
          <w:szCs w:val="22"/>
        </w:rPr>
        <w:t xml:space="preserve"> moved through flexion and extension while the prominence </w:t>
      </w:r>
      <w:r w:rsidR="00A5418B">
        <w:rPr>
          <w:sz w:val="22"/>
          <w:szCs w:val="22"/>
        </w:rPr>
        <w:t>was</w:t>
      </w:r>
      <w:r w:rsidRPr="00EF61DF">
        <w:rPr>
          <w:sz w:val="22"/>
          <w:szCs w:val="22"/>
        </w:rPr>
        <w:t xml:space="preserve"> manually assessed for mechanical impingement against the surrounding soft tissues. The prominence </w:t>
      </w:r>
      <w:r w:rsidR="00A5418B">
        <w:rPr>
          <w:sz w:val="22"/>
          <w:szCs w:val="22"/>
        </w:rPr>
        <w:t>was</w:t>
      </w:r>
      <w:r w:rsidRPr="00EF61DF">
        <w:rPr>
          <w:sz w:val="22"/>
          <w:szCs w:val="22"/>
        </w:rPr>
        <w:t xml:space="preserve"> </w:t>
      </w:r>
      <w:r w:rsidR="00A5418B">
        <w:rPr>
          <w:sz w:val="22"/>
          <w:szCs w:val="22"/>
        </w:rPr>
        <w:t xml:space="preserve">only </w:t>
      </w:r>
      <w:r w:rsidRPr="00EF61DF">
        <w:rPr>
          <w:sz w:val="22"/>
          <w:szCs w:val="22"/>
        </w:rPr>
        <w:t xml:space="preserve">resected when mechanical impingement </w:t>
      </w:r>
      <w:r w:rsidR="00A5418B">
        <w:rPr>
          <w:sz w:val="22"/>
          <w:szCs w:val="22"/>
        </w:rPr>
        <w:t>was</w:t>
      </w:r>
      <w:r w:rsidRPr="00EF61DF">
        <w:rPr>
          <w:sz w:val="22"/>
          <w:szCs w:val="22"/>
        </w:rPr>
        <w:t xml:space="preserve"> present</w:t>
      </w:r>
      <w:r w:rsidR="00A5418B">
        <w:rPr>
          <w:sz w:val="22"/>
          <w:szCs w:val="22"/>
        </w:rPr>
        <w:t>.</w:t>
      </w:r>
    </w:p>
    <w:p w14:paraId="278319C4" w14:textId="7D2689BA" w:rsidR="00A26567" w:rsidRDefault="00EF61DF" w:rsidP="00EF61DF">
      <w:pPr>
        <w:spacing w:line="276" w:lineRule="auto"/>
        <w:rPr>
          <w:sz w:val="22"/>
          <w:szCs w:val="22"/>
        </w:rPr>
      </w:pPr>
      <w:r w:rsidRPr="00EF61DF">
        <w:rPr>
          <w:b/>
          <w:bCs/>
          <w:sz w:val="22"/>
          <w:szCs w:val="22"/>
        </w:rPr>
        <w:t>Personnel</w:t>
      </w:r>
      <w:r w:rsidRPr="00EF61DF">
        <w:rPr>
          <w:sz w:val="22"/>
          <w:szCs w:val="22"/>
        </w:rPr>
        <w:br/>
        <w:t xml:space="preserve">In the present treatment pathway, US/CD assessment </w:t>
      </w:r>
      <w:r w:rsidR="00A5418B">
        <w:rPr>
          <w:sz w:val="22"/>
          <w:szCs w:val="22"/>
        </w:rPr>
        <w:t>was</w:t>
      </w:r>
      <w:r w:rsidRPr="00EF61DF">
        <w:rPr>
          <w:sz w:val="22"/>
          <w:szCs w:val="22"/>
        </w:rPr>
        <w:t xml:space="preserve"> performed by an experienced physiotherapist with ultrasound expertise, while the surgical procedure </w:t>
      </w:r>
      <w:r w:rsidR="00A5418B">
        <w:rPr>
          <w:sz w:val="22"/>
          <w:szCs w:val="22"/>
        </w:rPr>
        <w:t>was</w:t>
      </w:r>
      <w:r w:rsidRPr="00EF61DF">
        <w:rPr>
          <w:sz w:val="22"/>
          <w:szCs w:val="22"/>
        </w:rPr>
        <w:t xml:space="preserve"> performed by </w:t>
      </w:r>
      <w:r w:rsidR="00A5418B">
        <w:rPr>
          <w:sz w:val="22"/>
          <w:szCs w:val="22"/>
        </w:rPr>
        <w:t>a</w:t>
      </w:r>
      <w:r w:rsidRPr="00EF61DF">
        <w:rPr>
          <w:sz w:val="22"/>
          <w:szCs w:val="22"/>
        </w:rPr>
        <w:t xml:space="preserve"> foot and ankle surgeon. </w:t>
      </w:r>
    </w:p>
    <w:p w14:paraId="2CDB47F9" w14:textId="77777777" w:rsidR="009270C0" w:rsidRDefault="009270C0" w:rsidP="00EF61DF">
      <w:pPr>
        <w:spacing w:line="276" w:lineRule="auto"/>
        <w:rPr>
          <w:sz w:val="22"/>
          <w:szCs w:val="22"/>
        </w:rPr>
      </w:pPr>
    </w:p>
    <w:p w14:paraId="013D6C24" w14:textId="3B0FBBCE" w:rsidR="009270C0" w:rsidRPr="009270C0" w:rsidRDefault="009270C0" w:rsidP="0043100F">
      <w:pPr>
        <w:spacing w:after="0" w:line="276" w:lineRule="auto"/>
        <w:rPr>
          <w:b/>
          <w:bCs/>
          <w:sz w:val="20"/>
          <w:szCs w:val="20"/>
        </w:rPr>
      </w:pPr>
      <w:r w:rsidRPr="009270C0">
        <w:rPr>
          <w:b/>
          <w:bCs/>
          <w:sz w:val="20"/>
          <w:szCs w:val="20"/>
        </w:rPr>
        <w:t>Table S1. Summary of clinical and US/CD findings and corresponding surgical decisions in the present treatment pathway.</w:t>
      </w:r>
    </w:p>
    <w:tbl>
      <w:tblPr>
        <w:tblpPr w:leftFromText="141" w:rightFromText="141" w:vertAnchor="text" w:horzAnchor="margin" w:tblpY="495"/>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2084"/>
        <w:gridCol w:w="1344"/>
        <w:gridCol w:w="2622"/>
        <w:gridCol w:w="2976"/>
      </w:tblGrid>
      <w:tr w:rsidR="000454AC" w:rsidRPr="000454AC" w14:paraId="75B3F62F" w14:textId="77777777" w:rsidTr="000454AC">
        <w:trPr>
          <w:tblHeader/>
          <w:tblCellSpacing w:w="15" w:type="dxa"/>
        </w:trPr>
        <w:tc>
          <w:tcPr>
            <w:tcW w:w="0" w:type="auto"/>
            <w:vAlign w:val="center"/>
            <w:hideMark/>
          </w:tcPr>
          <w:p w14:paraId="3966676E" w14:textId="77777777" w:rsidR="000454AC" w:rsidRPr="000454AC" w:rsidRDefault="000454AC" w:rsidP="009270C0">
            <w:pPr>
              <w:spacing w:after="0" w:line="240" w:lineRule="auto"/>
              <w:rPr>
                <w:rFonts w:eastAsia="Times New Roman" w:cs="Times New Roman"/>
                <w:b/>
                <w:bCs/>
                <w:kern w:val="0"/>
                <w:sz w:val="22"/>
                <w:szCs w:val="22"/>
                <w:lang w:val="sv-SE" w:eastAsia="sv-SE"/>
                <w14:ligatures w14:val="none"/>
              </w:rPr>
            </w:pPr>
            <w:proofErr w:type="spellStart"/>
            <w:r w:rsidRPr="000454AC">
              <w:rPr>
                <w:rFonts w:eastAsia="Times New Roman" w:cs="Times New Roman"/>
                <w:b/>
                <w:bCs/>
                <w:kern w:val="0"/>
                <w:sz w:val="22"/>
                <w:szCs w:val="22"/>
                <w:lang w:val="sv-SE" w:eastAsia="sv-SE"/>
                <w14:ligatures w14:val="none"/>
              </w:rPr>
              <w:t>Structure</w:t>
            </w:r>
            <w:proofErr w:type="spellEnd"/>
          </w:p>
        </w:tc>
        <w:tc>
          <w:tcPr>
            <w:tcW w:w="0" w:type="auto"/>
            <w:vAlign w:val="center"/>
            <w:hideMark/>
          </w:tcPr>
          <w:p w14:paraId="289AC047" w14:textId="77777777" w:rsidR="000454AC" w:rsidRPr="000454AC" w:rsidRDefault="000454AC" w:rsidP="009270C0">
            <w:pPr>
              <w:spacing w:after="0" w:line="240" w:lineRule="auto"/>
              <w:rPr>
                <w:rFonts w:eastAsia="Times New Roman" w:cs="Times New Roman"/>
                <w:b/>
                <w:bCs/>
                <w:kern w:val="0"/>
                <w:sz w:val="22"/>
                <w:szCs w:val="22"/>
                <w:lang w:val="sv-SE" w:eastAsia="sv-SE"/>
                <w14:ligatures w14:val="none"/>
              </w:rPr>
            </w:pPr>
            <w:r w:rsidRPr="000454AC">
              <w:rPr>
                <w:rFonts w:eastAsia="Times New Roman" w:cs="Times New Roman"/>
                <w:b/>
                <w:bCs/>
                <w:kern w:val="0"/>
                <w:sz w:val="22"/>
                <w:szCs w:val="22"/>
                <w:lang w:val="sv-SE" w:eastAsia="sv-SE"/>
                <w14:ligatures w14:val="none"/>
              </w:rPr>
              <w:t xml:space="preserve">Clinical </w:t>
            </w:r>
            <w:proofErr w:type="spellStart"/>
            <w:r w:rsidRPr="000454AC">
              <w:rPr>
                <w:rFonts w:eastAsia="Times New Roman" w:cs="Times New Roman"/>
                <w:b/>
                <w:bCs/>
                <w:kern w:val="0"/>
                <w:sz w:val="22"/>
                <w:szCs w:val="22"/>
                <w:lang w:val="sv-SE" w:eastAsia="sv-SE"/>
                <w14:ligatures w14:val="none"/>
              </w:rPr>
              <w:t>finding</w:t>
            </w:r>
            <w:proofErr w:type="spellEnd"/>
          </w:p>
        </w:tc>
        <w:tc>
          <w:tcPr>
            <w:tcW w:w="0" w:type="auto"/>
            <w:vAlign w:val="center"/>
            <w:hideMark/>
          </w:tcPr>
          <w:p w14:paraId="53CF2B0D" w14:textId="77777777" w:rsidR="000454AC" w:rsidRPr="000454AC" w:rsidRDefault="000454AC" w:rsidP="009270C0">
            <w:pPr>
              <w:spacing w:after="0" w:line="240" w:lineRule="auto"/>
              <w:rPr>
                <w:rFonts w:eastAsia="Times New Roman" w:cs="Times New Roman"/>
                <w:b/>
                <w:bCs/>
                <w:kern w:val="0"/>
                <w:sz w:val="22"/>
                <w:szCs w:val="22"/>
                <w:lang w:val="sv-SE" w:eastAsia="sv-SE"/>
                <w14:ligatures w14:val="none"/>
              </w:rPr>
            </w:pPr>
            <w:r w:rsidRPr="000454AC">
              <w:rPr>
                <w:rFonts w:eastAsia="Times New Roman" w:cs="Times New Roman"/>
                <w:b/>
                <w:bCs/>
                <w:kern w:val="0"/>
                <w:sz w:val="22"/>
                <w:szCs w:val="22"/>
                <w:lang w:val="sv-SE" w:eastAsia="sv-SE"/>
                <w14:ligatures w14:val="none"/>
              </w:rPr>
              <w:t xml:space="preserve">US/CD </w:t>
            </w:r>
            <w:proofErr w:type="spellStart"/>
            <w:r w:rsidRPr="000454AC">
              <w:rPr>
                <w:rFonts w:eastAsia="Times New Roman" w:cs="Times New Roman"/>
                <w:b/>
                <w:bCs/>
                <w:kern w:val="0"/>
                <w:sz w:val="22"/>
                <w:szCs w:val="22"/>
                <w:lang w:val="sv-SE" w:eastAsia="sv-SE"/>
                <w14:ligatures w14:val="none"/>
              </w:rPr>
              <w:t>finding</w:t>
            </w:r>
            <w:proofErr w:type="spellEnd"/>
          </w:p>
        </w:tc>
        <w:tc>
          <w:tcPr>
            <w:tcW w:w="0" w:type="auto"/>
            <w:vAlign w:val="center"/>
            <w:hideMark/>
          </w:tcPr>
          <w:p w14:paraId="4DB36199" w14:textId="77777777" w:rsidR="000454AC" w:rsidRPr="000454AC" w:rsidRDefault="000454AC" w:rsidP="009270C0">
            <w:pPr>
              <w:spacing w:after="0" w:line="240" w:lineRule="auto"/>
              <w:rPr>
                <w:rFonts w:eastAsia="Times New Roman" w:cs="Times New Roman"/>
                <w:b/>
                <w:bCs/>
                <w:kern w:val="0"/>
                <w:sz w:val="22"/>
                <w:szCs w:val="22"/>
                <w:lang w:val="sv-SE" w:eastAsia="sv-SE"/>
                <w14:ligatures w14:val="none"/>
              </w:rPr>
            </w:pPr>
            <w:proofErr w:type="spellStart"/>
            <w:r w:rsidRPr="000454AC">
              <w:rPr>
                <w:rFonts w:eastAsia="Times New Roman" w:cs="Times New Roman"/>
                <w:b/>
                <w:bCs/>
                <w:kern w:val="0"/>
                <w:sz w:val="22"/>
                <w:szCs w:val="22"/>
                <w:lang w:val="sv-SE" w:eastAsia="sv-SE"/>
                <w14:ligatures w14:val="none"/>
              </w:rPr>
              <w:t>Surgical</w:t>
            </w:r>
            <w:proofErr w:type="spellEnd"/>
            <w:r w:rsidRPr="000454AC">
              <w:rPr>
                <w:rFonts w:eastAsia="Times New Roman" w:cs="Times New Roman"/>
                <w:b/>
                <w:bCs/>
                <w:kern w:val="0"/>
                <w:sz w:val="22"/>
                <w:szCs w:val="22"/>
                <w:lang w:val="sv-SE" w:eastAsia="sv-SE"/>
                <w14:ligatures w14:val="none"/>
              </w:rPr>
              <w:t xml:space="preserve"> decision</w:t>
            </w:r>
          </w:p>
        </w:tc>
      </w:tr>
      <w:tr w:rsidR="000454AC" w:rsidRPr="000454AC" w14:paraId="39C5B4C4" w14:textId="77777777" w:rsidTr="000454AC">
        <w:trPr>
          <w:tblCellSpacing w:w="15" w:type="dxa"/>
        </w:trPr>
        <w:tc>
          <w:tcPr>
            <w:tcW w:w="0" w:type="auto"/>
            <w:vAlign w:val="center"/>
            <w:hideMark/>
          </w:tcPr>
          <w:p w14:paraId="13F84D7B"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Bursae</w:t>
            </w:r>
            <w:proofErr w:type="spellEnd"/>
          </w:p>
        </w:tc>
        <w:tc>
          <w:tcPr>
            <w:tcW w:w="0" w:type="auto"/>
            <w:vAlign w:val="center"/>
            <w:hideMark/>
          </w:tcPr>
          <w:p w14:paraId="37C12A72"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Localized</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tenderness</w:t>
            </w:r>
            <w:proofErr w:type="spellEnd"/>
          </w:p>
        </w:tc>
        <w:tc>
          <w:tcPr>
            <w:tcW w:w="0" w:type="auto"/>
            <w:vAlign w:val="center"/>
            <w:hideMark/>
          </w:tcPr>
          <w:p w14:paraId="08862B30"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Enlarged</w:t>
            </w:r>
            <w:proofErr w:type="spellEnd"/>
            <w:r w:rsidRPr="000454AC">
              <w:rPr>
                <w:rFonts w:eastAsia="Times New Roman" w:cs="Times New Roman"/>
                <w:kern w:val="0"/>
                <w:sz w:val="22"/>
                <w:szCs w:val="22"/>
                <w:lang w:val="sv-SE" w:eastAsia="sv-SE"/>
                <w14:ligatures w14:val="none"/>
              </w:rPr>
              <w:t xml:space="preserve"> + Doppler </w:t>
            </w:r>
            <w:proofErr w:type="spellStart"/>
            <w:r w:rsidRPr="000454AC">
              <w:rPr>
                <w:rFonts w:eastAsia="Times New Roman" w:cs="Times New Roman"/>
                <w:kern w:val="0"/>
                <w:sz w:val="22"/>
                <w:szCs w:val="22"/>
                <w:lang w:val="sv-SE" w:eastAsia="sv-SE"/>
                <w14:ligatures w14:val="none"/>
              </w:rPr>
              <w:t>activity</w:t>
            </w:r>
            <w:proofErr w:type="spellEnd"/>
          </w:p>
        </w:tc>
        <w:tc>
          <w:tcPr>
            <w:tcW w:w="0" w:type="auto"/>
            <w:vAlign w:val="center"/>
            <w:hideMark/>
          </w:tcPr>
          <w:p w14:paraId="1E3386C3"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Excised</w:t>
            </w:r>
            <w:proofErr w:type="spellEnd"/>
          </w:p>
        </w:tc>
      </w:tr>
      <w:tr w:rsidR="000454AC" w:rsidRPr="000454AC" w14:paraId="1C3C63C0" w14:textId="77777777" w:rsidTr="000454AC">
        <w:trPr>
          <w:tblCellSpacing w:w="15" w:type="dxa"/>
        </w:trPr>
        <w:tc>
          <w:tcPr>
            <w:tcW w:w="0" w:type="auto"/>
            <w:vAlign w:val="center"/>
            <w:hideMark/>
          </w:tcPr>
          <w:p w14:paraId="70B49971"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Plantaris</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tendon</w:t>
            </w:r>
            <w:proofErr w:type="spellEnd"/>
          </w:p>
        </w:tc>
        <w:tc>
          <w:tcPr>
            <w:tcW w:w="0" w:type="auto"/>
            <w:vAlign w:val="center"/>
            <w:hideMark/>
          </w:tcPr>
          <w:p w14:paraId="5B6F86E0"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Localized</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tenderness</w:t>
            </w:r>
            <w:proofErr w:type="spellEnd"/>
          </w:p>
        </w:tc>
        <w:tc>
          <w:tcPr>
            <w:tcW w:w="0" w:type="auto"/>
            <w:vAlign w:val="center"/>
            <w:hideMark/>
          </w:tcPr>
          <w:p w14:paraId="60961EE8"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Thickened</w:t>
            </w:r>
            <w:proofErr w:type="spellEnd"/>
            <w:r w:rsidRPr="000454AC">
              <w:rPr>
                <w:rFonts w:eastAsia="Times New Roman" w:cs="Times New Roman"/>
                <w:kern w:val="0"/>
                <w:sz w:val="22"/>
                <w:szCs w:val="22"/>
                <w:lang w:val="sv-SE" w:eastAsia="sv-SE"/>
                <w14:ligatures w14:val="none"/>
              </w:rPr>
              <w:t>/</w:t>
            </w:r>
            <w:proofErr w:type="spellStart"/>
            <w:r w:rsidRPr="000454AC">
              <w:rPr>
                <w:rFonts w:eastAsia="Times New Roman" w:cs="Times New Roman"/>
                <w:kern w:val="0"/>
                <w:sz w:val="22"/>
                <w:szCs w:val="22"/>
                <w:lang w:val="sv-SE" w:eastAsia="sv-SE"/>
                <w14:ligatures w14:val="none"/>
              </w:rPr>
              <w:t>tendinopathic</w:t>
            </w:r>
            <w:proofErr w:type="spellEnd"/>
          </w:p>
        </w:tc>
        <w:tc>
          <w:tcPr>
            <w:tcW w:w="0" w:type="auto"/>
            <w:vAlign w:val="center"/>
            <w:hideMark/>
          </w:tcPr>
          <w:p w14:paraId="7A2C9AD2"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r w:rsidRPr="000454AC">
              <w:rPr>
                <w:rFonts w:eastAsia="Times New Roman" w:cs="Times New Roman"/>
                <w:kern w:val="0"/>
                <w:sz w:val="22"/>
                <w:szCs w:val="22"/>
                <w:lang w:val="sv-SE" w:eastAsia="sv-SE"/>
                <w14:ligatures w14:val="none"/>
              </w:rPr>
              <w:t xml:space="preserve">Distal 5–7 cm </w:t>
            </w:r>
            <w:proofErr w:type="spellStart"/>
            <w:r w:rsidRPr="000454AC">
              <w:rPr>
                <w:rFonts w:eastAsia="Times New Roman" w:cs="Times New Roman"/>
                <w:kern w:val="0"/>
                <w:sz w:val="22"/>
                <w:szCs w:val="22"/>
                <w:lang w:val="sv-SE" w:eastAsia="sv-SE"/>
                <w14:ligatures w14:val="none"/>
              </w:rPr>
              <w:t>excised</w:t>
            </w:r>
            <w:proofErr w:type="spellEnd"/>
          </w:p>
        </w:tc>
      </w:tr>
      <w:tr w:rsidR="000454AC" w:rsidRPr="000454AC" w14:paraId="51D06571" w14:textId="77777777" w:rsidTr="000454AC">
        <w:trPr>
          <w:tblCellSpacing w:w="15" w:type="dxa"/>
        </w:trPr>
        <w:tc>
          <w:tcPr>
            <w:tcW w:w="0" w:type="auto"/>
            <w:vAlign w:val="center"/>
            <w:hideMark/>
          </w:tcPr>
          <w:p w14:paraId="53CB8129"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Achilles</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tendon</w:t>
            </w:r>
            <w:proofErr w:type="spellEnd"/>
            <w:r w:rsidRPr="000454AC">
              <w:rPr>
                <w:rFonts w:eastAsia="Times New Roman" w:cs="Times New Roman"/>
                <w:kern w:val="0"/>
                <w:sz w:val="22"/>
                <w:szCs w:val="22"/>
                <w:lang w:val="sv-SE" w:eastAsia="sv-SE"/>
                <w14:ligatures w14:val="none"/>
              </w:rPr>
              <w:t xml:space="preserve"> degeneration</w:t>
            </w:r>
          </w:p>
        </w:tc>
        <w:tc>
          <w:tcPr>
            <w:tcW w:w="0" w:type="auto"/>
            <w:vAlign w:val="center"/>
            <w:hideMark/>
          </w:tcPr>
          <w:p w14:paraId="4126D584"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r w:rsidRPr="000454AC">
              <w:rPr>
                <w:rFonts w:eastAsia="Times New Roman" w:cs="Times New Roman"/>
                <w:kern w:val="0"/>
                <w:sz w:val="22"/>
                <w:szCs w:val="22"/>
                <w:lang w:val="sv-SE" w:eastAsia="sv-SE"/>
                <w14:ligatures w14:val="none"/>
              </w:rPr>
              <w:t>—</w:t>
            </w:r>
          </w:p>
        </w:tc>
        <w:tc>
          <w:tcPr>
            <w:tcW w:w="0" w:type="auto"/>
            <w:vAlign w:val="center"/>
            <w:hideMark/>
          </w:tcPr>
          <w:p w14:paraId="09D9F7B5"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Disorganized</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fibrillar</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pattern</w:t>
            </w:r>
            <w:proofErr w:type="spellEnd"/>
          </w:p>
        </w:tc>
        <w:tc>
          <w:tcPr>
            <w:tcW w:w="0" w:type="auto"/>
            <w:vAlign w:val="center"/>
            <w:hideMark/>
          </w:tcPr>
          <w:p w14:paraId="0A008A90"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r w:rsidRPr="000454AC">
              <w:rPr>
                <w:rFonts w:eastAsia="Times New Roman" w:cs="Times New Roman"/>
                <w:kern w:val="0"/>
                <w:sz w:val="22"/>
                <w:szCs w:val="22"/>
                <w:lang w:val="sv-SE" w:eastAsia="sv-SE"/>
                <w14:ligatures w14:val="none"/>
              </w:rPr>
              <w:t xml:space="preserve">No </w:t>
            </w:r>
            <w:proofErr w:type="spellStart"/>
            <w:r w:rsidRPr="000454AC">
              <w:rPr>
                <w:rFonts w:eastAsia="Times New Roman" w:cs="Times New Roman"/>
                <w:kern w:val="0"/>
                <w:sz w:val="22"/>
                <w:szCs w:val="22"/>
                <w:lang w:val="sv-SE" w:eastAsia="sv-SE"/>
                <w14:ligatures w14:val="none"/>
              </w:rPr>
              <w:t>direct</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treatment</w:t>
            </w:r>
            <w:proofErr w:type="spellEnd"/>
          </w:p>
        </w:tc>
      </w:tr>
      <w:tr w:rsidR="000454AC" w:rsidRPr="000454AC" w14:paraId="731F1470" w14:textId="77777777" w:rsidTr="000454AC">
        <w:trPr>
          <w:tblCellSpacing w:w="15" w:type="dxa"/>
        </w:trPr>
        <w:tc>
          <w:tcPr>
            <w:tcW w:w="0" w:type="auto"/>
            <w:vAlign w:val="center"/>
            <w:hideMark/>
          </w:tcPr>
          <w:p w14:paraId="42D0838E"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r w:rsidRPr="000454AC">
              <w:rPr>
                <w:rFonts w:eastAsia="Times New Roman" w:cs="Times New Roman"/>
                <w:kern w:val="0"/>
                <w:sz w:val="22"/>
                <w:szCs w:val="22"/>
                <w:lang w:val="sv-SE" w:eastAsia="sv-SE"/>
                <w14:ligatures w14:val="none"/>
              </w:rPr>
              <w:t xml:space="preserve">Small partial </w:t>
            </w:r>
            <w:proofErr w:type="spellStart"/>
            <w:r w:rsidRPr="000454AC">
              <w:rPr>
                <w:rFonts w:eastAsia="Times New Roman" w:cs="Times New Roman"/>
                <w:kern w:val="0"/>
                <w:sz w:val="22"/>
                <w:szCs w:val="22"/>
                <w:lang w:val="sv-SE" w:eastAsia="sv-SE"/>
                <w14:ligatures w14:val="none"/>
              </w:rPr>
              <w:t>Achilles</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tendon</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tear</w:t>
            </w:r>
            <w:proofErr w:type="spellEnd"/>
          </w:p>
        </w:tc>
        <w:tc>
          <w:tcPr>
            <w:tcW w:w="0" w:type="auto"/>
            <w:vAlign w:val="center"/>
            <w:hideMark/>
          </w:tcPr>
          <w:p w14:paraId="5453C0D1"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r w:rsidRPr="000454AC">
              <w:rPr>
                <w:rFonts w:eastAsia="Times New Roman" w:cs="Times New Roman"/>
                <w:kern w:val="0"/>
                <w:sz w:val="22"/>
                <w:szCs w:val="22"/>
                <w:lang w:val="sv-SE" w:eastAsia="sv-SE"/>
                <w14:ligatures w14:val="none"/>
              </w:rPr>
              <w:t>—</w:t>
            </w:r>
          </w:p>
        </w:tc>
        <w:tc>
          <w:tcPr>
            <w:tcW w:w="0" w:type="auto"/>
            <w:vAlign w:val="center"/>
            <w:hideMark/>
          </w:tcPr>
          <w:p w14:paraId="2C18F0C9"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Hypo</w:t>
            </w:r>
            <w:proofErr w:type="spellEnd"/>
            <w:r w:rsidRPr="000454AC">
              <w:rPr>
                <w:rFonts w:eastAsia="Times New Roman" w:cs="Times New Roman"/>
                <w:kern w:val="0"/>
                <w:sz w:val="22"/>
                <w:szCs w:val="22"/>
                <w:lang w:val="sv-SE" w:eastAsia="sv-SE"/>
                <w14:ligatures w14:val="none"/>
              </w:rPr>
              <w:t>-/</w:t>
            </w:r>
            <w:proofErr w:type="spellStart"/>
            <w:r w:rsidRPr="000454AC">
              <w:rPr>
                <w:rFonts w:eastAsia="Times New Roman" w:cs="Times New Roman"/>
                <w:kern w:val="0"/>
                <w:sz w:val="22"/>
                <w:szCs w:val="22"/>
                <w:lang w:val="sv-SE" w:eastAsia="sv-SE"/>
                <w14:ligatures w14:val="none"/>
              </w:rPr>
              <w:t>anechoic</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defect</w:t>
            </w:r>
            <w:proofErr w:type="spellEnd"/>
          </w:p>
        </w:tc>
        <w:tc>
          <w:tcPr>
            <w:tcW w:w="0" w:type="auto"/>
            <w:vAlign w:val="center"/>
            <w:hideMark/>
          </w:tcPr>
          <w:p w14:paraId="53DA2736"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r w:rsidRPr="000454AC">
              <w:rPr>
                <w:rFonts w:eastAsia="Times New Roman" w:cs="Times New Roman"/>
                <w:kern w:val="0"/>
                <w:sz w:val="22"/>
                <w:szCs w:val="22"/>
                <w:lang w:val="sv-SE" w:eastAsia="sv-SE"/>
                <w14:ligatures w14:val="none"/>
              </w:rPr>
              <w:t xml:space="preserve">No </w:t>
            </w:r>
            <w:proofErr w:type="spellStart"/>
            <w:r w:rsidRPr="000454AC">
              <w:rPr>
                <w:rFonts w:eastAsia="Times New Roman" w:cs="Times New Roman"/>
                <w:kern w:val="0"/>
                <w:sz w:val="22"/>
                <w:szCs w:val="22"/>
                <w:lang w:val="sv-SE" w:eastAsia="sv-SE"/>
                <w14:ligatures w14:val="none"/>
              </w:rPr>
              <w:t>direct</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treatment</w:t>
            </w:r>
            <w:proofErr w:type="spellEnd"/>
          </w:p>
        </w:tc>
      </w:tr>
      <w:tr w:rsidR="000454AC" w:rsidRPr="000454AC" w14:paraId="1723929D" w14:textId="77777777" w:rsidTr="000454AC">
        <w:trPr>
          <w:tblCellSpacing w:w="15" w:type="dxa"/>
        </w:trPr>
        <w:tc>
          <w:tcPr>
            <w:tcW w:w="0" w:type="auto"/>
            <w:vAlign w:val="center"/>
            <w:hideMark/>
          </w:tcPr>
          <w:p w14:paraId="0A5FF404"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Larger</w:t>
            </w:r>
            <w:proofErr w:type="spellEnd"/>
            <w:r w:rsidRPr="000454AC">
              <w:rPr>
                <w:rFonts w:eastAsia="Times New Roman" w:cs="Times New Roman"/>
                <w:kern w:val="0"/>
                <w:sz w:val="22"/>
                <w:szCs w:val="22"/>
                <w:lang w:val="sv-SE" w:eastAsia="sv-SE"/>
                <w14:ligatures w14:val="none"/>
              </w:rPr>
              <w:t xml:space="preserve"> partial </w:t>
            </w:r>
            <w:proofErr w:type="spellStart"/>
            <w:r w:rsidRPr="000454AC">
              <w:rPr>
                <w:rFonts w:eastAsia="Times New Roman" w:cs="Times New Roman"/>
                <w:kern w:val="0"/>
                <w:sz w:val="22"/>
                <w:szCs w:val="22"/>
                <w:lang w:val="sv-SE" w:eastAsia="sv-SE"/>
                <w14:ligatures w14:val="none"/>
              </w:rPr>
              <w:t>Achilles</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tendon</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tear</w:t>
            </w:r>
            <w:proofErr w:type="spellEnd"/>
          </w:p>
        </w:tc>
        <w:tc>
          <w:tcPr>
            <w:tcW w:w="0" w:type="auto"/>
            <w:vAlign w:val="center"/>
            <w:hideMark/>
          </w:tcPr>
          <w:p w14:paraId="1E210383"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r w:rsidRPr="000454AC">
              <w:rPr>
                <w:rFonts w:eastAsia="Times New Roman" w:cs="Times New Roman"/>
                <w:kern w:val="0"/>
                <w:sz w:val="22"/>
                <w:szCs w:val="22"/>
                <w:lang w:val="sv-SE" w:eastAsia="sv-SE"/>
                <w14:ligatures w14:val="none"/>
              </w:rPr>
              <w:t>—</w:t>
            </w:r>
          </w:p>
        </w:tc>
        <w:tc>
          <w:tcPr>
            <w:tcW w:w="0" w:type="auto"/>
            <w:vAlign w:val="center"/>
            <w:hideMark/>
          </w:tcPr>
          <w:p w14:paraId="73908C0F"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Larger</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defect</w:t>
            </w:r>
            <w:proofErr w:type="spellEnd"/>
          </w:p>
        </w:tc>
        <w:tc>
          <w:tcPr>
            <w:tcW w:w="0" w:type="auto"/>
            <w:vAlign w:val="center"/>
            <w:hideMark/>
          </w:tcPr>
          <w:p w14:paraId="0B5A02A1"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Surgery</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postponed</w:t>
            </w:r>
            <w:proofErr w:type="spellEnd"/>
          </w:p>
        </w:tc>
      </w:tr>
      <w:tr w:rsidR="000454AC" w:rsidRPr="000454AC" w14:paraId="232DFAF3" w14:textId="77777777" w:rsidTr="000454AC">
        <w:trPr>
          <w:tblCellSpacing w:w="15" w:type="dxa"/>
        </w:trPr>
        <w:tc>
          <w:tcPr>
            <w:tcW w:w="0" w:type="auto"/>
            <w:vAlign w:val="center"/>
            <w:hideMark/>
          </w:tcPr>
          <w:p w14:paraId="4ABC4662"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Intratendinous</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ossification</w:t>
            </w:r>
            <w:proofErr w:type="spellEnd"/>
          </w:p>
        </w:tc>
        <w:tc>
          <w:tcPr>
            <w:tcW w:w="0" w:type="auto"/>
            <w:vAlign w:val="center"/>
            <w:hideMark/>
          </w:tcPr>
          <w:p w14:paraId="33E50408"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r w:rsidRPr="000454AC">
              <w:rPr>
                <w:rFonts w:eastAsia="Times New Roman" w:cs="Times New Roman"/>
                <w:kern w:val="0"/>
                <w:sz w:val="22"/>
                <w:szCs w:val="22"/>
                <w:lang w:val="sv-SE" w:eastAsia="sv-SE"/>
                <w14:ligatures w14:val="none"/>
              </w:rPr>
              <w:t>—</w:t>
            </w:r>
          </w:p>
        </w:tc>
        <w:tc>
          <w:tcPr>
            <w:tcW w:w="0" w:type="auto"/>
            <w:vAlign w:val="center"/>
            <w:hideMark/>
          </w:tcPr>
          <w:p w14:paraId="73D865FE"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Echogenic</w:t>
            </w:r>
            <w:proofErr w:type="spellEnd"/>
            <w:r w:rsidRPr="000454AC">
              <w:rPr>
                <w:rFonts w:eastAsia="Times New Roman" w:cs="Times New Roman"/>
                <w:kern w:val="0"/>
                <w:sz w:val="22"/>
                <w:szCs w:val="22"/>
                <w:lang w:val="sv-SE" w:eastAsia="sv-SE"/>
                <w14:ligatures w14:val="none"/>
              </w:rPr>
              <w:t xml:space="preserve"> + </w:t>
            </w:r>
            <w:proofErr w:type="spellStart"/>
            <w:r w:rsidRPr="000454AC">
              <w:rPr>
                <w:rFonts w:eastAsia="Times New Roman" w:cs="Times New Roman"/>
                <w:kern w:val="0"/>
                <w:sz w:val="22"/>
                <w:szCs w:val="22"/>
                <w:lang w:val="sv-SE" w:eastAsia="sv-SE"/>
                <w14:ligatures w14:val="none"/>
              </w:rPr>
              <w:t>shadowing</w:t>
            </w:r>
            <w:proofErr w:type="spellEnd"/>
            <w:r w:rsidRPr="000454AC">
              <w:rPr>
                <w:rFonts w:eastAsia="Times New Roman" w:cs="Times New Roman"/>
                <w:kern w:val="0"/>
                <w:sz w:val="22"/>
                <w:szCs w:val="22"/>
                <w:lang w:val="sv-SE" w:eastAsia="sv-SE"/>
                <w14:ligatures w14:val="none"/>
              </w:rPr>
              <w:t xml:space="preserve"> ± Doppler</w:t>
            </w:r>
          </w:p>
        </w:tc>
        <w:tc>
          <w:tcPr>
            <w:tcW w:w="0" w:type="auto"/>
            <w:vAlign w:val="center"/>
            <w:hideMark/>
          </w:tcPr>
          <w:p w14:paraId="4FCDBF3A"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Excised</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if</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marked</w:t>
            </w:r>
            <w:proofErr w:type="spellEnd"/>
            <w:r w:rsidRPr="000454AC">
              <w:rPr>
                <w:rFonts w:eastAsia="Times New Roman" w:cs="Times New Roman"/>
                <w:kern w:val="0"/>
                <w:sz w:val="22"/>
                <w:szCs w:val="22"/>
                <w:lang w:val="sv-SE" w:eastAsia="sv-SE"/>
                <w14:ligatures w14:val="none"/>
              </w:rPr>
              <w:t xml:space="preserve"> Doppler </w:t>
            </w:r>
            <w:proofErr w:type="spellStart"/>
            <w:r w:rsidRPr="000454AC">
              <w:rPr>
                <w:rFonts w:eastAsia="Times New Roman" w:cs="Times New Roman"/>
                <w:kern w:val="0"/>
                <w:sz w:val="22"/>
                <w:szCs w:val="22"/>
                <w:lang w:val="sv-SE" w:eastAsia="sv-SE"/>
                <w14:ligatures w14:val="none"/>
              </w:rPr>
              <w:t>activity</w:t>
            </w:r>
            <w:proofErr w:type="spellEnd"/>
          </w:p>
        </w:tc>
      </w:tr>
      <w:tr w:rsidR="000454AC" w:rsidRPr="000454AC" w14:paraId="3C77CB6F" w14:textId="77777777" w:rsidTr="000454AC">
        <w:trPr>
          <w:tblCellSpacing w:w="15" w:type="dxa"/>
        </w:trPr>
        <w:tc>
          <w:tcPr>
            <w:tcW w:w="0" w:type="auto"/>
            <w:vAlign w:val="center"/>
            <w:hideMark/>
          </w:tcPr>
          <w:p w14:paraId="3600FED1"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Posterior</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calcaneal</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spur</w:t>
            </w:r>
            <w:proofErr w:type="spellEnd"/>
          </w:p>
        </w:tc>
        <w:tc>
          <w:tcPr>
            <w:tcW w:w="0" w:type="auto"/>
            <w:vAlign w:val="center"/>
            <w:hideMark/>
          </w:tcPr>
          <w:p w14:paraId="5F3C56CA"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Localized</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tenderness</w:t>
            </w:r>
            <w:proofErr w:type="spellEnd"/>
          </w:p>
        </w:tc>
        <w:tc>
          <w:tcPr>
            <w:tcW w:w="0" w:type="auto"/>
            <w:vAlign w:val="center"/>
            <w:hideMark/>
          </w:tcPr>
          <w:p w14:paraId="28DA6C6F"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Spur</w:t>
            </w:r>
            <w:proofErr w:type="spellEnd"/>
            <w:r w:rsidRPr="000454AC">
              <w:rPr>
                <w:rFonts w:eastAsia="Times New Roman" w:cs="Times New Roman"/>
                <w:kern w:val="0"/>
                <w:sz w:val="22"/>
                <w:szCs w:val="22"/>
                <w:lang w:val="sv-SE" w:eastAsia="sv-SE"/>
                <w14:ligatures w14:val="none"/>
              </w:rPr>
              <w:t xml:space="preserve"> + </w:t>
            </w:r>
            <w:proofErr w:type="spellStart"/>
            <w:r w:rsidRPr="000454AC">
              <w:rPr>
                <w:rFonts w:eastAsia="Times New Roman" w:cs="Times New Roman"/>
                <w:kern w:val="0"/>
                <w:sz w:val="22"/>
                <w:szCs w:val="22"/>
                <w:lang w:val="sv-SE" w:eastAsia="sv-SE"/>
                <w14:ligatures w14:val="none"/>
              </w:rPr>
              <w:t>shadowing</w:t>
            </w:r>
            <w:proofErr w:type="spellEnd"/>
            <w:r w:rsidRPr="000454AC">
              <w:rPr>
                <w:rFonts w:eastAsia="Times New Roman" w:cs="Times New Roman"/>
                <w:kern w:val="0"/>
                <w:sz w:val="22"/>
                <w:szCs w:val="22"/>
                <w:lang w:val="sv-SE" w:eastAsia="sv-SE"/>
                <w14:ligatures w14:val="none"/>
              </w:rPr>
              <w:t xml:space="preserve"> + Doppler</w:t>
            </w:r>
          </w:p>
        </w:tc>
        <w:tc>
          <w:tcPr>
            <w:tcW w:w="0" w:type="auto"/>
            <w:vAlign w:val="center"/>
            <w:hideMark/>
          </w:tcPr>
          <w:p w14:paraId="5E7EAB20"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Resected</w:t>
            </w:r>
            <w:proofErr w:type="spellEnd"/>
          </w:p>
        </w:tc>
      </w:tr>
      <w:tr w:rsidR="000454AC" w:rsidRPr="000454AC" w14:paraId="598C8978" w14:textId="77777777" w:rsidTr="000454AC">
        <w:trPr>
          <w:trHeight w:val="50"/>
          <w:tblCellSpacing w:w="15" w:type="dxa"/>
        </w:trPr>
        <w:tc>
          <w:tcPr>
            <w:tcW w:w="0" w:type="auto"/>
            <w:vAlign w:val="center"/>
            <w:hideMark/>
          </w:tcPr>
          <w:p w14:paraId="5AC42EE0"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Posterosuperior</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calcaneal</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prominence</w:t>
            </w:r>
            <w:proofErr w:type="spellEnd"/>
          </w:p>
        </w:tc>
        <w:tc>
          <w:tcPr>
            <w:tcW w:w="0" w:type="auto"/>
            <w:vAlign w:val="center"/>
            <w:hideMark/>
          </w:tcPr>
          <w:p w14:paraId="33472124"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r w:rsidRPr="000454AC">
              <w:rPr>
                <w:rFonts w:eastAsia="Times New Roman" w:cs="Times New Roman"/>
                <w:kern w:val="0"/>
                <w:sz w:val="22"/>
                <w:szCs w:val="22"/>
                <w:lang w:val="sv-SE" w:eastAsia="sv-SE"/>
                <w14:ligatures w14:val="none"/>
              </w:rPr>
              <w:t>—</w:t>
            </w:r>
          </w:p>
        </w:tc>
        <w:tc>
          <w:tcPr>
            <w:tcW w:w="0" w:type="auto"/>
            <w:vAlign w:val="center"/>
            <w:hideMark/>
          </w:tcPr>
          <w:p w14:paraId="4ACF2CC8"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Prominence</w:t>
            </w:r>
            <w:proofErr w:type="spellEnd"/>
          </w:p>
        </w:tc>
        <w:tc>
          <w:tcPr>
            <w:tcW w:w="0" w:type="auto"/>
            <w:vAlign w:val="center"/>
            <w:hideMark/>
          </w:tcPr>
          <w:p w14:paraId="08F5D22C" w14:textId="77777777" w:rsidR="000454AC" w:rsidRPr="000454AC" w:rsidRDefault="000454AC" w:rsidP="009270C0">
            <w:pPr>
              <w:spacing w:after="0" w:line="240" w:lineRule="auto"/>
              <w:rPr>
                <w:rFonts w:eastAsia="Times New Roman" w:cs="Times New Roman"/>
                <w:kern w:val="0"/>
                <w:sz w:val="22"/>
                <w:szCs w:val="22"/>
                <w:lang w:val="sv-SE" w:eastAsia="sv-SE"/>
                <w14:ligatures w14:val="none"/>
              </w:rPr>
            </w:pPr>
            <w:proofErr w:type="spellStart"/>
            <w:r w:rsidRPr="000454AC">
              <w:rPr>
                <w:rFonts w:eastAsia="Times New Roman" w:cs="Times New Roman"/>
                <w:kern w:val="0"/>
                <w:sz w:val="22"/>
                <w:szCs w:val="22"/>
                <w:lang w:val="sv-SE" w:eastAsia="sv-SE"/>
                <w14:ligatures w14:val="none"/>
              </w:rPr>
              <w:t>Resected</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if</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mechanical</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impingement</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was</w:t>
            </w:r>
            <w:proofErr w:type="spellEnd"/>
            <w:r w:rsidRPr="000454AC">
              <w:rPr>
                <w:rFonts w:eastAsia="Times New Roman" w:cs="Times New Roman"/>
                <w:kern w:val="0"/>
                <w:sz w:val="22"/>
                <w:szCs w:val="22"/>
                <w:lang w:val="sv-SE" w:eastAsia="sv-SE"/>
                <w14:ligatures w14:val="none"/>
              </w:rPr>
              <w:t xml:space="preserve"> present on intraoperative </w:t>
            </w:r>
            <w:proofErr w:type="spellStart"/>
            <w:r w:rsidRPr="000454AC">
              <w:rPr>
                <w:rFonts w:eastAsia="Times New Roman" w:cs="Times New Roman"/>
                <w:kern w:val="0"/>
                <w:sz w:val="22"/>
                <w:szCs w:val="22"/>
                <w:lang w:val="sv-SE" w:eastAsia="sv-SE"/>
                <w14:ligatures w14:val="none"/>
              </w:rPr>
              <w:t>dynamic</w:t>
            </w:r>
            <w:proofErr w:type="spellEnd"/>
            <w:r w:rsidRPr="000454AC">
              <w:rPr>
                <w:rFonts w:eastAsia="Times New Roman" w:cs="Times New Roman"/>
                <w:kern w:val="0"/>
                <w:sz w:val="22"/>
                <w:szCs w:val="22"/>
                <w:lang w:val="sv-SE" w:eastAsia="sv-SE"/>
                <w14:ligatures w14:val="none"/>
              </w:rPr>
              <w:t xml:space="preserve"> </w:t>
            </w:r>
            <w:proofErr w:type="spellStart"/>
            <w:r w:rsidRPr="000454AC">
              <w:rPr>
                <w:rFonts w:eastAsia="Times New Roman" w:cs="Times New Roman"/>
                <w:kern w:val="0"/>
                <w:sz w:val="22"/>
                <w:szCs w:val="22"/>
                <w:lang w:val="sv-SE" w:eastAsia="sv-SE"/>
                <w14:ligatures w14:val="none"/>
              </w:rPr>
              <w:t>assessment</w:t>
            </w:r>
            <w:proofErr w:type="spellEnd"/>
          </w:p>
        </w:tc>
      </w:tr>
    </w:tbl>
    <w:p w14:paraId="44ED9ABF" w14:textId="77777777" w:rsidR="00451DE9" w:rsidRPr="0043100F" w:rsidRDefault="00451DE9" w:rsidP="009270C0">
      <w:pPr>
        <w:rPr>
          <w:sz w:val="20"/>
          <w:szCs w:val="20"/>
        </w:rPr>
      </w:pPr>
    </w:p>
    <w:sectPr w:rsidR="00451DE9" w:rsidRPr="004310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1DF"/>
    <w:rsid w:val="000454AC"/>
    <w:rsid w:val="002315BF"/>
    <w:rsid w:val="003122BF"/>
    <w:rsid w:val="003F2740"/>
    <w:rsid w:val="0043100F"/>
    <w:rsid w:val="00451DE9"/>
    <w:rsid w:val="00484567"/>
    <w:rsid w:val="004E6D8F"/>
    <w:rsid w:val="009270C0"/>
    <w:rsid w:val="00950426"/>
    <w:rsid w:val="009A7BB5"/>
    <w:rsid w:val="00A26567"/>
    <w:rsid w:val="00A5418B"/>
    <w:rsid w:val="00AF1B1D"/>
    <w:rsid w:val="00B76B01"/>
    <w:rsid w:val="00D40AB7"/>
    <w:rsid w:val="00D61BD6"/>
    <w:rsid w:val="00D77122"/>
    <w:rsid w:val="00E3299E"/>
    <w:rsid w:val="00E774A0"/>
    <w:rsid w:val="00EF61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5229E"/>
  <w15:chartTrackingRefBased/>
  <w15:docId w15:val="{5E69D9C9-BB78-4D41-9DF3-C85C1EB22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51D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51D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51DE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51DE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51DE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51DE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51DE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51DE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51DE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51DE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51DE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51DE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51DE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51DE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51DE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51DE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51DE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51DE9"/>
    <w:rPr>
      <w:rFonts w:eastAsiaTheme="majorEastAsia" w:cstheme="majorBidi"/>
      <w:color w:val="272727" w:themeColor="text1" w:themeTint="D8"/>
    </w:rPr>
  </w:style>
  <w:style w:type="paragraph" w:styleId="Rubrik">
    <w:name w:val="Title"/>
    <w:basedOn w:val="Normal"/>
    <w:next w:val="Normal"/>
    <w:link w:val="RubrikChar"/>
    <w:uiPriority w:val="10"/>
    <w:qFormat/>
    <w:rsid w:val="00451D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51DE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51DE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51DE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51DE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51DE9"/>
    <w:rPr>
      <w:i/>
      <w:iCs/>
      <w:color w:val="404040" w:themeColor="text1" w:themeTint="BF"/>
    </w:rPr>
  </w:style>
  <w:style w:type="paragraph" w:styleId="Liststycke">
    <w:name w:val="List Paragraph"/>
    <w:basedOn w:val="Normal"/>
    <w:uiPriority w:val="34"/>
    <w:qFormat/>
    <w:rsid w:val="00451DE9"/>
    <w:pPr>
      <w:ind w:left="720"/>
      <w:contextualSpacing/>
    </w:pPr>
  </w:style>
  <w:style w:type="character" w:styleId="Starkbetoning">
    <w:name w:val="Intense Emphasis"/>
    <w:basedOn w:val="Standardstycketeckensnitt"/>
    <w:uiPriority w:val="21"/>
    <w:qFormat/>
    <w:rsid w:val="00451DE9"/>
    <w:rPr>
      <w:i/>
      <w:iCs/>
      <w:color w:val="0F4761" w:themeColor="accent1" w:themeShade="BF"/>
    </w:rPr>
  </w:style>
  <w:style w:type="paragraph" w:styleId="Starktcitat">
    <w:name w:val="Intense Quote"/>
    <w:basedOn w:val="Normal"/>
    <w:next w:val="Normal"/>
    <w:link w:val="StarktcitatChar"/>
    <w:uiPriority w:val="30"/>
    <w:qFormat/>
    <w:rsid w:val="00451D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51DE9"/>
    <w:rPr>
      <w:i/>
      <w:iCs/>
      <w:color w:val="0F4761" w:themeColor="accent1" w:themeShade="BF"/>
    </w:rPr>
  </w:style>
  <w:style w:type="character" w:styleId="Starkreferens">
    <w:name w:val="Intense Reference"/>
    <w:basedOn w:val="Standardstycketeckensnitt"/>
    <w:uiPriority w:val="32"/>
    <w:qFormat/>
    <w:rsid w:val="00451DE9"/>
    <w:rPr>
      <w:b/>
      <w:bCs/>
      <w:smallCaps/>
      <w:color w:val="0F4761" w:themeColor="accent1" w:themeShade="BF"/>
      <w:spacing w:val="5"/>
    </w:rPr>
  </w:style>
  <w:style w:type="character" w:styleId="Stark">
    <w:name w:val="Strong"/>
    <w:basedOn w:val="Standardstycketeckensnitt"/>
    <w:uiPriority w:val="22"/>
    <w:qFormat/>
    <w:rsid w:val="000454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713</Words>
  <Characters>3783</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Lindén Louise</dc:creator>
  <cp:keywords/>
  <dc:description/>
  <cp:lastModifiedBy>Marcus Lindén</cp:lastModifiedBy>
  <cp:revision>11</cp:revision>
  <dcterms:created xsi:type="dcterms:W3CDTF">2026-09-18T07:38:00Z</dcterms:created>
  <dcterms:modified xsi:type="dcterms:W3CDTF">2026-09-22T11:05:00Z</dcterms:modified>
</cp:coreProperties>
</file>